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ACD803" w14:textId="04544F2C" w:rsidR="003D07F7" w:rsidRPr="00396ACF" w:rsidRDefault="00396ACF" w:rsidP="008A6B75">
      <w:pPr>
        <w:pStyle w:val="Title"/>
        <w:spacing w:line="360" w:lineRule="auto"/>
        <w:rPr>
          <w:rFonts w:ascii="Times New Roman" w:hAnsi="Times New Roman" w:cs="Times New Roman"/>
          <w:color w:val="000000" w:themeColor="text1"/>
          <w:szCs w:val="28"/>
        </w:rPr>
      </w:pPr>
      <w:r w:rsidRPr="00396ACF">
        <w:rPr>
          <w:rFonts w:ascii="Times New Roman" w:hAnsi="Times New Roman" w:cs="Times New Roman"/>
          <w:color w:val="000000" w:themeColor="text1"/>
          <w:szCs w:val="28"/>
        </w:rPr>
        <w:t>The Equine Extension Expanse: Reaching the next generation of industry professionals by integrating applied metabolomics and a train-the-trainer approach</w:t>
      </w:r>
      <w:r w:rsidR="00DD00DE" w:rsidRPr="00396ACF">
        <w:rPr>
          <w:rFonts w:ascii="Times New Roman" w:hAnsi="Times New Roman" w:cs="Times New Roman"/>
          <w:color w:val="000000" w:themeColor="text1"/>
          <w:szCs w:val="28"/>
        </w:rPr>
        <w:tab/>
      </w:r>
    </w:p>
    <w:p w14:paraId="75E7A5D5" w14:textId="77777777" w:rsidR="00236E6D" w:rsidRPr="00DF7C87" w:rsidRDefault="00236E6D" w:rsidP="008A6B75">
      <w:pPr>
        <w:pStyle w:val="Title"/>
        <w:spacing w:line="360" w:lineRule="auto"/>
        <w:rPr>
          <w:rFonts w:ascii="Times New Roman" w:hAnsi="Times New Roman" w:cs="Times New Roman"/>
          <w:sz w:val="24"/>
        </w:rPr>
      </w:pPr>
    </w:p>
    <w:p w14:paraId="52D1C5CD" w14:textId="77777777" w:rsidR="00236E6D" w:rsidRPr="00DF7C87" w:rsidRDefault="00236E6D" w:rsidP="008A6B75">
      <w:pPr>
        <w:pStyle w:val="Title"/>
        <w:spacing w:line="360" w:lineRule="auto"/>
        <w:rPr>
          <w:rFonts w:ascii="Times New Roman" w:hAnsi="Times New Roman" w:cs="Times New Roman"/>
          <w:sz w:val="24"/>
        </w:rPr>
      </w:pPr>
    </w:p>
    <w:p w14:paraId="549E3931" w14:textId="77777777" w:rsidR="00236E6D" w:rsidRPr="00DF7C87" w:rsidRDefault="00236E6D" w:rsidP="008A6B75">
      <w:pPr>
        <w:pStyle w:val="Title"/>
        <w:spacing w:line="360" w:lineRule="auto"/>
        <w:rPr>
          <w:rFonts w:ascii="Times New Roman" w:hAnsi="Times New Roman" w:cs="Times New Roman"/>
          <w:sz w:val="24"/>
        </w:rPr>
      </w:pPr>
    </w:p>
    <w:p w14:paraId="5504DFF8" w14:textId="77777777" w:rsidR="00236E6D" w:rsidRPr="00DF7C87" w:rsidRDefault="00236E6D" w:rsidP="008A6B75">
      <w:pPr>
        <w:pStyle w:val="Title"/>
        <w:spacing w:line="360" w:lineRule="auto"/>
        <w:rPr>
          <w:rFonts w:ascii="Times New Roman" w:hAnsi="Times New Roman" w:cs="Times New Roman"/>
          <w:sz w:val="24"/>
        </w:rPr>
      </w:pPr>
    </w:p>
    <w:p w14:paraId="37111EC3" w14:textId="77777777" w:rsidR="00387656" w:rsidRPr="00DF7C87" w:rsidRDefault="00387656" w:rsidP="008A6B75">
      <w:pPr>
        <w:pStyle w:val="Title"/>
        <w:spacing w:line="360" w:lineRule="auto"/>
        <w:rPr>
          <w:rFonts w:ascii="Times New Roman" w:hAnsi="Times New Roman" w:cs="Times New Roman"/>
          <w:sz w:val="24"/>
        </w:rPr>
      </w:pPr>
    </w:p>
    <w:p w14:paraId="26D5E75F" w14:textId="77777777" w:rsidR="00387656" w:rsidRPr="00DF7C87" w:rsidRDefault="00387656" w:rsidP="008A6B75">
      <w:pPr>
        <w:pStyle w:val="Title"/>
        <w:spacing w:line="360" w:lineRule="auto"/>
        <w:rPr>
          <w:rFonts w:ascii="Times New Roman" w:hAnsi="Times New Roman" w:cs="Times New Roman"/>
          <w:sz w:val="24"/>
        </w:rPr>
      </w:pPr>
    </w:p>
    <w:p w14:paraId="7719FAC1" w14:textId="77777777" w:rsidR="00387656" w:rsidRPr="00DF7C87" w:rsidRDefault="00387656" w:rsidP="008A6B75">
      <w:pPr>
        <w:pStyle w:val="Title"/>
        <w:spacing w:line="360" w:lineRule="auto"/>
        <w:rPr>
          <w:rFonts w:ascii="Times New Roman" w:hAnsi="Times New Roman" w:cs="Times New Roman"/>
          <w:sz w:val="24"/>
        </w:rPr>
      </w:pPr>
    </w:p>
    <w:p w14:paraId="3AB5B6C0" w14:textId="77777777" w:rsidR="00387656" w:rsidRPr="00DF7C87" w:rsidRDefault="00387656" w:rsidP="008A6B75">
      <w:pPr>
        <w:pStyle w:val="Title"/>
        <w:spacing w:line="360" w:lineRule="auto"/>
        <w:rPr>
          <w:rFonts w:ascii="Times New Roman" w:hAnsi="Times New Roman" w:cs="Times New Roman"/>
          <w:sz w:val="24"/>
        </w:rPr>
      </w:pPr>
    </w:p>
    <w:p w14:paraId="6830A84F" w14:textId="77777777" w:rsidR="00387656" w:rsidRPr="00DF7C87" w:rsidRDefault="00387656" w:rsidP="008A6B75">
      <w:pPr>
        <w:pStyle w:val="Title"/>
        <w:spacing w:line="360" w:lineRule="auto"/>
        <w:rPr>
          <w:rFonts w:ascii="Times New Roman" w:hAnsi="Times New Roman" w:cs="Times New Roman"/>
          <w:sz w:val="24"/>
        </w:rPr>
      </w:pPr>
    </w:p>
    <w:p w14:paraId="2DB5C042" w14:textId="77777777" w:rsidR="00387656" w:rsidRPr="00DF7C87" w:rsidRDefault="00387656" w:rsidP="008A6B75">
      <w:pPr>
        <w:pStyle w:val="Title"/>
        <w:spacing w:line="360" w:lineRule="auto"/>
        <w:rPr>
          <w:rFonts w:ascii="Times New Roman" w:hAnsi="Times New Roman" w:cs="Times New Roman"/>
          <w:sz w:val="24"/>
        </w:rPr>
      </w:pPr>
    </w:p>
    <w:p w14:paraId="309D6A7C" w14:textId="77777777" w:rsidR="00236E6D" w:rsidRPr="00DF7C87" w:rsidRDefault="00236E6D" w:rsidP="002F4FE7">
      <w:pPr>
        <w:pStyle w:val="Title"/>
        <w:spacing w:line="360" w:lineRule="auto"/>
        <w:jc w:val="left"/>
        <w:rPr>
          <w:rFonts w:ascii="Times New Roman" w:hAnsi="Times New Roman" w:cs="Times New Roman"/>
          <w:sz w:val="24"/>
        </w:rPr>
      </w:pPr>
    </w:p>
    <w:p w14:paraId="220AEDF7" w14:textId="77777777" w:rsidR="00236E6D" w:rsidRPr="00DF7C87" w:rsidRDefault="00236E6D" w:rsidP="008A6B75">
      <w:pPr>
        <w:pStyle w:val="Title"/>
        <w:spacing w:line="360" w:lineRule="auto"/>
        <w:rPr>
          <w:rFonts w:ascii="Times New Roman" w:hAnsi="Times New Roman" w:cs="Times New Roman"/>
          <w:sz w:val="24"/>
        </w:rPr>
      </w:pPr>
    </w:p>
    <w:p w14:paraId="1857EB2F" w14:textId="77777777" w:rsidR="00236E6D" w:rsidRPr="00DF7C87" w:rsidRDefault="00236E6D" w:rsidP="008A6B75">
      <w:pPr>
        <w:pStyle w:val="Title"/>
        <w:spacing w:line="360" w:lineRule="auto"/>
        <w:jc w:val="left"/>
        <w:rPr>
          <w:rFonts w:ascii="Times New Roman" w:hAnsi="Times New Roman" w:cs="Times New Roman"/>
          <w:sz w:val="24"/>
        </w:rPr>
      </w:pPr>
    </w:p>
    <w:p w14:paraId="7FE6245D" w14:textId="77777777" w:rsidR="00236E6D" w:rsidRPr="00DF7C87" w:rsidRDefault="009C755C" w:rsidP="008A6B75">
      <w:pPr>
        <w:pStyle w:val="Title"/>
        <w:spacing w:line="360" w:lineRule="auto"/>
        <w:rPr>
          <w:rFonts w:ascii="Times New Roman" w:hAnsi="Times New Roman" w:cs="Times New Roman"/>
          <w:szCs w:val="28"/>
        </w:rPr>
      </w:pPr>
      <w:r w:rsidRPr="00DF7C87">
        <w:rPr>
          <w:rFonts w:ascii="Times New Roman" w:hAnsi="Times New Roman" w:cs="Times New Roman"/>
          <w:szCs w:val="28"/>
        </w:rPr>
        <w:t>A Thesis Presented for</w:t>
      </w:r>
      <w:r w:rsidR="008865B6" w:rsidRPr="00DF7C87">
        <w:rPr>
          <w:rFonts w:ascii="Times New Roman" w:hAnsi="Times New Roman" w:cs="Times New Roman"/>
          <w:szCs w:val="28"/>
        </w:rPr>
        <w:t xml:space="preserve"> the</w:t>
      </w:r>
    </w:p>
    <w:p w14:paraId="3DE3AAFB" w14:textId="77777777" w:rsidR="00061496" w:rsidRDefault="009C755C" w:rsidP="008A6B75">
      <w:pPr>
        <w:pStyle w:val="Title"/>
        <w:spacing w:line="360" w:lineRule="auto"/>
        <w:rPr>
          <w:rFonts w:ascii="Times New Roman" w:hAnsi="Times New Roman" w:cs="Times New Roman"/>
          <w:szCs w:val="28"/>
        </w:rPr>
      </w:pPr>
      <w:r w:rsidRPr="00DF7C87">
        <w:rPr>
          <w:rFonts w:ascii="Times New Roman" w:hAnsi="Times New Roman" w:cs="Times New Roman"/>
          <w:szCs w:val="28"/>
        </w:rPr>
        <w:t>Master of Science</w:t>
      </w:r>
      <w:r w:rsidR="00396ACF">
        <w:rPr>
          <w:rFonts w:ascii="Times New Roman" w:hAnsi="Times New Roman" w:cs="Times New Roman"/>
          <w:szCs w:val="28"/>
        </w:rPr>
        <w:t xml:space="preserve"> </w:t>
      </w:r>
    </w:p>
    <w:p w14:paraId="258D7DB5" w14:textId="629D0C09" w:rsidR="009C755C" w:rsidRPr="00DF7C87" w:rsidRDefault="009C755C" w:rsidP="008A6B75">
      <w:pPr>
        <w:pStyle w:val="Title"/>
        <w:spacing w:line="360" w:lineRule="auto"/>
        <w:rPr>
          <w:rFonts w:ascii="Times New Roman" w:hAnsi="Times New Roman" w:cs="Times New Roman"/>
          <w:szCs w:val="28"/>
        </w:rPr>
      </w:pPr>
      <w:r w:rsidRPr="00DF7C87">
        <w:rPr>
          <w:rFonts w:ascii="Times New Roman" w:hAnsi="Times New Roman" w:cs="Times New Roman"/>
          <w:szCs w:val="28"/>
        </w:rPr>
        <w:t>Degree</w:t>
      </w:r>
    </w:p>
    <w:p w14:paraId="401C59AD" w14:textId="789AA597" w:rsidR="009C755C" w:rsidRPr="00DF7C87" w:rsidRDefault="00A1556B" w:rsidP="008A6B75">
      <w:pPr>
        <w:pStyle w:val="Title"/>
        <w:spacing w:line="360" w:lineRule="auto"/>
        <w:rPr>
          <w:rFonts w:ascii="Times New Roman" w:hAnsi="Times New Roman" w:cs="Times New Roman"/>
          <w:szCs w:val="28"/>
        </w:rPr>
      </w:pPr>
      <w:r>
        <w:rPr>
          <w:rFonts w:ascii="Times New Roman" w:hAnsi="Times New Roman" w:cs="Times New Roman"/>
          <w:szCs w:val="28"/>
        </w:rPr>
        <w:t xml:space="preserve">        </w:t>
      </w:r>
      <w:r w:rsidR="009C755C" w:rsidRPr="00DF7C87">
        <w:rPr>
          <w:rFonts w:ascii="Times New Roman" w:hAnsi="Times New Roman" w:cs="Times New Roman"/>
          <w:szCs w:val="28"/>
        </w:rPr>
        <w:t>The University of Tennessee, Knoxville</w:t>
      </w:r>
    </w:p>
    <w:p w14:paraId="1AA92248" w14:textId="77777777" w:rsidR="00387656" w:rsidRPr="00DF7C87" w:rsidRDefault="00387656" w:rsidP="008A6B75">
      <w:pPr>
        <w:pStyle w:val="Title"/>
        <w:spacing w:line="360" w:lineRule="auto"/>
        <w:rPr>
          <w:rFonts w:ascii="Times New Roman" w:hAnsi="Times New Roman" w:cs="Times New Roman"/>
          <w:szCs w:val="28"/>
        </w:rPr>
      </w:pPr>
    </w:p>
    <w:p w14:paraId="6594F53A" w14:textId="77777777" w:rsidR="00387656" w:rsidRPr="00DF7C87" w:rsidRDefault="00387656" w:rsidP="008A6B75">
      <w:pPr>
        <w:pStyle w:val="Title"/>
        <w:spacing w:line="360" w:lineRule="auto"/>
        <w:rPr>
          <w:rFonts w:ascii="Times New Roman" w:hAnsi="Times New Roman" w:cs="Times New Roman"/>
          <w:szCs w:val="28"/>
        </w:rPr>
      </w:pPr>
    </w:p>
    <w:p w14:paraId="1E90A071" w14:textId="77777777" w:rsidR="00387656" w:rsidRPr="00DF7C87" w:rsidRDefault="00387656" w:rsidP="008A6B75">
      <w:pPr>
        <w:pStyle w:val="Title"/>
        <w:spacing w:line="360" w:lineRule="auto"/>
        <w:rPr>
          <w:rFonts w:ascii="Times New Roman" w:hAnsi="Times New Roman" w:cs="Times New Roman"/>
          <w:szCs w:val="28"/>
        </w:rPr>
      </w:pPr>
    </w:p>
    <w:p w14:paraId="2D67D7E2" w14:textId="77777777" w:rsidR="00236E6D" w:rsidRPr="00DF7C87" w:rsidRDefault="00236E6D" w:rsidP="008A6B75">
      <w:pPr>
        <w:pStyle w:val="Title"/>
        <w:spacing w:line="360" w:lineRule="auto"/>
        <w:rPr>
          <w:rFonts w:ascii="Times New Roman" w:hAnsi="Times New Roman" w:cs="Times New Roman"/>
          <w:szCs w:val="28"/>
        </w:rPr>
      </w:pPr>
    </w:p>
    <w:p w14:paraId="03D1C1DC" w14:textId="77777777" w:rsidR="00236E6D" w:rsidRPr="00DF7C87" w:rsidRDefault="00236E6D" w:rsidP="008A6B75">
      <w:pPr>
        <w:pStyle w:val="Title"/>
        <w:spacing w:line="360" w:lineRule="auto"/>
        <w:rPr>
          <w:rFonts w:ascii="Times New Roman" w:hAnsi="Times New Roman" w:cs="Times New Roman"/>
          <w:szCs w:val="28"/>
        </w:rPr>
      </w:pPr>
    </w:p>
    <w:p w14:paraId="31081C16" w14:textId="77777777" w:rsidR="00236E6D" w:rsidRPr="00DF7C87" w:rsidRDefault="00236E6D" w:rsidP="008A6B75">
      <w:pPr>
        <w:pStyle w:val="Title"/>
        <w:spacing w:line="360" w:lineRule="auto"/>
        <w:rPr>
          <w:rFonts w:ascii="Times New Roman" w:hAnsi="Times New Roman" w:cs="Times New Roman"/>
          <w:szCs w:val="28"/>
        </w:rPr>
      </w:pPr>
    </w:p>
    <w:p w14:paraId="1F2A4FF6" w14:textId="4676415D" w:rsidR="00236E6D" w:rsidRPr="00DF7C87" w:rsidRDefault="00396ACF" w:rsidP="008A6B75">
      <w:pPr>
        <w:pStyle w:val="Title"/>
        <w:spacing w:line="360" w:lineRule="auto"/>
        <w:rPr>
          <w:rFonts w:ascii="Times New Roman" w:hAnsi="Times New Roman" w:cs="Times New Roman"/>
          <w:szCs w:val="28"/>
        </w:rPr>
      </w:pPr>
      <w:r>
        <w:rPr>
          <w:rFonts w:ascii="Times New Roman" w:hAnsi="Times New Roman" w:cs="Times New Roman"/>
          <w:szCs w:val="28"/>
        </w:rPr>
        <w:t>Sawyer C. Main</w:t>
      </w:r>
    </w:p>
    <w:p w14:paraId="6D6E7A67" w14:textId="3859BB74" w:rsidR="00526151" w:rsidRPr="00061496" w:rsidRDefault="00061496" w:rsidP="00061496">
      <w:pPr>
        <w:pStyle w:val="Title"/>
        <w:spacing w:line="360" w:lineRule="auto"/>
        <w:rPr>
          <w:rFonts w:ascii="Times New Roman" w:hAnsi="Times New Roman" w:cs="Times New Roman"/>
          <w:szCs w:val="28"/>
        </w:rPr>
      </w:pPr>
      <w:r>
        <w:rPr>
          <w:rFonts w:ascii="Times New Roman" w:hAnsi="Times New Roman" w:cs="Times New Roman"/>
          <w:szCs w:val="28"/>
        </w:rPr>
        <w:t>December</w:t>
      </w:r>
      <w:r w:rsidR="00396ACF">
        <w:rPr>
          <w:rFonts w:ascii="Times New Roman" w:hAnsi="Times New Roman" w:cs="Times New Roman"/>
          <w:szCs w:val="28"/>
        </w:rPr>
        <w:t xml:space="preserve"> 2023</w:t>
      </w:r>
    </w:p>
    <w:p w14:paraId="74360444" w14:textId="77777777" w:rsidR="00314C7F" w:rsidRDefault="00314C7F" w:rsidP="008A6B75">
      <w:pPr>
        <w:spacing w:line="360" w:lineRule="auto"/>
        <w:jc w:val="center"/>
        <w:rPr>
          <w:rFonts w:ascii="Times New Roman" w:hAnsi="Times New Roman" w:cs="Times New Roman"/>
        </w:rPr>
      </w:pPr>
    </w:p>
    <w:p w14:paraId="425ABC13" w14:textId="59F05692" w:rsidR="00236E6D" w:rsidRPr="00DF7C87" w:rsidRDefault="00DF7C87" w:rsidP="008A6B75">
      <w:pPr>
        <w:spacing w:line="360" w:lineRule="auto"/>
        <w:jc w:val="center"/>
        <w:rPr>
          <w:rFonts w:ascii="Times New Roman" w:hAnsi="Times New Roman" w:cs="Times New Roman"/>
        </w:rPr>
      </w:pPr>
      <w:r>
        <w:rPr>
          <w:rFonts w:ascii="Times New Roman" w:hAnsi="Times New Roman" w:cs="Times New Roman"/>
        </w:rPr>
        <w:lastRenderedPageBreak/>
        <w:t>Copyright © 202</w:t>
      </w:r>
      <w:r w:rsidR="00396ACF">
        <w:rPr>
          <w:rFonts w:ascii="Times New Roman" w:hAnsi="Times New Roman" w:cs="Times New Roman"/>
        </w:rPr>
        <w:t xml:space="preserve">3 </w:t>
      </w:r>
      <w:r w:rsidR="00236E6D" w:rsidRPr="00DF7C87">
        <w:rPr>
          <w:rFonts w:ascii="Times New Roman" w:hAnsi="Times New Roman" w:cs="Times New Roman"/>
        </w:rPr>
        <w:t xml:space="preserve">by </w:t>
      </w:r>
      <w:r w:rsidR="00396ACF">
        <w:rPr>
          <w:rFonts w:ascii="Times New Roman" w:hAnsi="Times New Roman" w:cs="Times New Roman"/>
        </w:rPr>
        <w:t>Sawyer C. Main</w:t>
      </w:r>
    </w:p>
    <w:p w14:paraId="2DEE0C14" w14:textId="77777777" w:rsidR="00236E6D" w:rsidRPr="00DF7C87" w:rsidRDefault="00236E6D" w:rsidP="008A6B75">
      <w:pPr>
        <w:spacing w:line="360" w:lineRule="auto"/>
        <w:jc w:val="center"/>
        <w:rPr>
          <w:rFonts w:ascii="Times New Roman" w:hAnsi="Times New Roman" w:cs="Times New Roman"/>
        </w:rPr>
      </w:pPr>
      <w:r w:rsidRPr="00DF7C87">
        <w:rPr>
          <w:rFonts w:ascii="Times New Roman" w:hAnsi="Times New Roman" w:cs="Times New Roman"/>
        </w:rPr>
        <w:t>All rights reserved.</w:t>
      </w:r>
    </w:p>
    <w:p w14:paraId="205239AD" w14:textId="77777777" w:rsidR="00236E6D" w:rsidRPr="00DF7C87" w:rsidRDefault="00236E6D" w:rsidP="008A6B75">
      <w:pPr>
        <w:spacing w:line="360" w:lineRule="auto"/>
        <w:rPr>
          <w:rFonts w:ascii="Times New Roman" w:hAnsi="Times New Roman" w:cs="Times New Roman"/>
        </w:rPr>
      </w:pPr>
    </w:p>
    <w:p w14:paraId="0D7B7698" w14:textId="77777777" w:rsidR="00236E6D" w:rsidRPr="00DF7C87" w:rsidRDefault="00236E6D" w:rsidP="008A6B75">
      <w:pPr>
        <w:spacing w:line="360" w:lineRule="auto"/>
        <w:rPr>
          <w:rFonts w:ascii="Times New Roman" w:hAnsi="Times New Roman" w:cs="Times New Roman"/>
        </w:rPr>
      </w:pPr>
    </w:p>
    <w:p w14:paraId="54816967" w14:textId="77777777" w:rsidR="00236E6D" w:rsidRPr="00DF7C87" w:rsidRDefault="00236E6D" w:rsidP="008A6B75">
      <w:pPr>
        <w:spacing w:line="360" w:lineRule="auto"/>
        <w:rPr>
          <w:rFonts w:ascii="Times New Roman" w:hAnsi="Times New Roman" w:cs="Times New Roman"/>
        </w:rPr>
      </w:pPr>
    </w:p>
    <w:p w14:paraId="03B57980" w14:textId="77777777" w:rsidR="00236E6D" w:rsidRPr="00DF7C87" w:rsidRDefault="00236E6D" w:rsidP="008A6B75">
      <w:pPr>
        <w:spacing w:line="360" w:lineRule="auto"/>
        <w:rPr>
          <w:rFonts w:ascii="Times New Roman" w:hAnsi="Times New Roman" w:cs="Times New Roman"/>
        </w:rPr>
      </w:pPr>
    </w:p>
    <w:p w14:paraId="6402D83F" w14:textId="77777777" w:rsidR="00236E6D" w:rsidRPr="00DF7C87" w:rsidRDefault="00236E6D" w:rsidP="008A6B75">
      <w:pPr>
        <w:spacing w:line="360" w:lineRule="auto"/>
        <w:rPr>
          <w:rFonts w:ascii="Times New Roman" w:hAnsi="Times New Roman" w:cs="Times New Roman"/>
        </w:rPr>
      </w:pPr>
    </w:p>
    <w:p w14:paraId="5C2EE44B" w14:textId="77777777" w:rsidR="00236E6D" w:rsidRPr="00DF7C87" w:rsidRDefault="00236E6D" w:rsidP="008A6B75">
      <w:pPr>
        <w:spacing w:line="360" w:lineRule="auto"/>
        <w:rPr>
          <w:rFonts w:ascii="Times New Roman" w:hAnsi="Times New Roman" w:cs="Times New Roman"/>
        </w:rPr>
      </w:pPr>
    </w:p>
    <w:p w14:paraId="0DF8F14F" w14:textId="77777777" w:rsidR="00236E6D" w:rsidRPr="00DF7C87" w:rsidRDefault="00236E6D" w:rsidP="008A6B75">
      <w:pPr>
        <w:spacing w:line="360" w:lineRule="auto"/>
        <w:rPr>
          <w:rFonts w:ascii="Times New Roman" w:hAnsi="Times New Roman" w:cs="Times New Roman"/>
        </w:rPr>
      </w:pPr>
    </w:p>
    <w:p w14:paraId="224E11EF" w14:textId="77777777" w:rsidR="00236E6D" w:rsidRPr="00DF7C87" w:rsidRDefault="00236E6D" w:rsidP="008A6B75">
      <w:pPr>
        <w:spacing w:line="360" w:lineRule="auto"/>
        <w:rPr>
          <w:rFonts w:ascii="Times New Roman" w:hAnsi="Times New Roman" w:cs="Times New Roman"/>
        </w:rPr>
      </w:pPr>
    </w:p>
    <w:p w14:paraId="2812B413" w14:textId="77777777" w:rsidR="00236E6D" w:rsidRPr="00DF7C87" w:rsidRDefault="00236E6D" w:rsidP="008A6B75">
      <w:pPr>
        <w:spacing w:line="360" w:lineRule="auto"/>
        <w:rPr>
          <w:rFonts w:ascii="Times New Roman" w:hAnsi="Times New Roman" w:cs="Times New Roman"/>
        </w:rPr>
      </w:pPr>
    </w:p>
    <w:p w14:paraId="709303DB" w14:textId="77777777" w:rsidR="00236E6D" w:rsidRPr="00DF7C87" w:rsidRDefault="00236E6D" w:rsidP="008A6B75">
      <w:pPr>
        <w:spacing w:line="360" w:lineRule="auto"/>
        <w:rPr>
          <w:rFonts w:ascii="Times New Roman" w:hAnsi="Times New Roman" w:cs="Times New Roman"/>
        </w:rPr>
      </w:pPr>
    </w:p>
    <w:p w14:paraId="44E7934A" w14:textId="1E196B31" w:rsidR="00396ACF" w:rsidRPr="00396ACF" w:rsidRDefault="00396ACF" w:rsidP="008A6B75">
      <w:pPr>
        <w:pStyle w:val="Title"/>
        <w:spacing w:line="360" w:lineRule="auto"/>
        <w:jc w:val="left"/>
        <w:rPr>
          <w:rFonts w:ascii="Times New Roman" w:hAnsi="Times New Roman" w:cs="Times New Roman"/>
        </w:rPr>
      </w:pPr>
    </w:p>
    <w:p w14:paraId="113C9A20" w14:textId="0F44290D" w:rsidR="00CD73A9" w:rsidRPr="00060A6A" w:rsidRDefault="006F5AA4" w:rsidP="008A6B75">
      <w:pPr>
        <w:pStyle w:val="Title"/>
        <w:spacing w:line="360" w:lineRule="auto"/>
        <w:rPr>
          <w:rFonts w:ascii="Times New Roman" w:hAnsi="Times New Roman" w:cs="Times New Roman"/>
          <w:szCs w:val="28"/>
        </w:rPr>
      </w:pPr>
      <w:r w:rsidRPr="00396ACF">
        <w:br w:type="page"/>
      </w:r>
      <w:r w:rsidR="00CD73A9" w:rsidRPr="00060A6A">
        <w:rPr>
          <w:rFonts w:ascii="Times New Roman" w:hAnsi="Times New Roman" w:cs="Times New Roman"/>
          <w:szCs w:val="28"/>
        </w:rPr>
        <w:lastRenderedPageBreak/>
        <w:t>ACKNOWLEDGEMENTS</w:t>
      </w:r>
    </w:p>
    <w:p w14:paraId="5CF165EF" w14:textId="77777777" w:rsidR="009D794C" w:rsidRPr="00DF7C87" w:rsidRDefault="009D794C" w:rsidP="008A6B75">
      <w:pPr>
        <w:spacing w:line="360" w:lineRule="auto"/>
        <w:rPr>
          <w:rFonts w:ascii="Times New Roman" w:hAnsi="Times New Roman" w:cs="Times New Roman"/>
        </w:rPr>
      </w:pPr>
    </w:p>
    <w:p w14:paraId="350768BD" w14:textId="696E0827" w:rsidR="00396ACF" w:rsidRDefault="00396ACF" w:rsidP="008A6B75">
      <w:pPr>
        <w:spacing w:line="360" w:lineRule="auto"/>
        <w:rPr>
          <w:rFonts w:ascii="Times New Roman" w:hAnsi="Times New Roman" w:cs="Times New Roman"/>
        </w:rPr>
      </w:pPr>
      <w:r>
        <w:rPr>
          <w:rFonts w:ascii="Times New Roman" w:hAnsi="Times New Roman" w:cs="Times New Roman"/>
        </w:rPr>
        <w:t xml:space="preserve">To start, words cannot express my gratitude to Dr. Jennie Ivey. Thank you for taking a chance on me as a graduate student and continuing to have faith in my ability to succeed even when I lacked faith in myself. Thank you for your authentic honesty and for pushing me to accomplish things far beyond what I thought I was capable of. I am so grateful for the knowledge you have given me throughout this graduate program, and I am even more grateful for the tough love you have shown me, the laugher we have shared, and the life lessons you have taught me along the way. I consider it a great honor to call you not only my mentor, but my friend. Your guidance has provided me with priceless opportunities that have shaped me into the successful professional I am and intend to continue to be. </w:t>
      </w:r>
    </w:p>
    <w:p w14:paraId="7849E00A" w14:textId="77777777" w:rsidR="00396ACF" w:rsidRDefault="00396ACF" w:rsidP="008A6B75">
      <w:pPr>
        <w:spacing w:line="360" w:lineRule="auto"/>
        <w:rPr>
          <w:rFonts w:ascii="Times New Roman" w:hAnsi="Times New Roman" w:cs="Times New Roman"/>
        </w:rPr>
      </w:pPr>
    </w:p>
    <w:p w14:paraId="4524E77A" w14:textId="77777777" w:rsidR="00396ACF" w:rsidRDefault="00396ACF" w:rsidP="008A6B75">
      <w:pPr>
        <w:spacing w:line="360" w:lineRule="auto"/>
        <w:rPr>
          <w:rFonts w:ascii="Times New Roman" w:hAnsi="Times New Roman" w:cs="Times New Roman"/>
        </w:rPr>
      </w:pPr>
      <w:r>
        <w:rPr>
          <w:rFonts w:ascii="Times New Roman" w:hAnsi="Times New Roman" w:cs="Times New Roman"/>
        </w:rPr>
        <w:t xml:space="preserve">Throughout my career as a graduate student, I have been incredibly fortunate to have a supportive and encouraging committee that have proved invaluable to my projects and my own personal growth. Thank you, Dr. Lew Strickland and Dr. Justin Rhinehart, for helping guide me through this program. I would also like to thank each of you for keeping me connected to East Tennessee and showing me to unapologetically embrace my Appalachian roots from time to time. </w:t>
      </w:r>
    </w:p>
    <w:p w14:paraId="33D1194C" w14:textId="77777777" w:rsidR="00396ACF" w:rsidRDefault="00396ACF" w:rsidP="008A6B75">
      <w:pPr>
        <w:spacing w:line="360" w:lineRule="auto"/>
        <w:rPr>
          <w:rFonts w:ascii="Times New Roman" w:hAnsi="Times New Roman" w:cs="Times New Roman"/>
        </w:rPr>
      </w:pPr>
    </w:p>
    <w:p w14:paraId="77C45A9D" w14:textId="3941CB69" w:rsidR="00396ACF" w:rsidRDefault="00396ACF" w:rsidP="008A6B75">
      <w:pPr>
        <w:spacing w:line="360" w:lineRule="auto"/>
        <w:rPr>
          <w:rFonts w:ascii="Times New Roman" w:hAnsi="Times New Roman" w:cs="Times New Roman"/>
        </w:rPr>
      </w:pPr>
      <w:r>
        <w:rPr>
          <w:rFonts w:ascii="Times New Roman" w:hAnsi="Times New Roman" w:cs="Times New Roman"/>
        </w:rPr>
        <w:t>My friendships have always been and will continue to be one of the things I value most in this life and without the support and friendship of numerous people, this journey would not have been possible. I am deeply grateful for my lab mates and close friends Olivia Watson, Delaney Rostad, Ashley Self</w:t>
      </w:r>
      <w:r w:rsidR="002771C9">
        <w:rPr>
          <w:rFonts w:ascii="Times New Roman" w:hAnsi="Times New Roman" w:cs="Times New Roman"/>
        </w:rPr>
        <w:t>, and honorary lab mate Lindsay Brown</w:t>
      </w:r>
      <w:r>
        <w:rPr>
          <w:rFonts w:ascii="Times New Roman" w:hAnsi="Times New Roman" w:cs="Times New Roman"/>
        </w:rPr>
        <w:t xml:space="preserve">. Thank you for the unconditional support throughout the past few years. I would also like to express my sincere gratitude to Christian Dalton, Malerie Fancher, Jake Watts, and the other Animal Science graduate students for the loyalty, love, and camaraderie they have given to me. The memories we have made and friendships we have developed are not taken for granted and will be cherished forever. </w:t>
      </w:r>
    </w:p>
    <w:p w14:paraId="42D5295A" w14:textId="77777777" w:rsidR="00396ACF" w:rsidRDefault="00396ACF" w:rsidP="008A6B75">
      <w:pPr>
        <w:spacing w:line="360" w:lineRule="auto"/>
        <w:rPr>
          <w:rFonts w:ascii="Times New Roman" w:hAnsi="Times New Roman" w:cs="Times New Roman"/>
        </w:rPr>
      </w:pPr>
    </w:p>
    <w:p w14:paraId="06A04654" w14:textId="0D59CB6D" w:rsidR="00396ACF" w:rsidRDefault="00396ACF" w:rsidP="008A6B75">
      <w:pPr>
        <w:spacing w:line="360" w:lineRule="auto"/>
        <w:rPr>
          <w:rFonts w:ascii="Times New Roman" w:hAnsi="Times New Roman" w:cs="Times New Roman"/>
        </w:rPr>
      </w:pPr>
      <w:r>
        <w:rPr>
          <w:rFonts w:ascii="Times New Roman" w:hAnsi="Times New Roman" w:cs="Times New Roman"/>
        </w:rPr>
        <w:t xml:space="preserve">I would also like to extend my thanks to my hometown friends. Thank you, Alec Tester, Jake Bower, Evan Martin, and Stephen Meredith, for sticking by </w:t>
      </w:r>
      <w:r w:rsidR="00806E92">
        <w:rPr>
          <w:rFonts w:ascii="Times New Roman" w:hAnsi="Times New Roman" w:cs="Times New Roman"/>
        </w:rPr>
        <w:t xml:space="preserve">my </w:t>
      </w:r>
      <w:r>
        <w:rPr>
          <w:rFonts w:ascii="Times New Roman" w:hAnsi="Times New Roman" w:cs="Times New Roman"/>
        </w:rPr>
        <w:t xml:space="preserve">side since our youth. I am truly </w:t>
      </w:r>
      <w:r>
        <w:rPr>
          <w:rFonts w:ascii="Times New Roman" w:hAnsi="Times New Roman" w:cs="Times New Roman"/>
        </w:rPr>
        <w:lastRenderedPageBreak/>
        <w:t xml:space="preserve">fortunate to have childhood friendships continue to thrive into adulthood. I would also like to recognize my cousins Jacob Baker and Jodi Baker who are more like siblings than cousins. I am so grateful for them and their ability to always say the right things to make me laugh. </w:t>
      </w:r>
    </w:p>
    <w:p w14:paraId="4DB6B5D1" w14:textId="77777777" w:rsidR="00396ACF" w:rsidRDefault="00396ACF" w:rsidP="008A6B75">
      <w:pPr>
        <w:spacing w:line="360" w:lineRule="auto"/>
        <w:rPr>
          <w:rFonts w:ascii="Times New Roman" w:hAnsi="Times New Roman" w:cs="Times New Roman"/>
        </w:rPr>
      </w:pPr>
    </w:p>
    <w:p w14:paraId="756A00B1" w14:textId="77777777" w:rsidR="00396ACF" w:rsidRPr="00DF7C87" w:rsidRDefault="00396ACF" w:rsidP="008A6B75">
      <w:pPr>
        <w:spacing w:line="360" w:lineRule="auto"/>
        <w:rPr>
          <w:rFonts w:ascii="Times New Roman" w:hAnsi="Times New Roman" w:cs="Times New Roman"/>
        </w:rPr>
      </w:pPr>
      <w:r>
        <w:rPr>
          <w:rFonts w:ascii="Times New Roman" w:hAnsi="Times New Roman" w:cs="Times New Roman"/>
        </w:rPr>
        <w:t>From the very beginning, my family has been my biggest support group. This endeavor would not have been possible without my parents, Lisa Main and Ray Lunceford. Regardless of how much I doubted my ability, they never have. They have continued to believe in me and stand by me through the good times and the bad. All I have ever wanted was to make you proud. You both taught me to never forget where I came from and how to be the best man I can be. I am truly blessed to have such a loving and supporting family. I would also like to recognize my late grandmother, Kathleen Baker. She was always passionate about education, and she passed that passion on to me. Nanny – I think of you all the time and I hope I’m making you proud.</w:t>
      </w:r>
    </w:p>
    <w:p w14:paraId="4550EA94" w14:textId="77777777" w:rsidR="0085757D" w:rsidRPr="00DF7C87" w:rsidRDefault="0085757D" w:rsidP="008A6B75">
      <w:pPr>
        <w:spacing w:line="360" w:lineRule="auto"/>
        <w:rPr>
          <w:rFonts w:ascii="Times New Roman" w:hAnsi="Times New Roman" w:cs="Times New Roman"/>
        </w:rPr>
      </w:pPr>
    </w:p>
    <w:p w14:paraId="4C4412E5" w14:textId="77777777" w:rsidR="00904969" w:rsidRPr="00DF7C87" w:rsidRDefault="00904969" w:rsidP="008A6B75">
      <w:pPr>
        <w:spacing w:line="360" w:lineRule="auto"/>
        <w:rPr>
          <w:rFonts w:ascii="Times New Roman" w:hAnsi="Times New Roman" w:cs="Times New Roman"/>
        </w:rPr>
      </w:pPr>
    </w:p>
    <w:p w14:paraId="6A95C0F1" w14:textId="77777777" w:rsidR="00904969" w:rsidRPr="00DF7C87" w:rsidRDefault="00904969" w:rsidP="008A6B75">
      <w:pPr>
        <w:spacing w:line="360" w:lineRule="auto"/>
        <w:rPr>
          <w:rFonts w:ascii="Times New Roman" w:hAnsi="Times New Roman" w:cs="Times New Roman"/>
        </w:rPr>
      </w:pPr>
    </w:p>
    <w:p w14:paraId="0E17D105" w14:textId="77777777" w:rsidR="00904969" w:rsidRPr="00DF7C87" w:rsidRDefault="00904969" w:rsidP="008A6B75">
      <w:pPr>
        <w:spacing w:line="360" w:lineRule="auto"/>
        <w:rPr>
          <w:rFonts w:ascii="Times New Roman" w:hAnsi="Times New Roman" w:cs="Times New Roman"/>
        </w:rPr>
      </w:pPr>
    </w:p>
    <w:p w14:paraId="05D9FB8B" w14:textId="12819A61" w:rsidR="00A50F5A" w:rsidRDefault="0085757D" w:rsidP="00061496">
      <w:pPr>
        <w:pStyle w:val="Title"/>
        <w:spacing w:line="360" w:lineRule="auto"/>
        <w:rPr>
          <w:rFonts w:ascii="Times New Roman" w:hAnsi="Times New Roman" w:cs="Times New Roman"/>
          <w:szCs w:val="28"/>
        </w:rPr>
      </w:pPr>
      <w:r w:rsidRPr="00DF7C87">
        <w:rPr>
          <w:rFonts w:ascii="Times New Roman" w:hAnsi="Times New Roman" w:cs="Times New Roman"/>
          <w:sz w:val="24"/>
        </w:rPr>
        <w:br w:type="page"/>
      </w:r>
      <w:r w:rsidR="00236E6D" w:rsidRPr="00060A6A">
        <w:rPr>
          <w:rFonts w:ascii="Times New Roman" w:hAnsi="Times New Roman" w:cs="Times New Roman"/>
          <w:szCs w:val="28"/>
        </w:rPr>
        <w:lastRenderedPageBreak/>
        <w:t>ABSTRACT</w:t>
      </w:r>
    </w:p>
    <w:p w14:paraId="69EA11B9" w14:textId="77777777" w:rsidR="00061496" w:rsidRPr="00061496" w:rsidRDefault="00061496" w:rsidP="00061496">
      <w:pPr>
        <w:pStyle w:val="Title"/>
        <w:spacing w:line="360" w:lineRule="auto"/>
        <w:rPr>
          <w:rFonts w:ascii="Times New Roman" w:hAnsi="Times New Roman" w:cs="Times New Roman"/>
          <w:szCs w:val="28"/>
        </w:rPr>
      </w:pPr>
    </w:p>
    <w:p w14:paraId="39445E22" w14:textId="1D304AEF" w:rsidR="00A50F5A" w:rsidRPr="00396ACF" w:rsidRDefault="00396ACF" w:rsidP="008A6B75">
      <w:pPr>
        <w:spacing w:line="360" w:lineRule="auto"/>
        <w:rPr>
          <w:rFonts w:ascii="Times New Roman" w:hAnsi="Times New Roman" w:cs="Times New Roman"/>
        </w:rPr>
      </w:pPr>
      <w:r w:rsidRPr="00396ACF">
        <w:rPr>
          <w:rFonts w:ascii="Times New Roman" w:hAnsi="Times New Roman" w:cs="Times New Roman"/>
        </w:rPr>
        <w:t xml:space="preserve">The University of Tennessee Extension </w:t>
      </w:r>
      <w:r w:rsidR="00806E92">
        <w:rPr>
          <w:rFonts w:ascii="Times New Roman" w:hAnsi="Times New Roman" w:cs="Times New Roman"/>
        </w:rPr>
        <w:t>S</w:t>
      </w:r>
      <w:r w:rsidRPr="00396ACF">
        <w:rPr>
          <w:rFonts w:ascii="Times New Roman" w:hAnsi="Times New Roman" w:cs="Times New Roman"/>
        </w:rPr>
        <w:t xml:space="preserve">ystem and others </w:t>
      </w:r>
      <w:r w:rsidR="00806E92">
        <w:rPr>
          <w:rFonts w:ascii="Times New Roman" w:hAnsi="Times New Roman" w:cs="Times New Roman"/>
        </w:rPr>
        <w:t>land grant institutions</w:t>
      </w:r>
      <w:r w:rsidRPr="00396ACF">
        <w:rPr>
          <w:rFonts w:ascii="Times New Roman" w:hAnsi="Times New Roman" w:cs="Times New Roman"/>
        </w:rPr>
        <w:t xml:space="preserve"> </w:t>
      </w:r>
      <w:r w:rsidR="00D4034A">
        <w:rPr>
          <w:rFonts w:ascii="Times New Roman" w:hAnsi="Times New Roman" w:cs="Times New Roman"/>
        </w:rPr>
        <w:t>strive to translate basic science into usable information for various outlets and use applied research to answer practical problems.</w:t>
      </w:r>
      <w:r w:rsidRPr="00396ACF">
        <w:rPr>
          <w:rFonts w:ascii="Times New Roman" w:hAnsi="Times New Roman" w:cs="Times New Roman"/>
        </w:rPr>
        <w:t xml:space="preserve"> </w:t>
      </w:r>
      <w:r w:rsidR="00806E92">
        <w:rPr>
          <w:rFonts w:ascii="Times New Roman" w:hAnsi="Times New Roman" w:cs="Times New Roman"/>
        </w:rPr>
        <w:t xml:space="preserve"> </w:t>
      </w:r>
      <w:r w:rsidRPr="00396ACF">
        <w:rPr>
          <w:rFonts w:ascii="Times New Roman" w:hAnsi="Times New Roman" w:cs="Times New Roman"/>
        </w:rPr>
        <w:t xml:space="preserve">Currently, the large population of emaciated horses continues to </w:t>
      </w:r>
      <w:r w:rsidR="00EB7159">
        <w:rPr>
          <w:rFonts w:ascii="Times New Roman" w:hAnsi="Times New Roman" w:cs="Times New Roman"/>
        </w:rPr>
        <w:t>challenge</w:t>
      </w:r>
      <w:r w:rsidRPr="00396ACF">
        <w:rPr>
          <w:rFonts w:ascii="Times New Roman" w:hAnsi="Times New Roman" w:cs="Times New Roman"/>
        </w:rPr>
        <w:t xml:space="preserve"> the equine industry</w:t>
      </w:r>
      <w:r w:rsidR="00EB7159">
        <w:rPr>
          <w:rFonts w:ascii="Times New Roman" w:hAnsi="Times New Roman" w:cs="Times New Roman"/>
        </w:rPr>
        <w:t>; h</w:t>
      </w:r>
      <w:r w:rsidRPr="00396ACF">
        <w:rPr>
          <w:rFonts w:ascii="Times New Roman" w:hAnsi="Times New Roman" w:cs="Times New Roman"/>
        </w:rPr>
        <w:t xml:space="preserve">owever, little is known regarding the </w:t>
      </w:r>
      <w:r w:rsidR="00102631">
        <w:rPr>
          <w:rFonts w:ascii="Times New Roman" w:hAnsi="Times New Roman" w:cs="Times New Roman"/>
        </w:rPr>
        <w:t>equine metabolome</w:t>
      </w:r>
      <w:r w:rsidRPr="00396ACF">
        <w:rPr>
          <w:rFonts w:ascii="Times New Roman" w:hAnsi="Times New Roman" w:cs="Times New Roman"/>
        </w:rPr>
        <w:t xml:space="preserve"> during </w:t>
      </w:r>
      <w:r w:rsidR="00102631">
        <w:rPr>
          <w:rFonts w:ascii="Times New Roman" w:hAnsi="Times New Roman" w:cs="Times New Roman"/>
        </w:rPr>
        <w:t>emaciation</w:t>
      </w:r>
      <w:r w:rsidRPr="00396ACF">
        <w:rPr>
          <w:rFonts w:ascii="Times New Roman" w:hAnsi="Times New Roman" w:cs="Times New Roman"/>
        </w:rPr>
        <w:t xml:space="preserve"> and the changes that occur throughout nutritional rehabilitation. Ten emaciated horses underwent a refeeding process, during which blood samples were collected for a blood chemistry panel and metabolomics analysis. </w:t>
      </w:r>
      <w:r w:rsidR="00E71D52">
        <w:rPr>
          <w:rFonts w:ascii="Times New Roman" w:hAnsi="Times New Roman" w:cs="Times New Roman"/>
        </w:rPr>
        <w:t xml:space="preserve">Statistical analysis was conducted using SAS v9.4 (Cary, NC). </w:t>
      </w:r>
      <w:r w:rsidRPr="00396ACF">
        <w:rPr>
          <w:rFonts w:ascii="Times New Roman" w:hAnsi="Times New Roman" w:cs="Times New Roman"/>
        </w:rPr>
        <w:t xml:space="preserve">Significant differences </w:t>
      </w:r>
      <w:r w:rsidR="00102631">
        <w:rPr>
          <w:rFonts w:ascii="Times New Roman" w:hAnsi="Times New Roman" w:cs="Times New Roman"/>
        </w:rPr>
        <w:t>in</w:t>
      </w:r>
      <w:r w:rsidR="00102631" w:rsidRPr="00396ACF">
        <w:rPr>
          <w:rFonts w:ascii="Times New Roman" w:hAnsi="Times New Roman" w:cs="Times New Roman"/>
        </w:rPr>
        <w:t xml:space="preserve"> </w:t>
      </w:r>
      <w:r w:rsidRPr="00396ACF">
        <w:rPr>
          <w:rFonts w:ascii="Times New Roman" w:hAnsi="Times New Roman" w:cs="Times New Roman"/>
        </w:rPr>
        <w:t xml:space="preserve">blood chemistry analytes and metabolite abundance </w:t>
      </w:r>
      <w:r w:rsidR="00102631">
        <w:rPr>
          <w:rFonts w:ascii="Times New Roman" w:hAnsi="Times New Roman" w:cs="Times New Roman"/>
        </w:rPr>
        <w:t xml:space="preserve">were seen </w:t>
      </w:r>
      <w:r w:rsidRPr="00396ACF">
        <w:rPr>
          <w:rFonts w:ascii="Times New Roman" w:hAnsi="Times New Roman" w:cs="Times New Roman"/>
        </w:rPr>
        <w:t xml:space="preserve">during the </w:t>
      </w:r>
      <w:r w:rsidR="00102631">
        <w:rPr>
          <w:rFonts w:ascii="Times New Roman" w:hAnsi="Times New Roman" w:cs="Times New Roman"/>
        </w:rPr>
        <w:t>refeeding process</w:t>
      </w:r>
      <w:r w:rsidRPr="00396ACF">
        <w:rPr>
          <w:rFonts w:ascii="Times New Roman" w:hAnsi="Times New Roman" w:cs="Times New Roman"/>
        </w:rPr>
        <w:t xml:space="preserve">. Potentially toxic compounds, analytes related to liver, kidney, and muscle function, as well as energy-related metabolites were </w:t>
      </w:r>
      <w:r w:rsidR="00102631">
        <w:rPr>
          <w:rFonts w:ascii="Times New Roman" w:hAnsi="Times New Roman" w:cs="Times New Roman"/>
        </w:rPr>
        <w:t xml:space="preserve">also </w:t>
      </w:r>
      <w:r w:rsidRPr="00396ACF">
        <w:rPr>
          <w:rFonts w:ascii="Times New Roman" w:hAnsi="Times New Roman" w:cs="Times New Roman"/>
        </w:rPr>
        <w:t>altered during the refeeding process.</w:t>
      </w:r>
      <w:r w:rsidR="00102631">
        <w:rPr>
          <w:rFonts w:ascii="Times New Roman" w:hAnsi="Times New Roman" w:cs="Times New Roman"/>
        </w:rPr>
        <w:t xml:space="preserve"> </w:t>
      </w:r>
      <w:proofErr w:type="spellStart"/>
      <w:r w:rsidR="00C128A9" w:rsidRPr="00E71D52">
        <w:rPr>
          <w:rFonts w:ascii="Times New Roman" w:hAnsi="Times New Roman" w:cs="Times New Roman"/>
          <w:color w:val="000000" w:themeColor="text1"/>
        </w:rPr>
        <w:t>Alantoin</w:t>
      </w:r>
      <w:proofErr w:type="spellEnd"/>
      <w:r w:rsidR="00C128A9" w:rsidRPr="00E71D52">
        <w:rPr>
          <w:rFonts w:ascii="Times New Roman" w:hAnsi="Times New Roman" w:cs="Times New Roman"/>
          <w:color w:val="000000" w:themeColor="text1"/>
        </w:rPr>
        <w:t xml:space="preserve"> (p</w:t>
      </w:r>
      <w:r w:rsidR="00E71D52" w:rsidRPr="00E71D52">
        <w:rPr>
          <w:rFonts w:ascii="Times New Roman" w:hAnsi="Times New Roman" w:cs="Times New Roman"/>
          <w:color w:val="000000" w:themeColor="text1"/>
        </w:rPr>
        <w:t xml:space="preserve"> </w:t>
      </w:r>
      <w:r w:rsidR="00E71D52" w:rsidRPr="00E71D52">
        <w:rPr>
          <w:rFonts w:ascii="Times New Roman" w:hAnsi="Times New Roman" w:cs="Times New Roman"/>
          <w:color w:val="000000" w:themeColor="text1"/>
          <w:shd w:val="clear" w:color="auto" w:fill="FFFFFF"/>
        </w:rPr>
        <w:t>≤ 0.01)</w:t>
      </w:r>
      <w:r w:rsidR="00C128A9" w:rsidRPr="00E71D52">
        <w:rPr>
          <w:rFonts w:ascii="Times New Roman" w:hAnsi="Times New Roman" w:cs="Times New Roman"/>
          <w:color w:val="000000" w:themeColor="text1"/>
        </w:rPr>
        <w:t>, phenylalanine</w:t>
      </w:r>
      <w:r w:rsidR="00E71D52" w:rsidRPr="00E71D52">
        <w:rPr>
          <w:rFonts w:ascii="Times New Roman" w:hAnsi="Times New Roman" w:cs="Times New Roman"/>
          <w:color w:val="000000" w:themeColor="text1"/>
        </w:rPr>
        <w:t xml:space="preserve"> (p</w:t>
      </w:r>
      <w:r w:rsidR="00E71D52" w:rsidRPr="00E71D52">
        <w:rPr>
          <w:rFonts w:ascii="Times New Roman" w:hAnsi="Times New Roman" w:cs="Times New Roman"/>
          <w:color w:val="000000" w:themeColor="text1"/>
          <w:shd w:val="clear" w:color="auto" w:fill="FFFFFF"/>
        </w:rPr>
        <w:t xml:space="preserve"> ≤ 0.1)</w:t>
      </w:r>
      <w:r w:rsidR="00C128A9" w:rsidRPr="00E71D52">
        <w:rPr>
          <w:rFonts w:ascii="Times New Roman" w:hAnsi="Times New Roman" w:cs="Times New Roman"/>
          <w:color w:val="000000" w:themeColor="text1"/>
        </w:rPr>
        <w:t xml:space="preserve">, and methionine </w:t>
      </w:r>
      <w:r w:rsidR="00E71D52" w:rsidRPr="00E71D52">
        <w:rPr>
          <w:rFonts w:ascii="Times New Roman" w:hAnsi="Times New Roman" w:cs="Times New Roman"/>
          <w:color w:val="000000" w:themeColor="text1"/>
        </w:rPr>
        <w:t xml:space="preserve">(p </w:t>
      </w:r>
      <w:r w:rsidR="00E71D52" w:rsidRPr="00E71D52">
        <w:rPr>
          <w:rFonts w:ascii="Times New Roman" w:hAnsi="Times New Roman" w:cs="Times New Roman"/>
          <w:color w:val="000000" w:themeColor="text1"/>
          <w:shd w:val="clear" w:color="auto" w:fill="FFFFFF"/>
        </w:rPr>
        <w:t xml:space="preserve">≤ 0.05) </w:t>
      </w:r>
      <w:r w:rsidR="00C128A9" w:rsidRPr="00E71D52">
        <w:rPr>
          <w:rFonts w:ascii="Times New Roman" w:hAnsi="Times New Roman" w:cs="Times New Roman"/>
          <w:color w:val="000000" w:themeColor="text1"/>
        </w:rPr>
        <w:t>were found to be significantly decreased in horses with higher BCS scores.</w:t>
      </w:r>
      <w:r w:rsidR="00C128A9" w:rsidRPr="00E71D52">
        <w:rPr>
          <w:color w:val="000000" w:themeColor="text1"/>
        </w:rPr>
        <w:t xml:space="preserve"> </w:t>
      </w:r>
      <w:r w:rsidR="00102631">
        <w:rPr>
          <w:rFonts w:ascii="Times New Roman" w:hAnsi="Times New Roman" w:cs="Times New Roman"/>
        </w:rPr>
        <w:t>Land-Grant Institutions and Cooperative Extension Services seek to disseminate information such as this to the general public. However</w:t>
      </w:r>
      <w:r w:rsidRPr="00396ACF">
        <w:rPr>
          <w:rFonts w:ascii="Times New Roman" w:hAnsi="Times New Roman" w:cs="Times New Roman"/>
        </w:rPr>
        <w:t xml:space="preserve">, Extension agents differ in areas of expertise, leaving some counties with minimal ability to provide 4-H horse project members with sufficient content knowledge while agents in other counties are more well versed in equine-specific areas. </w:t>
      </w:r>
      <w:r w:rsidR="00FB4FA0">
        <w:rPr>
          <w:rFonts w:ascii="Times New Roman" w:hAnsi="Times New Roman" w:cs="Times New Roman"/>
        </w:rPr>
        <w:t>T</w:t>
      </w:r>
      <w:r w:rsidRPr="00396ACF">
        <w:rPr>
          <w:rFonts w:ascii="Times New Roman" w:hAnsi="Times New Roman" w:cs="Times New Roman"/>
        </w:rPr>
        <w:t xml:space="preserve">he Tennessee regional and Eastern National 4-H Hippology contests </w:t>
      </w:r>
      <w:r w:rsidR="00FB4FA0">
        <w:rPr>
          <w:rFonts w:ascii="Times New Roman" w:hAnsi="Times New Roman" w:cs="Times New Roman"/>
        </w:rPr>
        <w:t xml:space="preserve">were used </w:t>
      </w:r>
      <w:r w:rsidR="00E71D52">
        <w:rPr>
          <w:rFonts w:ascii="Times New Roman" w:hAnsi="Times New Roman" w:cs="Times New Roman"/>
        </w:rPr>
        <w:t xml:space="preserve">to determine areas of knowledge deficiency. </w:t>
      </w:r>
      <w:r w:rsidRPr="00396ACF">
        <w:rPr>
          <w:rFonts w:ascii="Times New Roman" w:hAnsi="Times New Roman" w:cs="Times New Roman"/>
        </w:rPr>
        <w:t xml:space="preserve">Nutrition, tack, selection, health, and breeds </w:t>
      </w:r>
      <w:r w:rsidR="004A20EC">
        <w:rPr>
          <w:rFonts w:ascii="Times New Roman" w:hAnsi="Times New Roman" w:cs="Times New Roman"/>
        </w:rPr>
        <w:t xml:space="preserve">were </w:t>
      </w:r>
      <w:r w:rsidRPr="00396ACF">
        <w:rPr>
          <w:rFonts w:ascii="Times New Roman" w:hAnsi="Times New Roman" w:cs="Times New Roman"/>
        </w:rPr>
        <w:t xml:space="preserve">categories identified as areas in which </w:t>
      </w:r>
      <w:r w:rsidR="00D4034A">
        <w:rPr>
          <w:rFonts w:ascii="Times New Roman" w:hAnsi="Times New Roman" w:cs="Times New Roman"/>
        </w:rPr>
        <w:t>4</w:t>
      </w:r>
      <w:r w:rsidR="00D4034A" w:rsidRPr="00106B25">
        <w:rPr>
          <w:rFonts w:ascii="Times New Roman" w:hAnsi="Times New Roman" w:cs="Times New Roman"/>
          <w:vertAlign w:val="superscript"/>
        </w:rPr>
        <w:t>th</w:t>
      </w:r>
      <w:r w:rsidR="00D4034A">
        <w:rPr>
          <w:rFonts w:ascii="Times New Roman" w:hAnsi="Times New Roman" w:cs="Times New Roman"/>
        </w:rPr>
        <w:t xml:space="preserve"> – 12</w:t>
      </w:r>
      <w:r w:rsidR="00D4034A" w:rsidRPr="00106B25">
        <w:rPr>
          <w:rFonts w:ascii="Times New Roman" w:hAnsi="Times New Roman" w:cs="Times New Roman"/>
          <w:vertAlign w:val="superscript"/>
        </w:rPr>
        <w:t>th</w:t>
      </w:r>
      <w:r w:rsidR="00D4034A">
        <w:rPr>
          <w:rFonts w:ascii="Times New Roman" w:hAnsi="Times New Roman" w:cs="Times New Roman"/>
        </w:rPr>
        <w:t xml:space="preserve"> grade </w:t>
      </w:r>
      <w:r w:rsidRPr="00396ACF">
        <w:rPr>
          <w:rFonts w:ascii="Times New Roman" w:hAnsi="Times New Roman" w:cs="Times New Roman"/>
        </w:rPr>
        <w:t xml:space="preserve">youth lacked adequate knowledge and a training program and new curriculum was developed and delivered to county extension agents. </w:t>
      </w:r>
      <w:r w:rsidR="00FB4FA0">
        <w:rPr>
          <w:rFonts w:ascii="Times New Roman" w:hAnsi="Times New Roman" w:cs="Times New Roman"/>
        </w:rPr>
        <w:t xml:space="preserve">Statistical analysis was conducted using SAS v9.4 (Cary, NC). </w:t>
      </w:r>
      <w:r w:rsidR="00FB4FA0" w:rsidRPr="00577B67">
        <w:rPr>
          <w:rFonts w:ascii="Times New Roman" w:hAnsi="Times New Roman" w:cs="Times New Roman"/>
        </w:rPr>
        <w:t xml:space="preserve">Nutrition questions </w:t>
      </w:r>
      <w:r w:rsidR="00FB4FA0">
        <w:rPr>
          <w:rFonts w:ascii="Times New Roman" w:hAnsi="Times New Roman" w:cs="Times New Roman"/>
        </w:rPr>
        <w:t>most often</w:t>
      </w:r>
      <w:r w:rsidR="00FB4FA0" w:rsidRPr="00577B67">
        <w:rPr>
          <w:rFonts w:ascii="Times New Roman" w:hAnsi="Times New Roman" w:cs="Times New Roman"/>
        </w:rPr>
        <w:t xml:space="preserve"> missed by senior and junior high youth (k=7.8, 51.94%; k=7.5, 44.22%</w:t>
      </w:r>
      <w:r w:rsidR="00FB4FA0">
        <w:rPr>
          <w:rFonts w:ascii="Times New Roman" w:hAnsi="Times New Roman" w:cs="Times New Roman"/>
        </w:rPr>
        <w:t xml:space="preserve">) </w:t>
      </w:r>
      <w:r w:rsidR="00FB4FA0" w:rsidRPr="00577B67">
        <w:rPr>
          <w:rFonts w:ascii="Times New Roman" w:hAnsi="Times New Roman" w:cs="Times New Roman"/>
        </w:rPr>
        <w:t xml:space="preserve">whereas junior youth missed </w:t>
      </w:r>
      <w:r w:rsidR="00FB4FA0">
        <w:rPr>
          <w:rFonts w:ascii="Times New Roman" w:hAnsi="Times New Roman" w:cs="Times New Roman"/>
        </w:rPr>
        <w:t>training</w:t>
      </w:r>
      <w:r w:rsidR="00FB4FA0" w:rsidRPr="00577B67">
        <w:rPr>
          <w:rFonts w:ascii="Times New Roman" w:hAnsi="Times New Roman" w:cs="Times New Roman"/>
        </w:rPr>
        <w:t xml:space="preserve"> questions most frequently (k=4.9, 54.14%). Of the 5 topic areas of deficiency, </w:t>
      </w:r>
      <w:r w:rsidR="00FB4FA0">
        <w:rPr>
          <w:rFonts w:ascii="Times New Roman" w:hAnsi="Times New Roman" w:cs="Times New Roman"/>
        </w:rPr>
        <w:t>selection</w:t>
      </w:r>
      <w:r w:rsidR="00FB4FA0" w:rsidRPr="00577B67">
        <w:rPr>
          <w:rFonts w:ascii="Times New Roman" w:hAnsi="Times New Roman" w:cs="Times New Roman"/>
        </w:rPr>
        <w:t xml:space="preserve"> questions were the lowest percentage missed by senior and junior high youth (k=5.9, 36.81%; k=7.1, 39.53%) whereas junior youth missed </w:t>
      </w:r>
      <w:r w:rsidR="00FB4FA0">
        <w:rPr>
          <w:rFonts w:ascii="Times New Roman" w:hAnsi="Times New Roman" w:cs="Times New Roman"/>
        </w:rPr>
        <w:t>health</w:t>
      </w:r>
      <w:r w:rsidR="00FB4FA0" w:rsidRPr="00577B67">
        <w:rPr>
          <w:rFonts w:ascii="Times New Roman" w:hAnsi="Times New Roman" w:cs="Times New Roman"/>
        </w:rPr>
        <w:t xml:space="preserve"> questions least frequently (k=4, 39.87%). </w:t>
      </w:r>
      <w:r w:rsidR="00FB4FA0">
        <w:rPr>
          <w:rFonts w:ascii="Times New Roman" w:hAnsi="Times New Roman" w:cs="Times New Roman"/>
        </w:rPr>
        <w:t xml:space="preserve">It </w:t>
      </w:r>
      <w:r w:rsidRPr="00396ACF">
        <w:rPr>
          <w:rFonts w:ascii="Times New Roman" w:hAnsi="Times New Roman" w:cs="Times New Roman"/>
        </w:rPr>
        <w:t xml:space="preserve">was found that training status had no significant on scores from year to year. However, significant effects were found when comparing across question category (p&lt;0.0001), age group </w:t>
      </w:r>
      <w:r w:rsidRPr="00396ACF">
        <w:rPr>
          <w:rFonts w:ascii="Times New Roman" w:hAnsi="Times New Roman" w:cs="Times New Roman"/>
        </w:rPr>
        <w:lastRenderedPageBreak/>
        <w:t>(p&lt;0.0001), and year (p&lt;0.0001). Despite the lack of training effect, these findings still prove valuable when assessing performance upholding the extension mission of delivering science-based information to the next generation of industry professionals.</w:t>
      </w:r>
    </w:p>
    <w:p w14:paraId="20D050AD" w14:textId="3D38B398" w:rsidR="00236E6D" w:rsidRPr="00DF7C87" w:rsidRDefault="00236E6D" w:rsidP="008A6B75">
      <w:pPr>
        <w:pStyle w:val="Title"/>
        <w:spacing w:line="360" w:lineRule="auto"/>
        <w:jc w:val="left"/>
      </w:pPr>
      <w:r w:rsidRPr="00DF7C87">
        <w:rPr>
          <w:rFonts w:ascii="Times New Roman" w:hAnsi="Times New Roman" w:cs="Times New Roman"/>
          <w:sz w:val="24"/>
        </w:rPr>
        <w:br w:type="page"/>
      </w:r>
    </w:p>
    <w:p w14:paraId="72B3ADEC" w14:textId="77777777" w:rsidR="00387656" w:rsidRPr="00060A6A" w:rsidRDefault="00387656" w:rsidP="008A6B75">
      <w:pPr>
        <w:pStyle w:val="Title"/>
        <w:spacing w:line="360" w:lineRule="auto"/>
        <w:rPr>
          <w:rFonts w:ascii="Times New Roman" w:hAnsi="Times New Roman" w:cs="Times New Roman"/>
          <w:szCs w:val="28"/>
        </w:rPr>
      </w:pPr>
      <w:r w:rsidRPr="00060A6A">
        <w:rPr>
          <w:rFonts w:ascii="Times New Roman" w:hAnsi="Times New Roman" w:cs="Times New Roman"/>
          <w:szCs w:val="28"/>
        </w:rPr>
        <w:lastRenderedPageBreak/>
        <w:t>TABLE OF CONTENTS</w:t>
      </w:r>
    </w:p>
    <w:p w14:paraId="722435F6" w14:textId="77777777" w:rsidR="00387656" w:rsidRPr="00061496" w:rsidRDefault="00387656" w:rsidP="008A6B75">
      <w:pPr>
        <w:pStyle w:val="Title"/>
        <w:spacing w:line="360" w:lineRule="auto"/>
        <w:rPr>
          <w:rFonts w:ascii="Times New Roman" w:hAnsi="Times New Roman" w:cs="Times New Roman"/>
          <w:sz w:val="24"/>
        </w:rPr>
      </w:pPr>
    </w:p>
    <w:p w14:paraId="323F53D4" w14:textId="40634660" w:rsidR="0063265A" w:rsidRPr="00A205EE" w:rsidRDefault="00387656">
      <w:pPr>
        <w:pStyle w:val="TOC1"/>
        <w:rPr>
          <w:rFonts w:ascii="Times New Roman" w:eastAsiaTheme="minorEastAsia" w:hAnsi="Times New Roman" w:cs="Times New Roman"/>
          <w:noProof/>
          <w:kern w:val="2"/>
          <w14:ligatures w14:val="standardContextual"/>
        </w:rPr>
      </w:pPr>
      <w:r w:rsidRPr="00A205EE">
        <w:rPr>
          <w:rFonts w:ascii="Times New Roman" w:hAnsi="Times New Roman" w:cs="Times New Roman"/>
        </w:rPr>
        <w:fldChar w:fldCharType="begin"/>
      </w:r>
      <w:r w:rsidRPr="00A205EE">
        <w:rPr>
          <w:rFonts w:ascii="Times New Roman" w:hAnsi="Times New Roman" w:cs="Times New Roman"/>
        </w:rPr>
        <w:instrText xml:space="preserve"> TOC \o "1-3" \h \z \u </w:instrText>
      </w:r>
      <w:r w:rsidRPr="00A205EE">
        <w:rPr>
          <w:rFonts w:ascii="Times New Roman" w:hAnsi="Times New Roman" w:cs="Times New Roman"/>
        </w:rPr>
        <w:fldChar w:fldCharType="separate"/>
      </w:r>
      <w:hyperlink w:anchor="_Toc151023657" w:history="1">
        <w:r w:rsidR="0063265A" w:rsidRPr="00A205EE">
          <w:rPr>
            <w:rStyle w:val="Hyperlink"/>
            <w:rFonts w:ascii="Times New Roman" w:hAnsi="Times New Roman" w:cs="Times New Roman"/>
            <w:noProof/>
          </w:rPr>
          <w:t>CHAPTER I LITERATURE REVIEW: METABOLOMIC PROFILES IN STARVED LIGHT BREED HORSES DURING THE REFEEDING PROCESS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_Toc151023657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w:t>
        </w:r>
        <w:r w:rsidR="0063265A" w:rsidRPr="00A205EE">
          <w:rPr>
            <w:rFonts w:ascii="Times New Roman" w:hAnsi="Times New Roman" w:cs="Times New Roman"/>
            <w:noProof/>
            <w:webHidden/>
          </w:rPr>
          <w:fldChar w:fldCharType="end"/>
        </w:r>
      </w:hyperlink>
    </w:p>
    <w:p w14:paraId="427FA988" w14:textId="60CA4443" w:rsidR="0063265A" w:rsidRPr="00A205EE" w:rsidRDefault="00000000">
      <w:pPr>
        <w:pStyle w:val="TOC2"/>
        <w:rPr>
          <w:rFonts w:ascii="Times New Roman" w:eastAsiaTheme="minorEastAsia" w:hAnsi="Times New Roman" w:cs="Times New Roman"/>
          <w:noProof/>
          <w:kern w:val="2"/>
          <w14:ligatures w14:val="standardContextual"/>
        </w:rPr>
      </w:pPr>
      <w:hyperlink w:anchor="_Toc151023658" w:history="1">
        <w:r w:rsidR="0063265A" w:rsidRPr="00A205EE">
          <w:rPr>
            <w:rStyle w:val="Hyperlink"/>
            <w:rFonts w:ascii="Times New Roman" w:hAnsi="Times New Roman" w:cs="Times New Roman"/>
            <w:noProof/>
          </w:rPr>
          <w:t>Literature Review</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_Toc151023658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w:t>
        </w:r>
        <w:r w:rsidR="0063265A" w:rsidRPr="00A205EE">
          <w:rPr>
            <w:rFonts w:ascii="Times New Roman" w:hAnsi="Times New Roman" w:cs="Times New Roman"/>
            <w:noProof/>
            <w:webHidden/>
          </w:rPr>
          <w:fldChar w:fldCharType="end"/>
        </w:r>
      </w:hyperlink>
    </w:p>
    <w:p w14:paraId="3697A51E" w14:textId="014003A9" w:rsidR="0063265A" w:rsidRPr="00A205EE" w:rsidRDefault="00000000">
      <w:pPr>
        <w:pStyle w:val="TOC3"/>
        <w:rPr>
          <w:rFonts w:ascii="Times New Roman" w:eastAsiaTheme="minorEastAsia" w:hAnsi="Times New Roman" w:cs="Times New Roman"/>
          <w:noProof/>
          <w:kern w:val="2"/>
          <w14:ligatures w14:val="standardContextual"/>
        </w:rPr>
      </w:pPr>
      <w:hyperlink w:anchor="_Toc151023659" w:history="1">
        <w:r w:rsidR="0063265A" w:rsidRPr="00A205EE">
          <w:rPr>
            <w:rStyle w:val="Hyperlink"/>
            <w:rFonts w:ascii="Times New Roman" w:hAnsi="Times New Roman" w:cs="Times New Roman"/>
            <w:noProof/>
          </w:rPr>
          <w:t>Unwanted Horses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_Toc151023659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w:t>
        </w:r>
        <w:r w:rsidR="0063265A" w:rsidRPr="00A205EE">
          <w:rPr>
            <w:rFonts w:ascii="Times New Roman" w:hAnsi="Times New Roman" w:cs="Times New Roman"/>
            <w:noProof/>
            <w:webHidden/>
          </w:rPr>
          <w:fldChar w:fldCharType="end"/>
        </w:r>
      </w:hyperlink>
    </w:p>
    <w:p w14:paraId="72A63A26" w14:textId="0D93D70F"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0" w:history="1">
        <w:r w:rsidR="0063265A" w:rsidRPr="00A205EE">
          <w:rPr>
            <w:rStyle w:val="Hyperlink"/>
            <w:rFonts w:ascii="Times New Roman" w:hAnsi="Times New Roman" w:cs="Times New Roman"/>
            <w:noProof/>
          </w:rPr>
          <w:t>Malnutrition in Equids: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w:t>
        </w:r>
        <w:r w:rsidR="0063265A" w:rsidRPr="00A205EE">
          <w:rPr>
            <w:rFonts w:ascii="Times New Roman" w:hAnsi="Times New Roman" w:cs="Times New Roman"/>
            <w:noProof/>
            <w:webHidden/>
          </w:rPr>
          <w:fldChar w:fldCharType="end"/>
        </w:r>
      </w:hyperlink>
    </w:p>
    <w:p w14:paraId="6E11C43B" w14:textId="27C8C39C"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1" w:history="1">
        <w:r w:rsidR="0063265A" w:rsidRPr="00A205EE">
          <w:rPr>
            <w:rStyle w:val="Hyperlink"/>
            <w:rFonts w:ascii="Times New Roman" w:hAnsi="Times New Roman" w:cs="Times New Roman"/>
            <w:noProof/>
          </w:rPr>
          <w:t>Intro to Metabolomics: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w:t>
        </w:r>
        <w:r w:rsidR="0063265A" w:rsidRPr="00A205EE">
          <w:rPr>
            <w:rFonts w:ascii="Times New Roman" w:hAnsi="Times New Roman" w:cs="Times New Roman"/>
            <w:noProof/>
            <w:webHidden/>
          </w:rPr>
          <w:fldChar w:fldCharType="end"/>
        </w:r>
      </w:hyperlink>
    </w:p>
    <w:p w14:paraId="3AA1F229" w14:textId="75BE3F1C"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2" w:history="1">
        <w:r w:rsidR="0063265A" w:rsidRPr="00A205EE">
          <w:rPr>
            <w:rStyle w:val="Hyperlink"/>
            <w:rFonts w:ascii="Times New Roman" w:hAnsi="Times New Roman" w:cs="Times New Roman"/>
            <w:noProof/>
          </w:rPr>
          <w:t>Previous Finding in the Equine Metabolome:</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w:t>
        </w:r>
        <w:r w:rsidR="0063265A" w:rsidRPr="00A205EE">
          <w:rPr>
            <w:rFonts w:ascii="Times New Roman" w:hAnsi="Times New Roman" w:cs="Times New Roman"/>
            <w:noProof/>
            <w:webHidden/>
          </w:rPr>
          <w:fldChar w:fldCharType="end"/>
        </w:r>
      </w:hyperlink>
    </w:p>
    <w:p w14:paraId="71D3E9EE" w14:textId="7972B107"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3" w:history="1">
        <w:r w:rsidR="0063265A" w:rsidRPr="00A205EE">
          <w:rPr>
            <w:rStyle w:val="Hyperlink"/>
            <w:rFonts w:ascii="Times New Roman" w:hAnsi="Times New Roman" w:cs="Times New Roman"/>
            <w:noProof/>
          </w:rPr>
          <w:t>Previous Research in Malnutrition Metabolomics: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w:t>
        </w:r>
        <w:r w:rsidR="0063265A" w:rsidRPr="00A205EE">
          <w:rPr>
            <w:rFonts w:ascii="Times New Roman" w:hAnsi="Times New Roman" w:cs="Times New Roman"/>
            <w:noProof/>
            <w:webHidden/>
          </w:rPr>
          <w:fldChar w:fldCharType="end"/>
        </w:r>
      </w:hyperlink>
    </w:p>
    <w:p w14:paraId="69C243E6" w14:textId="1113A5FA" w:rsidR="0063265A" w:rsidRPr="00A205EE" w:rsidRDefault="00000000">
      <w:pPr>
        <w:pStyle w:val="TOC1"/>
        <w:rPr>
          <w:rFonts w:ascii="Times New Roman" w:eastAsiaTheme="minorEastAsia" w:hAnsi="Times New Roman" w:cs="Times New Roman"/>
          <w:noProof/>
          <w:kern w:val="2"/>
          <w14:ligatures w14:val="standardContextual"/>
        </w:rPr>
      </w:pPr>
      <w:hyperlink w:anchor="_Toc151023664" w:history="1">
        <w:r w:rsidR="0063265A" w:rsidRPr="00A205EE">
          <w:rPr>
            <w:rStyle w:val="Hyperlink"/>
            <w:rFonts w:ascii="Times New Roman" w:hAnsi="Times New Roman" w:cs="Times New Roman"/>
            <w:noProof/>
          </w:rPr>
          <w:t>CHAPTER II METABOLOMIC PROFILES IN STARVED LIGHT BREED HORSES DURING THE REFEEDING PROCESS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w:t>
        </w:r>
        <w:r w:rsidR="0063265A" w:rsidRPr="00A205EE">
          <w:rPr>
            <w:rFonts w:ascii="Times New Roman" w:hAnsi="Times New Roman" w:cs="Times New Roman"/>
            <w:noProof/>
            <w:webHidden/>
          </w:rPr>
          <w:fldChar w:fldCharType="end"/>
        </w:r>
      </w:hyperlink>
    </w:p>
    <w:p w14:paraId="5CB3B2E2" w14:textId="5E970700" w:rsidR="0063265A" w:rsidRPr="00A205EE" w:rsidRDefault="00000000">
      <w:pPr>
        <w:pStyle w:val="TOC2"/>
        <w:rPr>
          <w:rFonts w:ascii="Times New Roman" w:eastAsiaTheme="minorEastAsia" w:hAnsi="Times New Roman" w:cs="Times New Roman"/>
          <w:noProof/>
          <w:kern w:val="2"/>
          <w14:ligatures w14:val="standardContextual"/>
        </w:rPr>
      </w:pPr>
      <w:hyperlink w:anchor="_Toc151023665" w:history="1">
        <w:r w:rsidR="0063265A" w:rsidRPr="00A205EE">
          <w:rPr>
            <w:rStyle w:val="Hyperlink"/>
            <w:rFonts w:ascii="Times New Roman" w:hAnsi="Times New Roman" w:cs="Times New Roman"/>
            <w:noProof/>
          </w:rPr>
          <w:t>Abstract</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w:t>
        </w:r>
        <w:r w:rsidR="0063265A" w:rsidRPr="00A205EE">
          <w:rPr>
            <w:rFonts w:ascii="Times New Roman" w:hAnsi="Times New Roman" w:cs="Times New Roman"/>
            <w:noProof/>
            <w:webHidden/>
          </w:rPr>
          <w:fldChar w:fldCharType="end"/>
        </w:r>
      </w:hyperlink>
    </w:p>
    <w:p w14:paraId="74E26A41" w14:textId="6F15E900" w:rsidR="0063265A" w:rsidRPr="00A205EE" w:rsidRDefault="00000000">
      <w:pPr>
        <w:pStyle w:val="TOC2"/>
        <w:rPr>
          <w:rFonts w:ascii="Times New Roman" w:eastAsiaTheme="minorEastAsia" w:hAnsi="Times New Roman" w:cs="Times New Roman"/>
          <w:noProof/>
          <w:kern w:val="2"/>
          <w14:ligatures w14:val="standardContextual"/>
        </w:rPr>
      </w:pPr>
      <w:hyperlink w:anchor="_Toc151023666" w:history="1">
        <w:r w:rsidR="0063265A" w:rsidRPr="00A205EE">
          <w:rPr>
            <w:rStyle w:val="Hyperlink"/>
            <w:rFonts w:ascii="Times New Roman" w:hAnsi="Times New Roman" w:cs="Times New Roman"/>
            <w:noProof/>
          </w:rPr>
          <w:t>Introduction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w:t>
        </w:r>
        <w:r w:rsidR="0063265A" w:rsidRPr="00A205EE">
          <w:rPr>
            <w:rFonts w:ascii="Times New Roman" w:hAnsi="Times New Roman" w:cs="Times New Roman"/>
            <w:noProof/>
            <w:webHidden/>
          </w:rPr>
          <w:fldChar w:fldCharType="end"/>
        </w:r>
      </w:hyperlink>
    </w:p>
    <w:p w14:paraId="2D133DDE" w14:textId="7CB43F34" w:rsidR="0063265A" w:rsidRPr="00A205EE" w:rsidRDefault="00000000">
      <w:pPr>
        <w:pStyle w:val="TOC2"/>
        <w:rPr>
          <w:rFonts w:ascii="Times New Roman" w:eastAsiaTheme="minorEastAsia" w:hAnsi="Times New Roman" w:cs="Times New Roman"/>
          <w:noProof/>
          <w:kern w:val="2"/>
          <w14:ligatures w14:val="standardContextual"/>
        </w:rPr>
      </w:pPr>
      <w:hyperlink w:anchor="_Toc151023667" w:history="1">
        <w:r w:rsidR="0063265A" w:rsidRPr="00A205EE">
          <w:rPr>
            <w:rStyle w:val="Hyperlink"/>
            <w:rFonts w:ascii="Times New Roman" w:hAnsi="Times New Roman" w:cs="Times New Roman"/>
            <w:noProof/>
          </w:rPr>
          <w:t>Materials and Methods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9</w:t>
        </w:r>
        <w:r w:rsidR="0063265A" w:rsidRPr="00A205EE">
          <w:rPr>
            <w:rFonts w:ascii="Times New Roman" w:hAnsi="Times New Roman" w:cs="Times New Roman"/>
            <w:noProof/>
            <w:webHidden/>
          </w:rPr>
          <w:fldChar w:fldCharType="end"/>
        </w:r>
      </w:hyperlink>
    </w:p>
    <w:p w14:paraId="56394A09" w14:textId="17E70B1F"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8" w:history="1">
        <w:r w:rsidR="0063265A" w:rsidRPr="00A205EE">
          <w:rPr>
            <w:rStyle w:val="Hyperlink"/>
            <w:rFonts w:ascii="Times New Roman" w:hAnsi="Times New Roman" w:cs="Times New Roman"/>
            <w:noProof/>
          </w:rPr>
          <w:t>Equine Enrollment</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9</w:t>
        </w:r>
        <w:r w:rsidR="0063265A" w:rsidRPr="00A205EE">
          <w:rPr>
            <w:rFonts w:ascii="Times New Roman" w:hAnsi="Times New Roman" w:cs="Times New Roman"/>
            <w:noProof/>
            <w:webHidden/>
          </w:rPr>
          <w:fldChar w:fldCharType="end"/>
        </w:r>
      </w:hyperlink>
    </w:p>
    <w:p w14:paraId="6EDA13AF" w14:textId="43E4EFE7" w:rsidR="0063265A" w:rsidRPr="00A205EE" w:rsidRDefault="00000000">
      <w:pPr>
        <w:pStyle w:val="TOC3"/>
        <w:rPr>
          <w:rFonts w:ascii="Times New Roman" w:eastAsiaTheme="minorEastAsia" w:hAnsi="Times New Roman" w:cs="Times New Roman"/>
          <w:noProof/>
          <w:kern w:val="2"/>
          <w14:ligatures w14:val="standardContextual"/>
        </w:rPr>
      </w:pPr>
      <w:hyperlink w:anchor="_Toc151023669" w:history="1">
        <w:r w:rsidR="0063265A" w:rsidRPr="00A205EE">
          <w:rPr>
            <w:rStyle w:val="Hyperlink"/>
            <w:rFonts w:ascii="Times New Roman" w:hAnsi="Times New Roman" w:cs="Times New Roman"/>
            <w:noProof/>
          </w:rPr>
          <w:t>Study Timeline and Sample Collection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_Toc151023669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9</w:t>
        </w:r>
        <w:r w:rsidR="0063265A" w:rsidRPr="00A205EE">
          <w:rPr>
            <w:rFonts w:ascii="Times New Roman" w:hAnsi="Times New Roman" w:cs="Times New Roman"/>
            <w:noProof/>
            <w:webHidden/>
          </w:rPr>
          <w:fldChar w:fldCharType="end"/>
        </w:r>
      </w:hyperlink>
    </w:p>
    <w:p w14:paraId="3F32074D" w14:textId="59389D45"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0" w:history="1">
        <w:r w:rsidR="0063265A" w:rsidRPr="00A205EE">
          <w:rPr>
            <w:rStyle w:val="Hyperlink"/>
            <w:rFonts w:ascii="Times New Roman" w:hAnsi="Times New Roman" w:cs="Times New Roman"/>
            <w:noProof/>
          </w:rPr>
          <w:t>Diet Formulation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12</w:t>
        </w:r>
        <w:r w:rsidR="0063265A" w:rsidRPr="00A205EE">
          <w:rPr>
            <w:rFonts w:ascii="Times New Roman" w:hAnsi="Times New Roman" w:cs="Times New Roman"/>
            <w:noProof/>
            <w:webHidden/>
          </w:rPr>
          <w:fldChar w:fldCharType="end"/>
        </w:r>
      </w:hyperlink>
    </w:p>
    <w:p w14:paraId="7D4EF002" w14:textId="7B10AB61"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1" w:history="1">
        <w:r w:rsidR="0063265A" w:rsidRPr="00A205EE">
          <w:rPr>
            <w:rStyle w:val="Hyperlink"/>
            <w:rFonts w:ascii="Times New Roman" w:hAnsi="Times New Roman" w:cs="Times New Roman"/>
            <w:noProof/>
          </w:rPr>
          <w:t>Blood Chemistry Analysis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12</w:t>
        </w:r>
        <w:r w:rsidR="0063265A" w:rsidRPr="00A205EE">
          <w:rPr>
            <w:rFonts w:ascii="Times New Roman" w:hAnsi="Times New Roman" w:cs="Times New Roman"/>
            <w:noProof/>
            <w:webHidden/>
          </w:rPr>
          <w:fldChar w:fldCharType="end"/>
        </w:r>
      </w:hyperlink>
    </w:p>
    <w:p w14:paraId="585A712A" w14:textId="7F342A03"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2" w:history="1">
        <w:r w:rsidR="0063265A" w:rsidRPr="00A205EE">
          <w:rPr>
            <w:rStyle w:val="Hyperlink"/>
            <w:rFonts w:ascii="Times New Roman" w:hAnsi="Times New Roman" w:cs="Times New Roman"/>
            <w:noProof/>
          </w:rPr>
          <w:t>Metabolomics Extractions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15</w:t>
        </w:r>
        <w:r w:rsidR="0063265A" w:rsidRPr="00A205EE">
          <w:rPr>
            <w:rFonts w:ascii="Times New Roman" w:hAnsi="Times New Roman" w:cs="Times New Roman"/>
            <w:noProof/>
            <w:webHidden/>
          </w:rPr>
          <w:fldChar w:fldCharType="end"/>
        </w:r>
      </w:hyperlink>
    </w:p>
    <w:p w14:paraId="20B43C97" w14:textId="4AC0ACF8"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3" w:history="1">
        <w:r w:rsidR="0063265A" w:rsidRPr="00A205EE">
          <w:rPr>
            <w:rStyle w:val="Hyperlink"/>
            <w:rFonts w:ascii="Times New Roman" w:hAnsi="Times New Roman" w:cs="Times New Roman"/>
            <w:noProof/>
          </w:rPr>
          <w:t>Ultrahigh Performance Liquid Chromatography Mass Spectrometry High Resolution Mass Spectrometry (UHPLC-HRMS)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15</w:t>
        </w:r>
        <w:r w:rsidR="0063265A" w:rsidRPr="00A205EE">
          <w:rPr>
            <w:rFonts w:ascii="Times New Roman" w:hAnsi="Times New Roman" w:cs="Times New Roman"/>
            <w:noProof/>
            <w:webHidden/>
          </w:rPr>
          <w:fldChar w:fldCharType="end"/>
        </w:r>
      </w:hyperlink>
    </w:p>
    <w:p w14:paraId="3D8528A6" w14:textId="5791D438"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4" w:history="1">
        <w:r w:rsidR="0063265A" w:rsidRPr="00A205EE">
          <w:rPr>
            <w:rStyle w:val="Hyperlink"/>
            <w:rFonts w:ascii="Times New Roman" w:hAnsi="Times New Roman" w:cs="Times New Roman"/>
            <w:noProof/>
          </w:rPr>
          <w:t>Data Analysis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16</w:t>
        </w:r>
        <w:r w:rsidR="0063265A" w:rsidRPr="00A205EE">
          <w:rPr>
            <w:rFonts w:ascii="Times New Roman" w:hAnsi="Times New Roman" w:cs="Times New Roman"/>
            <w:noProof/>
            <w:webHidden/>
          </w:rPr>
          <w:fldChar w:fldCharType="end"/>
        </w:r>
      </w:hyperlink>
    </w:p>
    <w:p w14:paraId="38754032" w14:textId="070D3A2F" w:rsidR="0063265A" w:rsidRPr="00A205EE" w:rsidRDefault="00000000">
      <w:pPr>
        <w:pStyle w:val="TOC2"/>
        <w:rPr>
          <w:rFonts w:ascii="Times New Roman" w:eastAsiaTheme="minorEastAsia" w:hAnsi="Times New Roman" w:cs="Times New Roman"/>
          <w:noProof/>
          <w:kern w:val="2"/>
          <w14:ligatures w14:val="standardContextual"/>
        </w:rPr>
      </w:pPr>
      <w:hyperlink w:anchor="_Toc151023675" w:history="1">
        <w:r w:rsidR="0063265A" w:rsidRPr="00A205EE">
          <w:rPr>
            <w:rStyle w:val="Hyperlink"/>
            <w:rFonts w:ascii="Times New Roman" w:hAnsi="Times New Roman" w:cs="Times New Roman"/>
            <w:noProof/>
          </w:rPr>
          <w:t>Results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17</w:t>
        </w:r>
        <w:r w:rsidR="0063265A" w:rsidRPr="00A205EE">
          <w:rPr>
            <w:rFonts w:ascii="Times New Roman" w:hAnsi="Times New Roman" w:cs="Times New Roman"/>
            <w:noProof/>
            <w:webHidden/>
          </w:rPr>
          <w:fldChar w:fldCharType="end"/>
        </w:r>
      </w:hyperlink>
    </w:p>
    <w:p w14:paraId="052C9A7B" w14:textId="3F23007E"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6" w:history="1">
        <w:r w:rsidR="0063265A" w:rsidRPr="00A205EE">
          <w:rPr>
            <w:rStyle w:val="Hyperlink"/>
            <w:rFonts w:ascii="Times New Roman" w:hAnsi="Times New Roman" w:cs="Times New Roman"/>
            <w:noProof/>
          </w:rPr>
          <w:t>Equine Refeeding Outcomes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17</w:t>
        </w:r>
        <w:r w:rsidR="0063265A" w:rsidRPr="00A205EE">
          <w:rPr>
            <w:rFonts w:ascii="Times New Roman" w:hAnsi="Times New Roman" w:cs="Times New Roman"/>
            <w:noProof/>
            <w:webHidden/>
          </w:rPr>
          <w:fldChar w:fldCharType="end"/>
        </w:r>
      </w:hyperlink>
    </w:p>
    <w:p w14:paraId="1B2F0BC5" w14:textId="2CA95482"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7" w:history="1">
        <w:r w:rsidR="0063265A" w:rsidRPr="00A205EE">
          <w:rPr>
            <w:rStyle w:val="Hyperlink"/>
            <w:rFonts w:ascii="Times New Roman" w:hAnsi="Times New Roman" w:cs="Times New Roman"/>
            <w:noProof/>
          </w:rPr>
          <w:t>Analysis of Blood Chemistry Panels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17</w:t>
        </w:r>
        <w:r w:rsidR="0063265A" w:rsidRPr="00A205EE">
          <w:rPr>
            <w:rFonts w:ascii="Times New Roman" w:hAnsi="Times New Roman" w:cs="Times New Roman"/>
            <w:noProof/>
            <w:webHidden/>
          </w:rPr>
          <w:fldChar w:fldCharType="end"/>
        </w:r>
      </w:hyperlink>
    </w:p>
    <w:p w14:paraId="76E3490C" w14:textId="0D679520"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8" w:history="1">
        <w:r w:rsidR="0063265A" w:rsidRPr="00A205EE">
          <w:rPr>
            <w:rStyle w:val="Hyperlink"/>
            <w:rFonts w:ascii="Times New Roman" w:hAnsi="Times New Roman" w:cs="Times New Roman"/>
            <w:noProof/>
          </w:rPr>
          <w:t>Fold Change Analysis of Metabolites Detected in Equine Subjects during the CCP and RPs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20</w:t>
        </w:r>
        <w:r w:rsidR="0063265A" w:rsidRPr="00A205EE">
          <w:rPr>
            <w:rFonts w:ascii="Times New Roman" w:hAnsi="Times New Roman" w:cs="Times New Roman"/>
            <w:noProof/>
            <w:webHidden/>
          </w:rPr>
          <w:fldChar w:fldCharType="end"/>
        </w:r>
      </w:hyperlink>
    </w:p>
    <w:p w14:paraId="08765251" w14:textId="75941264" w:rsidR="0063265A" w:rsidRPr="00A205EE" w:rsidRDefault="00000000">
      <w:pPr>
        <w:pStyle w:val="TOC3"/>
        <w:rPr>
          <w:rFonts w:ascii="Times New Roman" w:eastAsiaTheme="minorEastAsia" w:hAnsi="Times New Roman" w:cs="Times New Roman"/>
          <w:noProof/>
          <w:kern w:val="2"/>
          <w14:ligatures w14:val="standardContextual"/>
        </w:rPr>
      </w:pPr>
      <w:hyperlink w:anchor="_Toc151023679" w:history="1">
        <w:r w:rsidR="0063265A" w:rsidRPr="00A205EE">
          <w:rPr>
            <w:rStyle w:val="Hyperlink"/>
            <w:rFonts w:ascii="Times New Roman" w:hAnsi="Times New Roman" w:cs="Times New Roman"/>
            <w:noProof/>
          </w:rPr>
          <w:t>Differences of the Metabolic Profiles of Equine Subjects in the CCP vs. the RP</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_Toc151023679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20</w:t>
        </w:r>
        <w:r w:rsidR="0063265A" w:rsidRPr="00A205EE">
          <w:rPr>
            <w:rFonts w:ascii="Times New Roman" w:hAnsi="Times New Roman" w:cs="Times New Roman"/>
            <w:noProof/>
            <w:webHidden/>
          </w:rPr>
          <w:fldChar w:fldCharType="end"/>
        </w:r>
      </w:hyperlink>
    </w:p>
    <w:p w14:paraId="3E4091C4" w14:textId="25DFAD66"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0" w:history="1">
        <w:r w:rsidR="0063265A" w:rsidRPr="00A205EE">
          <w:rPr>
            <w:rStyle w:val="Hyperlink"/>
            <w:rFonts w:ascii="Times New Roman" w:hAnsi="Times New Roman" w:cs="Times New Roman"/>
            <w:noProof/>
          </w:rPr>
          <w:t>Effects of Subject-Specific Attributes on the Metabolome</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23</w:t>
        </w:r>
        <w:r w:rsidR="0063265A" w:rsidRPr="00A205EE">
          <w:rPr>
            <w:rFonts w:ascii="Times New Roman" w:hAnsi="Times New Roman" w:cs="Times New Roman"/>
            <w:noProof/>
            <w:webHidden/>
          </w:rPr>
          <w:fldChar w:fldCharType="end"/>
        </w:r>
      </w:hyperlink>
    </w:p>
    <w:p w14:paraId="4E24E9B7" w14:textId="7E1C6703"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1" w:history="1">
        <w:r w:rsidR="0063265A" w:rsidRPr="00A205EE">
          <w:rPr>
            <w:rStyle w:val="Hyperlink"/>
            <w:rFonts w:ascii="Times New Roman" w:hAnsi="Times New Roman" w:cs="Times New Roman"/>
            <w:noProof/>
          </w:rPr>
          <w:t>Effects of Subject-Specific Attributes on the Metabolome</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23</w:t>
        </w:r>
        <w:r w:rsidR="0063265A" w:rsidRPr="00A205EE">
          <w:rPr>
            <w:rFonts w:ascii="Times New Roman" w:hAnsi="Times New Roman" w:cs="Times New Roman"/>
            <w:noProof/>
            <w:webHidden/>
          </w:rPr>
          <w:fldChar w:fldCharType="end"/>
        </w:r>
      </w:hyperlink>
    </w:p>
    <w:p w14:paraId="7926DF54" w14:textId="65F0EB2D" w:rsidR="0063265A" w:rsidRPr="00A205EE" w:rsidRDefault="00000000">
      <w:pPr>
        <w:pStyle w:val="TOC2"/>
        <w:rPr>
          <w:rFonts w:ascii="Times New Roman" w:eastAsiaTheme="minorEastAsia" w:hAnsi="Times New Roman" w:cs="Times New Roman"/>
          <w:noProof/>
          <w:kern w:val="2"/>
          <w14:ligatures w14:val="standardContextual"/>
        </w:rPr>
      </w:pPr>
      <w:hyperlink w:anchor="_Toc151023682" w:history="1">
        <w:r w:rsidR="0063265A" w:rsidRPr="00A205EE">
          <w:rPr>
            <w:rStyle w:val="Hyperlink"/>
            <w:rFonts w:ascii="Times New Roman" w:hAnsi="Times New Roman" w:cs="Times New Roman"/>
            <w:noProof/>
          </w:rPr>
          <w:t>Discussion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25</w:t>
        </w:r>
        <w:r w:rsidR="0063265A" w:rsidRPr="00A205EE">
          <w:rPr>
            <w:rFonts w:ascii="Times New Roman" w:hAnsi="Times New Roman" w:cs="Times New Roman"/>
            <w:noProof/>
            <w:webHidden/>
          </w:rPr>
          <w:fldChar w:fldCharType="end"/>
        </w:r>
      </w:hyperlink>
    </w:p>
    <w:p w14:paraId="63528F27" w14:textId="18F005E9"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3" w:history="1">
        <w:r w:rsidR="0063265A" w:rsidRPr="00A205EE">
          <w:rPr>
            <w:rStyle w:val="Hyperlink"/>
            <w:rFonts w:ascii="Times New Roman" w:hAnsi="Times New Roman" w:cs="Times New Roman"/>
            <w:noProof/>
          </w:rPr>
          <w:t>Animal Origin and Source</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25</w:t>
        </w:r>
        <w:r w:rsidR="0063265A" w:rsidRPr="00A205EE">
          <w:rPr>
            <w:rFonts w:ascii="Times New Roman" w:hAnsi="Times New Roman" w:cs="Times New Roman"/>
            <w:noProof/>
            <w:webHidden/>
          </w:rPr>
          <w:fldChar w:fldCharType="end"/>
        </w:r>
      </w:hyperlink>
    </w:p>
    <w:p w14:paraId="714AABE6" w14:textId="095057E6"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4" w:history="1">
        <w:r w:rsidR="0063265A" w:rsidRPr="00A205EE">
          <w:rPr>
            <w:rStyle w:val="Hyperlink"/>
            <w:rFonts w:ascii="Times New Roman" w:hAnsi="Times New Roman" w:cs="Times New Roman"/>
            <w:noProof/>
          </w:rPr>
          <w:t>Blood Chemistry Analysis Suggests Improved Biological Function during the RP</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26</w:t>
        </w:r>
        <w:r w:rsidR="0063265A" w:rsidRPr="00A205EE">
          <w:rPr>
            <w:rFonts w:ascii="Times New Roman" w:hAnsi="Times New Roman" w:cs="Times New Roman"/>
            <w:noProof/>
            <w:webHidden/>
          </w:rPr>
          <w:fldChar w:fldCharType="end"/>
        </w:r>
      </w:hyperlink>
    </w:p>
    <w:p w14:paraId="58B18380" w14:textId="0B078F77"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5" w:history="1">
        <w:r w:rsidR="0063265A" w:rsidRPr="00A205EE">
          <w:rPr>
            <w:rStyle w:val="Hyperlink"/>
            <w:rFonts w:ascii="Times New Roman" w:hAnsi="Times New Roman" w:cs="Times New Roman"/>
            <w:noProof/>
          </w:rPr>
          <w:t>Potentially Toxic Metabolites and Indicators of Oxidative Stress Were in Lower Abundance during the RP</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28</w:t>
        </w:r>
        <w:r w:rsidR="0063265A" w:rsidRPr="00A205EE">
          <w:rPr>
            <w:rFonts w:ascii="Times New Roman" w:hAnsi="Times New Roman" w:cs="Times New Roman"/>
            <w:noProof/>
            <w:webHidden/>
          </w:rPr>
          <w:fldChar w:fldCharType="end"/>
        </w:r>
      </w:hyperlink>
    </w:p>
    <w:p w14:paraId="2D0EA389" w14:textId="278DF5C9"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6" w:history="1">
        <w:r w:rsidR="0063265A" w:rsidRPr="00A205EE">
          <w:rPr>
            <w:rStyle w:val="Hyperlink"/>
            <w:rFonts w:ascii="Times New Roman" w:hAnsi="Times New Roman" w:cs="Times New Roman"/>
            <w:noProof/>
          </w:rPr>
          <w:t>Metabolites Regulated by Skeletal Muscle Were Altered between the CCP and RP</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31</w:t>
        </w:r>
        <w:r w:rsidR="0063265A" w:rsidRPr="00A205EE">
          <w:rPr>
            <w:rFonts w:ascii="Times New Roman" w:hAnsi="Times New Roman" w:cs="Times New Roman"/>
            <w:noProof/>
            <w:webHidden/>
          </w:rPr>
          <w:fldChar w:fldCharType="end"/>
        </w:r>
      </w:hyperlink>
    </w:p>
    <w:p w14:paraId="25A49709" w14:textId="34787DFC"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7" w:history="1">
        <w:r w:rsidR="0063265A" w:rsidRPr="00A205EE">
          <w:rPr>
            <w:rStyle w:val="Hyperlink"/>
            <w:rFonts w:ascii="Times New Roman" w:hAnsi="Times New Roman" w:cs="Times New Roman"/>
            <w:noProof/>
          </w:rPr>
          <w:t>Significant Differences Were Observed in Metabolites Related to Liver and Kidney Function during the CCP and RPs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33</w:t>
        </w:r>
        <w:r w:rsidR="0063265A" w:rsidRPr="00A205EE">
          <w:rPr>
            <w:rFonts w:ascii="Times New Roman" w:hAnsi="Times New Roman" w:cs="Times New Roman"/>
            <w:noProof/>
            <w:webHidden/>
          </w:rPr>
          <w:fldChar w:fldCharType="end"/>
        </w:r>
      </w:hyperlink>
    </w:p>
    <w:p w14:paraId="36430D0F" w14:textId="1021334A" w:rsidR="0063265A" w:rsidRPr="00A205EE" w:rsidRDefault="00000000">
      <w:pPr>
        <w:pStyle w:val="TOC3"/>
        <w:rPr>
          <w:rFonts w:ascii="Times New Roman" w:eastAsiaTheme="minorEastAsia" w:hAnsi="Times New Roman" w:cs="Times New Roman"/>
          <w:noProof/>
          <w:kern w:val="2"/>
          <w14:ligatures w14:val="standardContextual"/>
        </w:rPr>
      </w:pPr>
      <w:hyperlink w:anchor="_Toc151023688" w:history="1">
        <w:r w:rsidR="0063265A" w:rsidRPr="00A205EE">
          <w:rPr>
            <w:rStyle w:val="Hyperlink"/>
            <w:rFonts w:ascii="Times New Roman" w:hAnsi="Times New Roman" w:cs="Times New Roman"/>
            <w:noProof/>
          </w:rPr>
          <w:t>The Plasma Metabolome Illuminates Differences in Equine Subject-Specific Attributes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34</w:t>
        </w:r>
        <w:r w:rsidR="0063265A" w:rsidRPr="00A205EE">
          <w:rPr>
            <w:rFonts w:ascii="Times New Roman" w:hAnsi="Times New Roman" w:cs="Times New Roman"/>
            <w:noProof/>
            <w:webHidden/>
          </w:rPr>
          <w:fldChar w:fldCharType="end"/>
        </w:r>
      </w:hyperlink>
    </w:p>
    <w:p w14:paraId="4558DBA7" w14:textId="6183877F" w:rsidR="0063265A" w:rsidRPr="00A205EE" w:rsidRDefault="00000000">
      <w:pPr>
        <w:pStyle w:val="TOC2"/>
        <w:rPr>
          <w:rFonts w:ascii="Times New Roman" w:eastAsiaTheme="minorEastAsia" w:hAnsi="Times New Roman" w:cs="Times New Roman"/>
          <w:noProof/>
          <w:kern w:val="2"/>
          <w14:ligatures w14:val="standardContextual"/>
        </w:rPr>
      </w:pPr>
      <w:hyperlink w:anchor="_Toc151023689" w:history="1">
        <w:r w:rsidR="0063265A" w:rsidRPr="00A205EE">
          <w:rPr>
            <w:rStyle w:val="Hyperlink"/>
            <w:rFonts w:ascii="Times New Roman" w:hAnsi="Times New Roman" w:cs="Times New Roman"/>
            <w:noProof/>
          </w:rPr>
          <w:t>Conclusions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_Toc151023689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35</w:t>
        </w:r>
        <w:r w:rsidR="0063265A" w:rsidRPr="00A205EE">
          <w:rPr>
            <w:rFonts w:ascii="Times New Roman" w:hAnsi="Times New Roman" w:cs="Times New Roman"/>
            <w:noProof/>
            <w:webHidden/>
          </w:rPr>
          <w:fldChar w:fldCharType="end"/>
        </w:r>
      </w:hyperlink>
    </w:p>
    <w:p w14:paraId="7CEF8263" w14:textId="18D1BD14" w:rsidR="0063265A" w:rsidRPr="00A205EE" w:rsidRDefault="00000000">
      <w:pPr>
        <w:pStyle w:val="TOC2"/>
        <w:rPr>
          <w:rFonts w:ascii="Times New Roman" w:eastAsiaTheme="minorEastAsia" w:hAnsi="Times New Roman" w:cs="Times New Roman"/>
          <w:noProof/>
          <w:kern w:val="2"/>
          <w14:ligatures w14:val="standardContextual"/>
        </w:rPr>
      </w:pPr>
      <w:hyperlink w:anchor="_Toc151023690" w:history="1">
        <w:r w:rsidR="0063265A" w:rsidRPr="00A205EE">
          <w:rPr>
            <w:rStyle w:val="Hyperlink"/>
            <w:rFonts w:ascii="Times New Roman" w:hAnsi="Times New Roman" w:cs="Times New Roman"/>
            <w:noProof/>
          </w:rPr>
          <w:t>REFERENCES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37</w:t>
        </w:r>
        <w:r w:rsidR="0063265A" w:rsidRPr="00A205EE">
          <w:rPr>
            <w:rFonts w:ascii="Times New Roman" w:hAnsi="Times New Roman" w:cs="Times New Roman"/>
            <w:noProof/>
            <w:webHidden/>
          </w:rPr>
          <w:fldChar w:fldCharType="end"/>
        </w:r>
      </w:hyperlink>
    </w:p>
    <w:p w14:paraId="0B69FF50" w14:textId="1CF8BB8E" w:rsidR="0063265A" w:rsidRPr="00A205EE" w:rsidRDefault="00000000">
      <w:pPr>
        <w:pStyle w:val="TOC1"/>
        <w:rPr>
          <w:rFonts w:ascii="Times New Roman" w:eastAsiaTheme="minorEastAsia" w:hAnsi="Times New Roman" w:cs="Times New Roman"/>
          <w:noProof/>
          <w:kern w:val="2"/>
          <w14:ligatures w14:val="standardContextual"/>
        </w:rPr>
      </w:pPr>
      <w:hyperlink w:anchor="_Toc151023691" w:history="1">
        <w:r w:rsidR="0063265A" w:rsidRPr="00A205EE">
          <w:rPr>
            <w:rStyle w:val="Hyperlink"/>
            <w:rFonts w:ascii="Times New Roman" w:hAnsi="Times New Roman" w:cs="Times New Roman"/>
            <w:noProof/>
          </w:rPr>
          <w:t>CHAPTER III</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43</w:t>
        </w:r>
        <w:r w:rsidR="0063265A" w:rsidRPr="00A205EE">
          <w:rPr>
            <w:rFonts w:ascii="Times New Roman" w:hAnsi="Times New Roman" w:cs="Times New Roman"/>
            <w:noProof/>
            <w:webHidden/>
          </w:rPr>
          <w:fldChar w:fldCharType="end"/>
        </w:r>
      </w:hyperlink>
    </w:p>
    <w:p w14:paraId="7C74508A" w14:textId="67B315A8" w:rsidR="0063265A" w:rsidRPr="00A205EE" w:rsidRDefault="00000000">
      <w:pPr>
        <w:pStyle w:val="TOC1"/>
        <w:rPr>
          <w:rFonts w:ascii="Times New Roman" w:eastAsiaTheme="minorEastAsia" w:hAnsi="Times New Roman" w:cs="Times New Roman"/>
          <w:noProof/>
          <w:kern w:val="2"/>
          <w14:ligatures w14:val="standardContextual"/>
        </w:rPr>
      </w:pPr>
      <w:hyperlink w:anchor="_Toc151023692" w:history="1">
        <w:r w:rsidR="0063265A" w:rsidRPr="00A205EE">
          <w:rPr>
            <w:rStyle w:val="Hyperlink"/>
            <w:rFonts w:ascii="Times New Roman" w:hAnsi="Times New Roman" w:cs="Times New Roman"/>
            <w:noProof/>
          </w:rPr>
          <w:t>EXTENSION EDUCATION: VARYING THE APPROACH TO EDUCATION, ASSESSMENT, AND TRAINING</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43</w:t>
        </w:r>
        <w:r w:rsidR="0063265A" w:rsidRPr="00A205EE">
          <w:rPr>
            <w:rFonts w:ascii="Times New Roman" w:hAnsi="Times New Roman" w:cs="Times New Roman"/>
            <w:noProof/>
            <w:webHidden/>
          </w:rPr>
          <w:fldChar w:fldCharType="end"/>
        </w:r>
      </w:hyperlink>
    </w:p>
    <w:p w14:paraId="1542ABFB" w14:textId="01E1AB94" w:rsidR="0063265A" w:rsidRPr="00A205EE" w:rsidRDefault="00000000">
      <w:pPr>
        <w:pStyle w:val="TOC2"/>
        <w:rPr>
          <w:rFonts w:ascii="Times New Roman" w:eastAsiaTheme="minorEastAsia" w:hAnsi="Times New Roman" w:cs="Times New Roman"/>
          <w:noProof/>
          <w:kern w:val="2"/>
          <w14:ligatures w14:val="standardContextual"/>
        </w:rPr>
      </w:pPr>
      <w:hyperlink w:anchor="_Toc151023693" w:history="1">
        <w:r w:rsidR="0063265A" w:rsidRPr="00A205EE">
          <w:rPr>
            <w:rStyle w:val="Hyperlink"/>
            <w:rFonts w:ascii="Times New Roman" w:hAnsi="Times New Roman" w:cs="Times New Roman"/>
            <w:noProof/>
          </w:rPr>
          <w:t>Introduction/Extension Overview</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44</w:t>
        </w:r>
        <w:r w:rsidR="0063265A" w:rsidRPr="00A205EE">
          <w:rPr>
            <w:rFonts w:ascii="Times New Roman" w:hAnsi="Times New Roman" w:cs="Times New Roman"/>
            <w:noProof/>
            <w:webHidden/>
          </w:rPr>
          <w:fldChar w:fldCharType="end"/>
        </w:r>
      </w:hyperlink>
    </w:p>
    <w:p w14:paraId="39CC7AC0" w14:textId="683898D1" w:rsidR="0063265A" w:rsidRPr="00A205EE" w:rsidRDefault="00000000">
      <w:pPr>
        <w:pStyle w:val="TOC2"/>
        <w:rPr>
          <w:rFonts w:ascii="Times New Roman" w:eastAsiaTheme="minorEastAsia" w:hAnsi="Times New Roman" w:cs="Times New Roman"/>
          <w:noProof/>
          <w:kern w:val="2"/>
          <w14:ligatures w14:val="standardContextual"/>
        </w:rPr>
      </w:pPr>
      <w:hyperlink w:anchor="_Toc151023694" w:history="1">
        <w:r w:rsidR="0063265A" w:rsidRPr="00A205EE">
          <w:rPr>
            <w:rStyle w:val="Hyperlink"/>
            <w:rFonts w:ascii="Times New Roman" w:hAnsi="Times New Roman" w:cs="Times New Roman"/>
            <w:noProof/>
          </w:rPr>
          <w:t>Education Strategies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44</w:t>
        </w:r>
        <w:r w:rsidR="0063265A" w:rsidRPr="00A205EE">
          <w:rPr>
            <w:rFonts w:ascii="Times New Roman" w:hAnsi="Times New Roman" w:cs="Times New Roman"/>
            <w:noProof/>
            <w:webHidden/>
          </w:rPr>
          <w:fldChar w:fldCharType="end"/>
        </w:r>
      </w:hyperlink>
    </w:p>
    <w:p w14:paraId="748DE4EC" w14:textId="198A9B91" w:rsidR="0063265A" w:rsidRPr="00A205EE" w:rsidRDefault="00000000">
      <w:pPr>
        <w:pStyle w:val="TOC3"/>
        <w:rPr>
          <w:rFonts w:ascii="Times New Roman" w:eastAsiaTheme="minorEastAsia" w:hAnsi="Times New Roman" w:cs="Times New Roman"/>
          <w:noProof/>
          <w:kern w:val="2"/>
          <w14:ligatures w14:val="standardContextual"/>
        </w:rPr>
      </w:pPr>
      <w:hyperlink w:anchor="_Toc151023695" w:history="1">
        <w:r w:rsidR="0063265A" w:rsidRPr="00A205EE">
          <w:rPr>
            <w:rStyle w:val="Hyperlink"/>
            <w:rFonts w:ascii="Times New Roman" w:hAnsi="Times New Roman" w:cs="Times New Roman"/>
            <w:noProof/>
          </w:rPr>
          <w:t>Online Learning</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45</w:t>
        </w:r>
        <w:r w:rsidR="0063265A" w:rsidRPr="00A205EE">
          <w:rPr>
            <w:rFonts w:ascii="Times New Roman" w:hAnsi="Times New Roman" w:cs="Times New Roman"/>
            <w:noProof/>
            <w:webHidden/>
          </w:rPr>
          <w:fldChar w:fldCharType="end"/>
        </w:r>
      </w:hyperlink>
    </w:p>
    <w:p w14:paraId="02943563" w14:textId="4F98DB97" w:rsidR="0063265A" w:rsidRPr="00A205EE" w:rsidRDefault="00000000">
      <w:pPr>
        <w:pStyle w:val="TOC3"/>
        <w:rPr>
          <w:rFonts w:ascii="Times New Roman" w:eastAsiaTheme="minorEastAsia" w:hAnsi="Times New Roman" w:cs="Times New Roman"/>
          <w:noProof/>
          <w:kern w:val="2"/>
          <w14:ligatures w14:val="standardContextual"/>
        </w:rPr>
      </w:pPr>
      <w:hyperlink w:anchor="_Toc151023696" w:history="1">
        <w:r w:rsidR="0063265A" w:rsidRPr="00A205EE">
          <w:rPr>
            <w:rStyle w:val="Hyperlink"/>
            <w:rFonts w:ascii="Times New Roman" w:hAnsi="Times New Roman" w:cs="Times New Roman"/>
            <w:noProof/>
          </w:rPr>
          <w:t>Face-to-Face Learning</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46</w:t>
        </w:r>
        <w:r w:rsidR="0063265A" w:rsidRPr="00A205EE">
          <w:rPr>
            <w:rFonts w:ascii="Times New Roman" w:hAnsi="Times New Roman" w:cs="Times New Roman"/>
            <w:noProof/>
            <w:webHidden/>
          </w:rPr>
          <w:fldChar w:fldCharType="end"/>
        </w:r>
      </w:hyperlink>
    </w:p>
    <w:p w14:paraId="0AD0CFFD" w14:textId="6C95D5EE" w:rsidR="0063265A" w:rsidRPr="00A205EE" w:rsidRDefault="00000000">
      <w:pPr>
        <w:pStyle w:val="TOC3"/>
        <w:rPr>
          <w:rFonts w:ascii="Times New Roman" w:eastAsiaTheme="minorEastAsia" w:hAnsi="Times New Roman" w:cs="Times New Roman"/>
          <w:noProof/>
          <w:kern w:val="2"/>
          <w14:ligatures w14:val="standardContextual"/>
        </w:rPr>
      </w:pPr>
      <w:hyperlink w:anchor="_Toc151023697" w:history="1">
        <w:r w:rsidR="0063265A" w:rsidRPr="00A205EE">
          <w:rPr>
            <w:rStyle w:val="Hyperlink"/>
            <w:rFonts w:ascii="Times New Roman" w:hAnsi="Times New Roman" w:cs="Times New Roman"/>
            <w:noProof/>
          </w:rPr>
          <w:t>Blended Learning Models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47</w:t>
        </w:r>
        <w:r w:rsidR="0063265A" w:rsidRPr="00A205EE">
          <w:rPr>
            <w:rFonts w:ascii="Times New Roman" w:hAnsi="Times New Roman" w:cs="Times New Roman"/>
            <w:noProof/>
            <w:webHidden/>
          </w:rPr>
          <w:fldChar w:fldCharType="end"/>
        </w:r>
      </w:hyperlink>
    </w:p>
    <w:p w14:paraId="07C7D929" w14:textId="23E97DA8" w:rsidR="0063265A" w:rsidRPr="00A205EE" w:rsidRDefault="00000000">
      <w:pPr>
        <w:pStyle w:val="TOC2"/>
        <w:rPr>
          <w:rFonts w:ascii="Times New Roman" w:eastAsiaTheme="minorEastAsia" w:hAnsi="Times New Roman" w:cs="Times New Roman"/>
          <w:noProof/>
          <w:kern w:val="2"/>
          <w14:ligatures w14:val="standardContextual"/>
        </w:rPr>
      </w:pPr>
      <w:hyperlink w:anchor="_Toc151023698" w:history="1">
        <w:r w:rsidR="0063265A" w:rsidRPr="00A205EE">
          <w:rPr>
            <w:rStyle w:val="Hyperlink"/>
            <w:rFonts w:ascii="Times New Roman" w:hAnsi="Times New Roman" w:cs="Times New Roman"/>
            <w:noProof/>
          </w:rPr>
          <w:t>Extension/Agriculture Education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48</w:t>
        </w:r>
        <w:r w:rsidR="0063265A" w:rsidRPr="00A205EE">
          <w:rPr>
            <w:rFonts w:ascii="Times New Roman" w:hAnsi="Times New Roman" w:cs="Times New Roman"/>
            <w:noProof/>
            <w:webHidden/>
          </w:rPr>
          <w:fldChar w:fldCharType="end"/>
        </w:r>
      </w:hyperlink>
    </w:p>
    <w:p w14:paraId="18E29F80" w14:textId="7F6FC4E2" w:rsidR="0063265A" w:rsidRPr="00A205EE" w:rsidRDefault="00000000">
      <w:pPr>
        <w:pStyle w:val="TOC3"/>
        <w:rPr>
          <w:rFonts w:ascii="Times New Roman" w:eastAsiaTheme="minorEastAsia" w:hAnsi="Times New Roman" w:cs="Times New Roman"/>
          <w:noProof/>
          <w:kern w:val="2"/>
          <w14:ligatures w14:val="standardContextual"/>
        </w:rPr>
      </w:pPr>
      <w:hyperlink w:anchor="_Toc151023699" w:history="1">
        <w:r w:rsidR="0063265A" w:rsidRPr="00A205EE">
          <w:rPr>
            <w:rStyle w:val="Hyperlink"/>
            <w:rFonts w:ascii="Times New Roman" w:hAnsi="Times New Roman" w:cs="Times New Roman"/>
            <w:noProof/>
          </w:rPr>
          <w:t>Importance/Overview</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_Toc151023699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48</w:t>
        </w:r>
        <w:r w:rsidR="0063265A" w:rsidRPr="00A205EE">
          <w:rPr>
            <w:rFonts w:ascii="Times New Roman" w:hAnsi="Times New Roman" w:cs="Times New Roman"/>
            <w:noProof/>
            <w:webHidden/>
          </w:rPr>
          <w:fldChar w:fldCharType="end"/>
        </w:r>
      </w:hyperlink>
    </w:p>
    <w:p w14:paraId="490DC320" w14:textId="1F9F8999" w:rsidR="0063265A" w:rsidRPr="00A205EE" w:rsidRDefault="00000000">
      <w:pPr>
        <w:pStyle w:val="TOC3"/>
        <w:rPr>
          <w:rFonts w:ascii="Times New Roman" w:eastAsiaTheme="minorEastAsia" w:hAnsi="Times New Roman" w:cs="Times New Roman"/>
          <w:noProof/>
          <w:kern w:val="2"/>
          <w14:ligatures w14:val="standardContextual"/>
        </w:rPr>
      </w:pPr>
      <w:hyperlink w:anchor="_Toc151023700" w:history="1">
        <w:r w:rsidR="0063265A" w:rsidRPr="00A205EE">
          <w:rPr>
            <w:rStyle w:val="Hyperlink"/>
            <w:rFonts w:ascii="Times New Roman" w:hAnsi="Times New Roman" w:cs="Times New Roman"/>
            <w:noProof/>
          </w:rPr>
          <w:t>Extension Agent Background</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48</w:t>
        </w:r>
        <w:r w:rsidR="0063265A" w:rsidRPr="00A205EE">
          <w:rPr>
            <w:rFonts w:ascii="Times New Roman" w:hAnsi="Times New Roman" w:cs="Times New Roman"/>
            <w:noProof/>
            <w:webHidden/>
          </w:rPr>
          <w:fldChar w:fldCharType="end"/>
        </w:r>
      </w:hyperlink>
    </w:p>
    <w:p w14:paraId="30037C77" w14:textId="36A6221F" w:rsidR="0063265A" w:rsidRPr="00A205EE" w:rsidRDefault="00000000">
      <w:pPr>
        <w:pStyle w:val="TOC3"/>
        <w:rPr>
          <w:rFonts w:ascii="Times New Roman" w:eastAsiaTheme="minorEastAsia" w:hAnsi="Times New Roman" w:cs="Times New Roman"/>
          <w:noProof/>
          <w:kern w:val="2"/>
          <w14:ligatures w14:val="standardContextual"/>
        </w:rPr>
      </w:pPr>
      <w:hyperlink w:anchor="_Toc151023701" w:history="1">
        <w:r w:rsidR="0063265A" w:rsidRPr="00A205EE">
          <w:rPr>
            <w:rStyle w:val="Hyperlink"/>
            <w:rFonts w:ascii="Times New Roman" w:hAnsi="Times New Roman" w:cs="Times New Roman"/>
            <w:noProof/>
          </w:rPr>
          <w:t>Previous Research Efforts on Educating Extension Personnel</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50</w:t>
        </w:r>
        <w:r w:rsidR="0063265A" w:rsidRPr="00A205EE">
          <w:rPr>
            <w:rFonts w:ascii="Times New Roman" w:hAnsi="Times New Roman" w:cs="Times New Roman"/>
            <w:noProof/>
            <w:webHidden/>
          </w:rPr>
          <w:fldChar w:fldCharType="end"/>
        </w:r>
      </w:hyperlink>
    </w:p>
    <w:p w14:paraId="10CAB2E8" w14:textId="6EA9D982" w:rsidR="0063265A" w:rsidRPr="00A205EE" w:rsidRDefault="00000000">
      <w:pPr>
        <w:pStyle w:val="TOC3"/>
        <w:rPr>
          <w:rFonts w:ascii="Times New Roman" w:eastAsiaTheme="minorEastAsia" w:hAnsi="Times New Roman" w:cs="Times New Roman"/>
          <w:noProof/>
          <w:kern w:val="2"/>
          <w14:ligatures w14:val="standardContextual"/>
        </w:rPr>
      </w:pPr>
      <w:hyperlink w:anchor="_Toc151023702" w:history="1">
        <w:r w:rsidR="0063265A" w:rsidRPr="00A205EE">
          <w:rPr>
            <w:rStyle w:val="Hyperlink"/>
            <w:rFonts w:ascii="Times New Roman" w:hAnsi="Times New Roman" w:cs="Times New Roman"/>
            <w:noProof/>
          </w:rPr>
          <w:t>Measuring Performance</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51</w:t>
        </w:r>
        <w:r w:rsidR="0063265A" w:rsidRPr="00A205EE">
          <w:rPr>
            <w:rFonts w:ascii="Times New Roman" w:hAnsi="Times New Roman" w:cs="Times New Roman"/>
            <w:noProof/>
            <w:webHidden/>
          </w:rPr>
          <w:fldChar w:fldCharType="end"/>
        </w:r>
      </w:hyperlink>
    </w:p>
    <w:p w14:paraId="4B3E214F" w14:textId="36788809" w:rsidR="0063265A" w:rsidRPr="00A205EE" w:rsidRDefault="00000000">
      <w:pPr>
        <w:pStyle w:val="TOC2"/>
        <w:rPr>
          <w:rFonts w:ascii="Times New Roman" w:eastAsiaTheme="minorEastAsia" w:hAnsi="Times New Roman" w:cs="Times New Roman"/>
          <w:noProof/>
          <w:kern w:val="2"/>
          <w14:ligatures w14:val="standardContextual"/>
        </w:rPr>
      </w:pPr>
      <w:hyperlink w:anchor="_Toc151023703" w:history="1">
        <w:r w:rsidR="0063265A" w:rsidRPr="00A205EE">
          <w:rPr>
            <w:rStyle w:val="Hyperlink"/>
            <w:rFonts w:ascii="Times New Roman" w:hAnsi="Times New Roman" w:cs="Times New Roman"/>
            <w:noProof/>
          </w:rPr>
          <w:t>Train-the-Trainer Models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52</w:t>
        </w:r>
        <w:r w:rsidR="0063265A" w:rsidRPr="00A205EE">
          <w:rPr>
            <w:rFonts w:ascii="Times New Roman" w:hAnsi="Times New Roman" w:cs="Times New Roman"/>
            <w:noProof/>
            <w:webHidden/>
          </w:rPr>
          <w:fldChar w:fldCharType="end"/>
        </w:r>
      </w:hyperlink>
    </w:p>
    <w:p w14:paraId="2990A1ED" w14:textId="68B5D34C" w:rsidR="0063265A" w:rsidRPr="00A205EE" w:rsidRDefault="00000000">
      <w:pPr>
        <w:pStyle w:val="TOC2"/>
        <w:rPr>
          <w:rFonts w:ascii="Times New Roman" w:eastAsiaTheme="minorEastAsia" w:hAnsi="Times New Roman" w:cs="Times New Roman"/>
          <w:noProof/>
          <w:kern w:val="2"/>
          <w14:ligatures w14:val="standardContextual"/>
        </w:rPr>
      </w:pPr>
      <w:hyperlink w:anchor="_Toc151023704" w:history="1">
        <w:r w:rsidR="0063265A" w:rsidRPr="00A205EE">
          <w:rPr>
            <w:rStyle w:val="Hyperlink"/>
            <w:rFonts w:ascii="Times New Roman" w:hAnsi="Times New Roman" w:cs="Times New Roman"/>
            <w:noProof/>
          </w:rPr>
          <w:t>Implications and Future Directions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54</w:t>
        </w:r>
        <w:r w:rsidR="0063265A" w:rsidRPr="00A205EE">
          <w:rPr>
            <w:rFonts w:ascii="Times New Roman" w:hAnsi="Times New Roman" w:cs="Times New Roman"/>
            <w:noProof/>
            <w:webHidden/>
          </w:rPr>
          <w:fldChar w:fldCharType="end"/>
        </w:r>
      </w:hyperlink>
    </w:p>
    <w:p w14:paraId="2CA0CCDA" w14:textId="6E5D1560" w:rsidR="0063265A" w:rsidRPr="00A205EE" w:rsidRDefault="00000000">
      <w:pPr>
        <w:pStyle w:val="TOC1"/>
        <w:rPr>
          <w:rFonts w:ascii="Times New Roman" w:eastAsiaTheme="minorEastAsia" w:hAnsi="Times New Roman" w:cs="Times New Roman"/>
          <w:noProof/>
          <w:kern w:val="2"/>
          <w14:ligatures w14:val="standardContextual"/>
        </w:rPr>
      </w:pPr>
      <w:hyperlink w:anchor="_Toc151023705" w:history="1">
        <w:r w:rsidR="0063265A" w:rsidRPr="00A205EE">
          <w:rPr>
            <w:rStyle w:val="Hyperlink"/>
            <w:rFonts w:ascii="Times New Roman" w:hAnsi="Times New Roman" w:cs="Times New Roman"/>
            <w:noProof/>
          </w:rPr>
          <w:t>CHAPTER IV USING YOUTH HIPPOLOGY CONTEST RESULTS AS A NEEDS ASSESSMENT AS A FRAMEWORK FOR A TRAIN THE TRAINER PROGRAM</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55</w:t>
        </w:r>
        <w:r w:rsidR="0063265A" w:rsidRPr="00A205EE">
          <w:rPr>
            <w:rFonts w:ascii="Times New Roman" w:hAnsi="Times New Roman" w:cs="Times New Roman"/>
            <w:noProof/>
            <w:webHidden/>
          </w:rPr>
          <w:fldChar w:fldCharType="end"/>
        </w:r>
      </w:hyperlink>
    </w:p>
    <w:p w14:paraId="2FDF932D" w14:textId="29C1A0B0" w:rsidR="0063265A" w:rsidRPr="00A205EE" w:rsidRDefault="00000000">
      <w:pPr>
        <w:pStyle w:val="TOC2"/>
        <w:rPr>
          <w:rFonts w:ascii="Times New Roman" w:eastAsiaTheme="minorEastAsia" w:hAnsi="Times New Roman" w:cs="Times New Roman"/>
          <w:noProof/>
          <w:kern w:val="2"/>
          <w14:ligatures w14:val="standardContextual"/>
        </w:rPr>
      </w:pPr>
      <w:hyperlink w:anchor="_Toc151023706" w:history="1">
        <w:r w:rsidR="0063265A" w:rsidRPr="00A205EE">
          <w:rPr>
            <w:rStyle w:val="Hyperlink"/>
            <w:rFonts w:ascii="Times New Roman" w:hAnsi="Times New Roman" w:cs="Times New Roman"/>
            <w:noProof/>
          </w:rPr>
          <w:t>Abstract</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56</w:t>
        </w:r>
        <w:r w:rsidR="0063265A" w:rsidRPr="00A205EE">
          <w:rPr>
            <w:rFonts w:ascii="Times New Roman" w:hAnsi="Times New Roman" w:cs="Times New Roman"/>
            <w:noProof/>
            <w:webHidden/>
          </w:rPr>
          <w:fldChar w:fldCharType="end"/>
        </w:r>
      </w:hyperlink>
    </w:p>
    <w:p w14:paraId="2F1DDFDE" w14:textId="7A98273E" w:rsidR="0063265A" w:rsidRPr="00A205EE" w:rsidRDefault="00000000">
      <w:pPr>
        <w:pStyle w:val="TOC2"/>
        <w:rPr>
          <w:rFonts w:ascii="Times New Roman" w:eastAsiaTheme="minorEastAsia" w:hAnsi="Times New Roman" w:cs="Times New Roman"/>
          <w:noProof/>
          <w:kern w:val="2"/>
          <w14:ligatures w14:val="standardContextual"/>
        </w:rPr>
      </w:pPr>
      <w:hyperlink w:anchor="_Toc151023707" w:history="1">
        <w:r w:rsidR="0063265A" w:rsidRPr="00A205EE">
          <w:rPr>
            <w:rStyle w:val="Hyperlink"/>
            <w:rFonts w:ascii="Times New Roman" w:hAnsi="Times New Roman" w:cs="Times New Roman"/>
            <w:noProof/>
          </w:rPr>
          <w:t>Introduction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57</w:t>
        </w:r>
        <w:r w:rsidR="0063265A" w:rsidRPr="00A205EE">
          <w:rPr>
            <w:rFonts w:ascii="Times New Roman" w:hAnsi="Times New Roman" w:cs="Times New Roman"/>
            <w:noProof/>
            <w:webHidden/>
          </w:rPr>
          <w:fldChar w:fldCharType="end"/>
        </w:r>
      </w:hyperlink>
    </w:p>
    <w:p w14:paraId="28221C2B" w14:textId="56AE2B71" w:rsidR="0063265A" w:rsidRPr="00A205EE" w:rsidRDefault="00000000">
      <w:pPr>
        <w:pStyle w:val="TOC2"/>
        <w:rPr>
          <w:rFonts w:ascii="Times New Roman" w:eastAsiaTheme="minorEastAsia" w:hAnsi="Times New Roman" w:cs="Times New Roman"/>
          <w:noProof/>
          <w:kern w:val="2"/>
          <w14:ligatures w14:val="standardContextual"/>
        </w:rPr>
      </w:pPr>
      <w:hyperlink w:anchor="_Toc151023708" w:history="1">
        <w:r w:rsidR="0063265A" w:rsidRPr="00A205EE">
          <w:rPr>
            <w:rStyle w:val="Hyperlink"/>
            <w:rFonts w:ascii="Times New Roman" w:hAnsi="Times New Roman" w:cs="Times New Roman"/>
            <w:noProof/>
          </w:rPr>
          <w:t>Materials and Methods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58</w:t>
        </w:r>
        <w:r w:rsidR="0063265A" w:rsidRPr="00A205EE">
          <w:rPr>
            <w:rFonts w:ascii="Times New Roman" w:hAnsi="Times New Roman" w:cs="Times New Roman"/>
            <w:noProof/>
            <w:webHidden/>
          </w:rPr>
          <w:fldChar w:fldCharType="end"/>
        </w:r>
      </w:hyperlink>
    </w:p>
    <w:p w14:paraId="3F9F7344" w14:textId="1DA38A4B" w:rsidR="0063265A" w:rsidRPr="00A205EE" w:rsidRDefault="00000000">
      <w:pPr>
        <w:pStyle w:val="TOC3"/>
        <w:rPr>
          <w:rFonts w:ascii="Times New Roman" w:eastAsiaTheme="minorEastAsia" w:hAnsi="Times New Roman" w:cs="Times New Roman"/>
          <w:noProof/>
          <w:kern w:val="2"/>
          <w14:ligatures w14:val="standardContextual"/>
        </w:rPr>
      </w:pPr>
      <w:hyperlink w:anchor="_Toc151023709" w:history="1">
        <w:r w:rsidR="0063265A" w:rsidRPr="00A205EE">
          <w:rPr>
            <w:rStyle w:val="Hyperlink"/>
            <w:rFonts w:ascii="Times New Roman" w:hAnsi="Times New Roman" w:cs="Times New Roman"/>
            <w:noProof/>
          </w:rPr>
          <w:t>Regional Hippology Contests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_Toc151023709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58</w:t>
        </w:r>
        <w:r w:rsidR="0063265A" w:rsidRPr="00A205EE">
          <w:rPr>
            <w:rFonts w:ascii="Times New Roman" w:hAnsi="Times New Roman" w:cs="Times New Roman"/>
            <w:noProof/>
            <w:webHidden/>
          </w:rPr>
          <w:fldChar w:fldCharType="end"/>
        </w:r>
      </w:hyperlink>
    </w:p>
    <w:p w14:paraId="6315C2C8" w14:textId="3DEE1C01"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0" w:history="1">
        <w:r w:rsidR="0063265A" w:rsidRPr="00A205EE">
          <w:rPr>
            <w:rStyle w:val="Hyperlink"/>
            <w:rFonts w:ascii="Times New Roman" w:hAnsi="Times New Roman" w:cs="Times New Roman"/>
            <w:noProof/>
          </w:rPr>
          <w:t>National Contest</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60</w:t>
        </w:r>
        <w:r w:rsidR="0063265A" w:rsidRPr="00A205EE">
          <w:rPr>
            <w:rFonts w:ascii="Times New Roman" w:hAnsi="Times New Roman" w:cs="Times New Roman"/>
            <w:noProof/>
            <w:webHidden/>
          </w:rPr>
          <w:fldChar w:fldCharType="end"/>
        </w:r>
      </w:hyperlink>
    </w:p>
    <w:p w14:paraId="54DE4CA5" w14:textId="794ECB19"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1" w:history="1">
        <w:r w:rsidR="0063265A" w:rsidRPr="00A205EE">
          <w:rPr>
            <w:rStyle w:val="Hyperlink"/>
            <w:rFonts w:ascii="Times New Roman" w:hAnsi="Times New Roman" w:cs="Times New Roman"/>
            <w:noProof/>
          </w:rPr>
          <w:t>Training Content Selection and Format</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61</w:t>
        </w:r>
        <w:r w:rsidR="0063265A" w:rsidRPr="00A205EE">
          <w:rPr>
            <w:rFonts w:ascii="Times New Roman" w:hAnsi="Times New Roman" w:cs="Times New Roman"/>
            <w:noProof/>
            <w:webHidden/>
          </w:rPr>
          <w:fldChar w:fldCharType="end"/>
        </w:r>
      </w:hyperlink>
    </w:p>
    <w:p w14:paraId="6F2F358C" w14:textId="4E55E5C8"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2" w:history="1">
        <w:r w:rsidR="0063265A" w:rsidRPr="00A205EE">
          <w:rPr>
            <w:rStyle w:val="Hyperlink"/>
            <w:rFonts w:ascii="Times New Roman" w:hAnsi="Times New Roman" w:cs="Times New Roman"/>
            <w:noProof/>
          </w:rPr>
          <w:t>Participant Selection and Determination of Training Status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62</w:t>
        </w:r>
        <w:r w:rsidR="0063265A" w:rsidRPr="00A205EE">
          <w:rPr>
            <w:rFonts w:ascii="Times New Roman" w:hAnsi="Times New Roman" w:cs="Times New Roman"/>
            <w:noProof/>
            <w:webHidden/>
          </w:rPr>
          <w:fldChar w:fldCharType="end"/>
        </w:r>
      </w:hyperlink>
    </w:p>
    <w:p w14:paraId="01263360" w14:textId="0B5B89E2"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3" w:history="1">
        <w:r w:rsidR="0063265A" w:rsidRPr="00A205EE">
          <w:rPr>
            <w:rStyle w:val="Hyperlink"/>
            <w:rFonts w:ascii="Times New Roman" w:hAnsi="Times New Roman" w:cs="Times New Roman"/>
            <w:noProof/>
          </w:rPr>
          <w:t>Final Data Set Analysis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62</w:t>
        </w:r>
        <w:r w:rsidR="0063265A" w:rsidRPr="00A205EE">
          <w:rPr>
            <w:rFonts w:ascii="Times New Roman" w:hAnsi="Times New Roman" w:cs="Times New Roman"/>
            <w:noProof/>
            <w:webHidden/>
          </w:rPr>
          <w:fldChar w:fldCharType="end"/>
        </w:r>
      </w:hyperlink>
    </w:p>
    <w:p w14:paraId="318D9290" w14:textId="1BA28670" w:rsidR="0063265A" w:rsidRPr="00A205EE" w:rsidRDefault="00000000">
      <w:pPr>
        <w:pStyle w:val="TOC2"/>
        <w:rPr>
          <w:rFonts w:ascii="Times New Roman" w:eastAsiaTheme="minorEastAsia" w:hAnsi="Times New Roman" w:cs="Times New Roman"/>
          <w:noProof/>
          <w:kern w:val="2"/>
          <w14:ligatures w14:val="standardContextual"/>
        </w:rPr>
      </w:pPr>
      <w:hyperlink w:anchor="_Toc151023714" w:history="1">
        <w:r w:rsidR="0063265A" w:rsidRPr="00A205EE">
          <w:rPr>
            <w:rStyle w:val="Hyperlink"/>
            <w:rFonts w:ascii="Times New Roman" w:hAnsi="Times New Roman" w:cs="Times New Roman"/>
            <w:noProof/>
          </w:rPr>
          <w:t>Results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62</w:t>
        </w:r>
        <w:r w:rsidR="0063265A" w:rsidRPr="00A205EE">
          <w:rPr>
            <w:rFonts w:ascii="Times New Roman" w:hAnsi="Times New Roman" w:cs="Times New Roman"/>
            <w:noProof/>
            <w:webHidden/>
          </w:rPr>
          <w:fldChar w:fldCharType="end"/>
        </w:r>
      </w:hyperlink>
    </w:p>
    <w:p w14:paraId="1F3C69FE" w14:textId="0DA6FD9C"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5" w:history="1">
        <w:r w:rsidR="0063265A" w:rsidRPr="00A205EE">
          <w:rPr>
            <w:rStyle w:val="Hyperlink"/>
            <w:rFonts w:ascii="Times New Roman" w:hAnsi="Times New Roman" w:cs="Times New Roman"/>
            <w:noProof/>
          </w:rPr>
          <w:t>Summary of Info/Introduction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62</w:t>
        </w:r>
        <w:r w:rsidR="0063265A" w:rsidRPr="00A205EE">
          <w:rPr>
            <w:rFonts w:ascii="Times New Roman" w:hAnsi="Times New Roman" w:cs="Times New Roman"/>
            <w:noProof/>
            <w:webHidden/>
          </w:rPr>
          <w:fldChar w:fldCharType="end"/>
        </w:r>
      </w:hyperlink>
    </w:p>
    <w:p w14:paraId="6BBB05C8" w14:textId="2625854D"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6" w:history="1">
        <w:r w:rsidR="0063265A" w:rsidRPr="00A205EE">
          <w:rPr>
            <w:rStyle w:val="Hyperlink"/>
            <w:rFonts w:ascii="Times New Roman" w:hAnsi="Times New Roman" w:cs="Times New Roman"/>
            <w:noProof/>
          </w:rPr>
          <w:t>Effects Age Division, Category, Year, and Training Status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63</w:t>
        </w:r>
        <w:r w:rsidR="0063265A" w:rsidRPr="00A205EE">
          <w:rPr>
            <w:rFonts w:ascii="Times New Roman" w:hAnsi="Times New Roman" w:cs="Times New Roman"/>
            <w:noProof/>
            <w:webHidden/>
          </w:rPr>
          <w:fldChar w:fldCharType="end"/>
        </w:r>
      </w:hyperlink>
    </w:p>
    <w:p w14:paraId="00D9BD50" w14:textId="4DE9851A"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7" w:history="1">
        <w:r w:rsidR="0063265A" w:rsidRPr="00A205EE">
          <w:rPr>
            <w:rStyle w:val="Hyperlink"/>
            <w:rFonts w:ascii="Times New Roman" w:hAnsi="Times New Roman" w:cs="Times New Roman"/>
            <w:noProof/>
          </w:rPr>
          <w:t>Comparison of Tennessee Regional Scores and Eastern National Scores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68</w:t>
        </w:r>
        <w:r w:rsidR="0063265A" w:rsidRPr="00A205EE">
          <w:rPr>
            <w:rFonts w:ascii="Times New Roman" w:hAnsi="Times New Roman" w:cs="Times New Roman"/>
            <w:noProof/>
            <w:webHidden/>
          </w:rPr>
          <w:fldChar w:fldCharType="end"/>
        </w:r>
      </w:hyperlink>
    </w:p>
    <w:p w14:paraId="3C40544B" w14:textId="653BE2C0" w:rsidR="0063265A" w:rsidRPr="00A205EE" w:rsidRDefault="00000000">
      <w:pPr>
        <w:pStyle w:val="TOC2"/>
        <w:rPr>
          <w:rFonts w:ascii="Times New Roman" w:eastAsiaTheme="minorEastAsia" w:hAnsi="Times New Roman" w:cs="Times New Roman"/>
          <w:noProof/>
          <w:kern w:val="2"/>
          <w14:ligatures w14:val="standardContextual"/>
        </w:rPr>
      </w:pPr>
      <w:hyperlink w:anchor="_Toc151023718" w:history="1">
        <w:r w:rsidR="0063265A" w:rsidRPr="00A205EE">
          <w:rPr>
            <w:rStyle w:val="Hyperlink"/>
            <w:rFonts w:ascii="Times New Roman" w:hAnsi="Times New Roman" w:cs="Times New Roman"/>
            <w:noProof/>
          </w:rPr>
          <w:t>Discussion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_Toc151023718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68</w:t>
        </w:r>
        <w:r w:rsidR="0063265A" w:rsidRPr="00A205EE">
          <w:rPr>
            <w:rFonts w:ascii="Times New Roman" w:hAnsi="Times New Roman" w:cs="Times New Roman"/>
            <w:noProof/>
            <w:webHidden/>
          </w:rPr>
          <w:fldChar w:fldCharType="end"/>
        </w:r>
      </w:hyperlink>
    </w:p>
    <w:p w14:paraId="0AEE9DDD" w14:textId="576BB036" w:rsidR="0063265A" w:rsidRPr="00A205EE" w:rsidRDefault="00000000">
      <w:pPr>
        <w:pStyle w:val="TOC3"/>
        <w:rPr>
          <w:rFonts w:ascii="Times New Roman" w:eastAsiaTheme="minorEastAsia" w:hAnsi="Times New Roman" w:cs="Times New Roman"/>
          <w:noProof/>
          <w:kern w:val="2"/>
          <w14:ligatures w14:val="standardContextual"/>
        </w:rPr>
      </w:pPr>
      <w:hyperlink w:anchor="_Toc151023719" w:history="1">
        <w:r w:rsidR="0063265A" w:rsidRPr="00A205EE">
          <w:rPr>
            <w:rStyle w:val="Hyperlink"/>
            <w:rFonts w:ascii="Times New Roman" w:hAnsi="Times New Roman" w:cs="Times New Roman"/>
            <w:noProof/>
          </w:rPr>
          <w:t>Study Origin</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_Toc151023719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68</w:t>
        </w:r>
        <w:r w:rsidR="0063265A" w:rsidRPr="00A205EE">
          <w:rPr>
            <w:rFonts w:ascii="Times New Roman" w:hAnsi="Times New Roman" w:cs="Times New Roman"/>
            <w:noProof/>
            <w:webHidden/>
          </w:rPr>
          <w:fldChar w:fldCharType="end"/>
        </w:r>
      </w:hyperlink>
    </w:p>
    <w:p w14:paraId="7F2AD357" w14:textId="5358054E"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0" w:history="1">
        <w:r w:rsidR="0063265A" w:rsidRPr="00A205EE">
          <w:rPr>
            <w:rStyle w:val="Hyperlink"/>
            <w:rFonts w:ascii="Times New Roman" w:hAnsi="Times New Roman" w:cs="Times New Roman"/>
            <w:noProof/>
          </w:rPr>
          <w:t>Differences Between Age Divisions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_Toc151023720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70</w:t>
        </w:r>
        <w:r w:rsidR="0063265A" w:rsidRPr="00A205EE">
          <w:rPr>
            <w:rFonts w:ascii="Times New Roman" w:hAnsi="Times New Roman" w:cs="Times New Roman"/>
            <w:noProof/>
            <w:webHidden/>
          </w:rPr>
          <w:fldChar w:fldCharType="end"/>
        </w:r>
      </w:hyperlink>
    </w:p>
    <w:p w14:paraId="28FAA951" w14:textId="0A66D410"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1" w:history="1">
        <w:r w:rsidR="0063265A" w:rsidRPr="00A205EE">
          <w:rPr>
            <w:rStyle w:val="Hyperlink"/>
            <w:rFonts w:ascii="Times New Roman" w:hAnsi="Times New Roman" w:cs="Times New Roman"/>
            <w:noProof/>
          </w:rPr>
          <w:t>Differences Between Question Categories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_Toc151023721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71</w:t>
        </w:r>
        <w:r w:rsidR="0063265A" w:rsidRPr="00A205EE">
          <w:rPr>
            <w:rFonts w:ascii="Times New Roman" w:hAnsi="Times New Roman" w:cs="Times New Roman"/>
            <w:noProof/>
            <w:webHidden/>
          </w:rPr>
          <w:fldChar w:fldCharType="end"/>
        </w:r>
      </w:hyperlink>
    </w:p>
    <w:p w14:paraId="333E53E1" w14:textId="191F8796"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2" w:history="1">
        <w:r w:rsidR="0063265A" w:rsidRPr="00A205EE">
          <w:rPr>
            <w:rStyle w:val="Hyperlink"/>
            <w:rFonts w:ascii="Times New Roman" w:hAnsi="Times New Roman" w:cs="Times New Roman"/>
            <w:noProof/>
          </w:rPr>
          <w:t>Differences Between Year and Training Status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_Toc151023722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72</w:t>
        </w:r>
        <w:r w:rsidR="0063265A" w:rsidRPr="00A205EE">
          <w:rPr>
            <w:rFonts w:ascii="Times New Roman" w:hAnsi="Times New Roman" w:cs="Times New Roman"/>
            <w:noProof/>
            <w:webHidden/>
          </w:rPr>
          <w:fldChar w:fldCharType="end"/>
        </w:r>
      </w:hyperlink>
    </w:p>
    <w:p w14:paraId="7924B534" w14:textId="5A50CA99"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3" w:history="1">
        <w:r w:rsidR="0063265A" w:rsidRPr="00A205EE">
          <w:rPr>
            <w:rStyle w:val="Hyperlink"/>
            <w:rFonts w:ascii="Times New Roman" w:hAnsi="Times New Roman" w:cs="Times New Roman"/>
            <w:noProof/>
          </w:rPr>
          <w:t>Difference in Senior Scores Between State and National</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_Toc151023723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73</w:t>
        </w:r>
        <w:r w:rsidR="0063265A" w:rsidRPr="00A205EE">
          <w:rPr>
            <w:rFonts w:ascii="Times New Roman" w:hAnsi="Times New Roman" w:cs="Times New Roman"/>
            <w:noProof/>
            <w:webHidden/>
          </w:rPr>
          <w:fldChar w:fldCharType="end"/>
        </w:r>
      </w:hyperlink>
    </w:p>
    <w:p w14:paraId="10487D43" w14:textId="78FC6A86"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4" w:history="1">
        <w:r w:rsidR="0063265A" w:rsidRPr="00A205EE">
          <w:rPr>
            <w:rStyle w:val="Hyperlink"/>
            <w:rFonts w:ascii="Times New Roman" w:hAnsi="Times New Roman" w:cs="Times New Roman"/>
            <w:noProof/>
          </w:rPr>
          <w:t>Limitations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_Toc151023724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73</w:t>
        </w:r>
        <w:r w:rsidR="0063265A" w:rsidRPr="00A205EE">
          <w:rPr>
            <w:rFonts w:ascii="Times New Roman" w:hAnsi="Times New Roman" w:cs="Times New Roman"/>
            <w:noProof/>
            <w:webHidden/>
          </w:rPr>
          <w:fldChar w:fldCharType="end"/>
        </w:r>
      </w:hyperlink>
    </w:p>
    <w:p w14:paraId="47FA2012" w14:textId="48D13439" w:rsidR="0063265A" w:rsidRPr="00A205EE" w:rsidRDefault="00000000">
      <w:pPr>
        <w:pStyle w:val="TOC3"/>
        <w:rPr>
          <w:rFonts w:ascii="Times New Roman" w:eastAsiaTheme="minorEastAsia" w:hAnsi="Times New Roman" w:cs="Times New Roman"/>
          <w:noProof/>
          <w:kern w:val="2"/>
          <w14:ligatures w14:val="standardContextual"/>
        </w:rPr>
      </w:pPr>
      <w:hyperlink w:anchor="_Toc151023725" w:history="1">
        <w:r w:rsidR="0063265A" w:rsidRPr="00A205EE">
          <w:rPr>
            <w:rStyle w:val="Hyperlink"/>
            <w:rFonts w:ascii="Times New Roman" w:hAnsi="Times New Roman" w:cs="Times New Roman"/>
            <w:noProof/>
          </w:rPr>
          <w:t>Implications and Conclusions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_Toc151023725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75</w:t>
        </w:r>
        <w:r w:rsidR="0063265A" w:rsidRPr="00A205EE">
          <w:rPr>
            <w:rFonts w:ascii="Times New Roman" w:hAnsi="Times New Roman" w:cs="Times New Roman"/>
            <w:noProof/>
            <w:webHidden/>
          </w:rPr>
          <w:fldChar w:fldCharType="end"/>
        </w:r>
      </w:hyperlink>
    </w:p>
    <w:p w14:paraId="61AD3D3C" w14:textId="5FAE88A5" w:rsidR="0063265A" w:rsidRPr="00A205EE" w:rsidRDefault="00000000">
      <w:pPr>
        <w:pStyle w:val="TOC2"/>
        <w:rPr>
          <w:rFonts w:ascii="Times New Roman" w:eastAsiaTheme="minorEastAsia" w:hAnsi="Times New Roman" w:cs="Times New Roman"/>
          <w:noProof/>
          <w:kern w:val="2"/>
          <w14:ligatures w14:val="standardContextual"/>
        </w:rPr>
      </w:pPr>
      <w:hyperlink w:anchor="_Toc151023726" w:history="1">
        <w:r w:rsidR="0063265A" w:rsidRPr="00A205EE">
          <w:rPr>
            <w:rStyle w:val="Hyperlink"/>
            <w:rFonts w:ascii="Times New Roman" w:hAnsi="Times New Roman" w:cs="Times New Roman"/>
            <w:noProof/>
          </w:rPr>
          <w:t>REFERENCES</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_Toc151023726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76</w:t>
        </w:r>
        <w:r w:rsidR="0063265A" w:rsidRPr="00A205EE">
          <w:rPr>
            <w:rFonts w:ascii="Times New Roman" w:hAnsi="Times New Roman" w:cs="Times New Roman"/>
            <w:noProof/>
            <w:webHidden/>
          </w:rPr>
          <w:fldChar w:fldCharType="end"/>
        </w:r>
      </w:hyperlink>
    </w:p>
    <w:p w14:paraId="4E1319D0" w14:textId="16265116" w:rsidR="0063265A" w:rsidRPr="00A205EE" w:rsidRDefault="00000000">
      <w:pPr>
        <w:pStyle w:val="TOC1"/>
        <w:rPr>
          <w:rFonts w:ascii="Times New Roman" w:eastAsiaTheme="minorEastAsia" w:hAnsi="Times New Roman" w:cs="Times New Roman"/>
          <w:noProof/>
          <w:kern w:val="2"/>
          <w14:ligatures w14:val="standardContextual"/>
        </w:rPr>
      </w:pPr>
      <w:hyperlink w:anchor="_Toc151023727" w:history="1">
        <w:r w:rsidR="0063265A" w:rsidRPr="00A205EE">
          <w:rPr>
            <w:rStyle w:val="Hyperlink"/>
            <w:rFonts w:ascii="Times New Roman" w:hAnsi="Times New Roman" w:cs="Times New Roman"/>
            <w:noProof/>
          </w:rPr>
          <w:t>VITA</w:t>
        </w:r>
        <w:r w:rsidR="0063265A" w:rsidRPr="00A205EE">
          <w:rPr>
            <w:rFonts w:ascii="Times New Roman" w:hAnsi="Times New Roman" w:cs="Times New Roman"/>
            <w:noProof/>
            <w:webHidden/>
          </w:rPr>
          <w:tab/>
        </w:r>
        <w:r w:rsidR="0063265A" w:rsidRPr="00A205EE">
          <w:rPr>
            <w:rFonts w:ascii="Times New Roman" w:hAnsi="Times New Roman" w:cs="Times New Roman"/>
            <w:noProof/>
            <w:webHidden/>
          </w:rPr>
          <w:fldChar w:fldCharType="begin"/>
        </w:r>
        <w:r w:rsidR="0063265A" w:rsidRPr="00A205EE">
          <w:rPr>
            <w:rFonts w:ascii="Times New Roman" w:hAnsi="Times New Roman" w:cs="Times New Roman"/>
            <w:noProof/>
            <w:webHidden/>
          </w:rPr>
          <w:instrText xml:space="preserve"> PAGEREF _Toc151023727 \h </w:instrText>
        </w:r>
        <w:r w:rsidR="0063265A" w:rsidRPr="00A205EE">
          <w:rPr>
            <w:rFonts w:ascii="Times New Roman" w:hAnsi="Times New Roman" w:cs="Times New Roman"/>
            <w:noProof/>
            <w:webHidden/>
          </w:rPr>
        </w:r>
        <w:r w:rsidR="0063265A" w:rsidRPr="00A205EE">
          <w:rPr>
            <w:rFonts w:ascii="Times New Roman" w:hAnsi="Times New Roman" w:cs="Times New Roman"/>
            <w:noProof/>
            <w:webHidden/>
          </w:rPr>
          <w:fldChar w:fldCharType="separate"/>
        </w:r>
        <w:r w:rsidR="0063265A" w:rsidRPr="00A205EE">
          <w:rPr>
            <w:rFonts w:ascii="Times New Roman" w:hAnsi="Times New Roman" w:cs="Times New Roman"/>
            <w:noProof/>
            <w:webHidden/>
          </w:rPr>
          <w:t>79</w:t>
        </w:r>
        <w:r w:rsidR="0063265A" w:rsidRPr="00A205EE">
          <w:rPr>
            <w:rFonts w:ascii="Times New Roman" w:hAnsi="Times New Roman" w:cs="Times New Roman"/>
            <w:noProof/>
            <w:webHidden/>
          </w:rPr>
          <w:fldChar w:fldCharType="end"/>
        </w:r>
      </w:hyperlink>
    </w:p>
    <w:p w14:paraId="7A396519" w14:textId="4DD2136F" w:rsidR="00387656" w:rsidRPr="00A205EE" w:rsidRDefault="00387656" w:rsidP="008A6B75">
      <w:pPr>
        <w:spacing w:line="360" w:lineRule="auto"/>
        <w:rPr>
          <w:rFonts w:ascii="Times New Roman" w:hAnsi="Times New Roman" w:cs="Times New Roman"/>
        </w:rPr>
      </w:pPr>
      <w:r w:rsidRPr="00A205EE">
        <w:rPr>
          <w:rFonts w:ascii="Times New Roman" w:hAnsi="Times New Roman" w:cs="Times New Roman"/>
          <w:b/>
          <w:bCs/>
          <w:noProof/>
        </w:rPr>
        <w:fldChar w:fldCharType="end"/>
      </w:r>
    </w:p>
    <w:p w14:paraId="06E878AE" w14:textId="77777777" w:rsidR="00387656" w:rsidRPr="00DF7C87" w:rsidRDefault="009C755C" w:rsidP="008A6B75">
      <w:pPr>
        <w:pStyle w:val="Title"/>
        <w:spacing w:line="360" w:lineRule="auto"/>
        <w:rPr>
          <w:rFonts w:ascii="Times New Roman" w:hAnsi="Times New Roman" w:cs="Times New Roman"/>
          <w:sz w:val="24"/>
        </w:rPr>
      </w:pPr>
      <w:r w:rsidRPr="00DF7C87">
        <w:rPr>
          <w:rFonts w:ascii="Times New Roman" w:hAnsi="Times New Roman" w:cs="Times New Roman"/>
          <w:sz w:val="24"/>
        </w:rPr>
        <w:br w:type="page"/>
      </w:r>
    </w:p>
    <w:p w14:paraId="1F6A63C9" w14:textId="77777777" w:rsidR="00387656" w:rsidRPr="00060A6A" w:rsidRDefault="00387656" w:rsidP="008A6B75">
      <w:pPr>
        <w:pStyle w:val="Title"/>
        <w:spacing w:line="360" w:lineRule="auto"/>
        <w:rPr>
          <w:rFonts w:ascii="Times New Roman" w:hAnsi="Times New Roman" w:cs="Times New Roman"/>
          <w:szCs w:val="28"/>
        </w:rPr>
      </w:pPr>
      <w:r w:rsidRPr="00060A6A">
        <w:rPr>
          <w:rFonts w:ascii="Times New Roman" w:hAnsi="Times New Roman" w:cs="Times New Roman"/>
          <w:szCs w:val="28"/>
        </w:rPr>
        <w:lastRenderedPageBreak/>
        <w:t>LIST OF TABLES</w:t>
      </w:r>
    </w:p>
    <w:p w14:paraId="4F82CED1" w14:textId="77777777" w:rsidR="00387656" w:rsidRPr="000E1BC2" w:rsidRDefault="00387656" w:rsidP="008A6B75">
      <w:pPr>
        <w:pStyle w:val="Title"/>
        <w:spacing w:line="360" w:lineRule="auto"/>
        <w:rPr>
          <w:rFonts w:ascii="Times New Roman" w:hAnsi="Times New Roman" w:cs="Times New Roman"/>
          <w:sz w:val="24"/>
        </w:rPr>
      </w:pPr>
    </w:p>
    <w:p w14:paraId="785CABDC" w14:textId="24311F1B" w:rsidR="000B2378" w:rsidRPr="000B2378" w:rsidRDefault="00387656">
      <w:pPr>
        <w:pStyle w:val="TableofFigures"/>
        <w:tabs>
          <w:tab w:val="right" w:leader="dot" w:pos="9350"/>
        </w:tabs>
        <w:rPr>
          <w:rFonts w:ascii="Times New Roman" w:eastAsiaTheme="minorEastAsia" w:hAnsi="Times New Roman" w:cs="Times New Roman"/>
          <w:noProof/>
          <w:kern w:val="2"/>
          <w14:ligatures w14:val="standardContextual"/>
        </w:rPr>
      </w:pPr>
      <w:r w:rsidRPr="000B2378">
        <w:rPr>
          <w:rFonts w:ascii="Times New Roman" w:hAnsi="Times New Roman" w:cs="Times New Roman"/>
        </w:rPr>
        <w:fldChar w:fldCharType="begin"/>
      </w:r>
      <w:r w:rsidRPr="000B2378">
        <w:rPr>
          <w:rFonts w:ascii="Times New Roman" w:hAnsi="Times New Roman" w:cs="Times New Roman"/>
        </w:rPr>
        <w:instrText xml:space="preserve"> TOC \h \z \c "Table" </w:instrText>
      </w:r>
      <w:r w:rsidRPr="000B2378">
        <w:rPr>
          <w:rFonts w:ascii="Times New Roman" w:hAnsi="Times New Roman" w:cs="Times New Roman"/>
        </w:rPr>
        <w:fldChar w:fldCharType="separate"/>
      </w:r>
      <w:hyperlink w:anchor="_Toc151459309" w:history="1">
        <w:r w:rsidR="000B2378" w:rsidRPr="000B2378">
          <w:rPr>
            <w:rStyle w:val="Hyperlink"/>
            <w:rFonts w:ascii="Times New Roman" w:hAnsi="Times New Roman" w:cs="Times New Roman"/>
            <w:noProof/>
          </w:rPr>
          <w:t>Table 1. Available metadata for equine subjects enrolled in the refeeding program.</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_Toc151459309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10</w:t>
        </w:r>
        <w:r w:rsidR="000B2378" w:rsidRPr="000B2378">
          <w:rPr>
            <w:rFonts w:ascii="Times New Roman" w:hAnsi="Times New Roman" w:cs="Times New Roman"/>
            <w:noProof/>
            <w:webHidden/>
          </w:rPr>
          <w:fldChar w:fldCharType="end"/>
        </w:r>
      </w:hyperlink>
    </w:p>
    <w:p w14:paraId="163A0C90" w14:textId="780AFF68"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0" w:history="1">
        <w:r w:rsidR="000B2378" w:rsidRPr="000B2378">
          <w:rPr>
            <w:rStyle w:val="Hyperlink"/>
            <w:rFonts w:ascii="Times New Roman" w:hAnsi="Times New Roman" w:cs="Times New Roman"/>
            <w:noProof/>
          </w:rPr>
          <w:t>Table 2. Nutrient analysis of forage of diet components.</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_Toc151459310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13</w:t>
        </w:r>
        <w:r w:rsidR="000B2378" w:rsidRPr="000B2378">
          <w:rPr>
            <w:rFonts w:ascii="Times New Roman" w:hAnsi="Times New Roman" w:cs="Times New Roman"/>
            <w:noProof/>
            <w:webHidden/>
          </w:rPr>
          <w:fldChar w:fldCharType="end"/>
        </w:r>
      </w:hyperlink>
    </w:p>
    <w:p w14:paraId="4C00AAAE" w14:textId="6883C492"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1" w:history="1">
        <w:r w:rsidR="000B2378" w:rsidRPr="000B2378">
          <w:rPr>
            <w:rStyle w:val="Hyperlink"/>
            <w:rFonts w:ascii="Times New Roman" w:hAnsi="Times New Roman" w:cs="Times New Roman"/>
            <w:noProof/>
          </w:rPr>
          <w:t>Table 3. Measured parameters for blood plasma and serum.</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_Toc151459311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14</w:t>
        </w:r>
        <w:r w:rsidR="000B2378" w:rsidRPr="000B2378">
          <w:rPr>
            <w:rFonts w:ascii="Times New Roman" w:hAnsi="Times New Roman" w:cs="Times New Roman"/>
            <w:noProof/>
            <w:webHidden/>
          </w:rPr>
          <w:fldChar w:fldCharType="end"/>
        </w:r>
      </w:hyperlink>
    </w:p>
    <w:p w14:paraId="50A0C228" w14:textId="74F2E95A"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2" w:history="1">
        <w:r w:rsidR="000B2378" w:rsidRPr="000B2378">
          <w:rPr>
            <w:rStyle w:val="Hyperlink"/>
            <w:rFonts w:ascii="Times New Roman" w:hAnsi="Times New Roman" w:cs="Times New Roman"/>
            <w:noProof/>
          </w:rPr>
          <w:t>Table 4. Outcomes for equine enrolled in the refeeding program.</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_Toc151459312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18</w:t>
        </w:r>
        <w:r w:rsidR="000B2378" w:rsidRPr="000B2378">
          <w:rPr>
            <w:rFonts w:ascii="Times New Roman" w:hAnsi="Times New Roman" w:cs="Times New Roman"/>
            <w:noProof/>
            <w:webHidden/>
          </w:rPr>
          <w:fldChar w:fldCharType="end"/>
        </w:r>
      </w:hyperlink>
    </w:p>
    <w:p w14:paraId="4245566B" w14:textId="307BBF79"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3" w:history="1">
        <w:r w:rsidR="000B2378" w:rsidRPr="000B2378">
          <w:rPr>
            <w:rStyle w:val="Hyperlink"/>
            <w:rFonts w:ascii="Times New Roman" w:hAnsi="Times New Roman" w:cs="Times New Roman"/>
            <w:noProof/>
          </w:rPr>
          <w:t>Table 5. Biological significance of metabolites observed to have significantly increased or decreased between the RP and the CCP.</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_Toc151459313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29</w:t>
        </w:r>
        <w:r w:rsidR="000B2378" w:rsidRPr="000B2378">
          <w:rPr>
            <w:rFonts w:ascii="Times New Roman" w:hAnsi="Times New Roman" w:cs="Times New Roman"/>
            <w:noProof/>
            <w:webHidden/>
          </w:rPr>
          <w:fldChar w:fldCharType="end"/>
        </w:r>
      </w:hyperlink>
    </w:p>
    <w:p w14:paraId="79111132" w14:textId="616E2511"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4" w:history="1">
        <w:r w:rsidR="000B2378" w:rsidRPr="000B2378">
          <w:rPr>
            <w:rStyle w:val="Hyperlink"/>
            <w:rFonts w:ascii="Times New Roman" w:hAnsi="Times New Roman" w:cs="Times New Roman"/>
            <w:noProof/>
          </w:rPr>
          <w:t>Table 6. Number of correct (1) and incorrect (0) responses across all years, categories, and age divisions</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_Toc151459314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64</w:t>
        </w:r>
        <w:r w:rsidR="000B2378" w:rsidRPr="000B2378">
          <w:rPr>
            <w:rFonts w:ascii="Times New Roman" w:hAnsi="Times New Roman" w:cs="Times New Roman"/>
            <w:noProof/>
            <w:webHidden/>
          </w:rPr>
          <w:fldChar w:fldCharType="end"/>
        </w:r>
      </w:hyperlink>
    </w:p>
    <w:p w14:paraId="1ECDB290" w14:textId="4C16BE05"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5" w:history="1">
        <w:r w:rsidR="000B2378" w:rsidRPr="000B2378">
          <w:rPr>
            <w:rStyle w:val="Hyperlink"/>
            <w:rFonts w:ascii="Times New Roman" w:hAnsi="Times New Roman" w:cs="Times New Roman"/>
            <w:noProof/>
          </w:rPr>
          <w:t>Table 7. Comparison across question categories of likelihood to have a correct answer</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_Toc151459315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65</w:t>
        </w:r>
        <w:r w:rsidR="000B2378" w:rsidRPr="000B2378">
          <w:rPr>
            <w:rFonts w:ascii="Times New Roman" w:hAnsi="Times New Roman" w:cs="Times New Roman"/>
            <w:noProof/>
            <w:webHidden/>
          </w:rPr>
          <w:fldChar w:fldCharType="end"/>
        </w:r>
      </w:hyperlink>
    </w:p>
    <w:p w14:paraId="5447FA7B" w14:textId="1BC421BF"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6" w:history="1">
        <w:r w:rsidR="000B2378" w:rsidRPr="000B2378">
          <w:rPr>
            <w:rStyle w:val="Hyperlink"/>
            <w:rFonts w:ascii="Times New Roman" w:hAnsi="Times New Roman" w:cs="Times New Roman"/>
            <w:noProof/>
          </w:rPr>
          <w:t>Table 8. Comparison across age division of likelihood to have a correct answer</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_Toc151459316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66</w:t>
        </w:r>
        <w:r w:rsidR="000B2378" w:rsidRPr="000B2378">
          <w:rPr>
            <w:rFonts w:ascii="Times New Roman" w:hAnsi="Times New Roman" w:cs="Times New Roman"/>
            <w:noProof/>
            <w:webHidden/>
          </w:rPr>
          <w:fldChar w:fldCharType="end"/>
        </w:r>
      </w:hyperlink>
    </w:p>
    <w:p w14:paraId="6861150D" w14:textId="799DB71F"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7" w:history="1">
        <w:r w:rsidR="000B2378" w:rsidRPr="000B2378">
          <w:rPr>
            <w:rStyle w:val="Hyperlink"/>
            <w:rFonts w:ascii="Times New Roman" w:hAnsi="Times New Roman" w:cs="Times New Roman"/>
            <w:noProof/>
          </w:rPr>
          <w:t>Table 9. Comparison across year of likelihood to have a correct answer</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_Toc151459317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67</w:t>
        </w:r>
        <w:r w:rsidR="000B2378" w:rsidRPr="000B2378">
          <w:rPr>
            <w:rFonts w:ascii="Times New Roman" w:hAnsi="Times New Roman" w:cs="Times New Roman"/>
            <w:noProof/>
            <w:webHidden/>
          </w:rPr>
          <w:fldChar w:fldCharType="end"/>
        </w:r>
      </w:hyperlink>
    </w:p>
    <w:p w14:paraId="6F7181CA" w14:textId="62E9AF95" w:rsidR="000B2378" w:rsidRPr="000B2378"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9318" w:history="1">
        <w:r w:rsidR="000B2378" w:rsidRPr="000B2378">
          <w:rPr>
            <w:rStyle w:val="Hyperlink"/>
            <w:rFonts w:ascii="Times New Roman" w:hAnsi="Times New Roman" w:cs="Times New Roman"/>
            <w:noProof/>
          </w:rPr>
          <w:t>Table 10. Comparison of percentage of correct responses from National and State contests across question categories</w:t>
        </w:r>
        <w:r w:rsidR="000B2378" w:rsidRPr="000B2378">
          <w:rPr>
            <w:rFonts w:ascii="Times New Roman" w:hAnsi="Times New Roman" w:cs="Times New Roman"/>
            <w:noProof/>
            <w:webHidden/>
          </w:rPr>
          <w:tab/>
        </w:r>
        <w:r w:rsidR="000B2378" w:rsidRPr="000B2378">
          <w:rPr>
            <w:rFonts w:ascii="Times New Roman" w:hAnsi="Times New Roman" w:cs="Times New Roman"/>
            <w:noProof/>
            <w:webHidden/>
          </w:rPr>
          <w:fldChar w:fldCharType="begin"/>
        </w:r>
        <w:r w:rsidR="000B2378" w:rsidRPr="000B2378">
          <w:rPr>
            <w:rFonts w:ascii="Times New Roman" w:hAnsi="Times New Roman" w:cs="Times New Roman"/>
            <w:noProof/>
            <w:webHidden/>
          </w:rPr>
          <w:instrText xml:space="preserve"> PAGEREF _Toc151459318 \h </w:instrText>
        </w:r>
        <w:r w:rsidR="000B2378" w:rsidRPr="000B2378">
          <w:rPr>
            <w:rFonts w:ascii="Times New Roman" w:hAnsi="Times New Roman" w:cs="Times New Roman"/>
            <w:noProof/>
            <w:webHidden/>
          </w:rPr>
        </w:r>
        <w:r w:rsidR="000B2378" w:rsidRPr="000B2378">
          <w:rPr>
            <w:rFonts w:ascii="Times New Roman" w:hAnsi="Times New Roman" w:cs="Times New Roman"/>
            <w:noProof/>
            <w:webHidden/>
          </w:rPr>
          <w:fldChar w:fldCharType="separate"/>
        </w:r>
        <w:r w:rsidR="000B2378" w:rsidRPr="000B2378">
          <w:rPr>
            <w:rFonts w:ascii="Times New Roman" w:hAnsi="Times New Roman" w:cs="Times New Roman"/>
            <w:noProof/>
            <w:webHidden/>
          </w:rPr>
          <w:t>69</w:t>
        </w:r>
        <w:r w:rsidR="000B2378" w:rsidRPr="000B2378">
          <w:rPr>
            <w:rFonts w:ascii="Times New Roman" w:hAnsi="Times New Roman" w:cs="Times New Roman"/>
            <w:noProof/>
            <w:webHidden/>
          </w:rPr>
          <w:fldChar w:fldCharType="end"/>
        </w:r>
      </w:hyperlink>
    </w:p>
    <w:p w14:paraId="02FDA17B" w14:textId="708D1C10" w:rsidR="00236E6D" w:rsidRPr="000B2378" w:rsidRDefault="00387656" w:rsidP="008A6B75">
      <w:pPr>
        <w:spacing w:line="360" w:lineRule="auto"/>
        <w:rPr>
          <w:rFonts w:ascii="Times New Roman" w:hAnsi="Times New Roman" w:cs="Times New Roman"/>
        </w:rPr>
      </w:pPr>
      <w:r w:rsidRPr="000B2378">
        <w:rPr>
          <w:rFonts w:ascii="Times New Roman" w:hAnsi="Times New Roman" w:cs="Times New Roman"/>
        </w:rPr>
        <w:fldChar w:fldCharType="end"/>
      </w:r>
    </w:p>
    <w:p w14:paraId="5728A394" w14:textId="77777777" w:rsidR="00236E6D" w:rsidRPr="00DF7C87" w:rsidRDefault="00236E6D" w:rsidP="008A6B75">
      <w:pPr>
        <w:spacing w:line="360" w:lineRule="auto"/>
        <w:rPr>
          <w:rFonts w:ascii="Times New Roman" w:hAnsi="Times New Roman" w:cs="Times New Roman"/>
        </w:rPr>
      </w:pPr>
    </w:p>
    <w:p w14:paraId="4D1851F0" w14:textId="77777777" w:rsidR="00236E6D" w:rsidRPr="00DF7C87" w:rsidRDefault="00236E6D" w:rsidP="008A6B75">
      <w:pPr>
        <w:spacing w:line="360" w:lineRule="auto"/>
        <w:rPr>
          <w:rFonts w:ascii="Times New Roman" w:hAnsi="Times New Roman" w:cs="Times New Roman"/>
        </w:rPr>
      </w:pPr>
    </w:p>
    <w:p w14:paraId="390C479E" w14:textId="77777777" w:rsidR="00236E6D" w:rsidRPr="00DF7C87" w:rsidRDefault="00236E6D" w:rsidP="008A6B75">
      <w:pPr>
        <w:spacing w:line="360" w:lineRule="auto"/>
        <w:rPr>
          <w:rFonts w:ascii="Times New Roman" w:hAnsi="Times New Roman" w:cs="Times New Roman"/>
        </w:rPr>
      </w:pPr>
    </w:p>
    <w:p w14:paraId="272453AA" w14:textId="77777777" w:rsidR="0085757D" w:rsidRPr="00DF7C87" w:rsidRDefault="0085757D" w:rsidP="008A6B75">
      <w:pPr>
        <w:spacing w:line="360" w:lineRule="auto"/>
        <w:rPr>
          <w:rFonts w:ascii="Times New Roman" w:hAnsi="Times New Roman" w:cs="Times New Roman"/>
        </w:rPr>
      </w:pPr>
    </w:p>
    <w:p w14:paraId="37AA5D60" w14:textId="77777777" w:rsidR="0085757D" w:rsidRPr="00DF7C87" w:rsidRDefault="0085757D" w:rsidP="008A6B75">
      <w:pPr>
        <w:spacing w:line="360" w:lineRule="auto"/>
        <w:rPr>
          <w:rFonts w:ascii="Times New Roman" w:hAnsi="Times New Roman" w:cs="Times New Roman"/>
        </w:rPr>
      </w:pPr>
    </w:p>
    <w:p w14:paraId="1DCD03B2" w14:textId="77777777" w:rsidR="0085757D" w:rsidRPr="00DF7C87" w:rsidRDefault="0085757D" w:rsidP="008A6B75">
      <w:pPr>
        <w:spacing w:line="360" w:lineRule="auto"/>
        <w:rPr>
          <w:rFonts w:ascii="Times New Roman" w:hAnsi="Times New Roman" w:cs="Times New Roman"/>
        </w:rPr>
      </w:pPr>
    </w:p>
    <w:p w14:paraId="5D1372A5" w14:textId="77777777" w:rsidR="0085757D" w:rsidRPr="00DF7C87" w:rsidRDefault="0085757D" w:rsidP="008A6B75">
      <w:pPr>
        <w:spacing w:line="360" w:lineRule="auto"/>
        <w:rPr>
          <w:rFonts w:ascii="Times New Roman" w:hAnsi="Times New Roman" w:cs="Times New Roman"/>
        </w:rPr>
      </w:pPr>
    </w:p>
    <w:p w14:paraId="4E21F982" w14:textId="77777777" w:rsidR="0085757D" w:rsidRPr="00DF7C87" w:rsidRDefault="0085757D" w:rsidP="008A6B75">
      <w:pPr>
        <w:spacing w:line="360" w:lineRule="auto"/>
        <w:rPr>
          <w:rFonts w:ascii="Times New Roman" w:hAnsi="Times New Roman" w:cs="Times New Roman"/>
        </w:rPr>
      </w:pPr>
    </w:p>
    <w:p w14:paraId="086DDAB4" w14:textId="77777777" w:rsidR="00904969" w:rsidRPr="00060A6A" w:rsidRDefault="00236E6D" w:rsidP="008A6B75">
      <w:pPr>
        <w:pStyle w:val="Title"/>
        <w:spacing w:line="360" w:lineRule="auto"/>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796BE322" w14:textId="77777777" w:rsidR="00C30D60" w:rsidRPr="00DF7C87" w:rsidRDefault="00C30D60" w:rsidP="008A6B75">
      <w:pPr>
        <w:pStyle w:val="Title"/>
        <w:spacing w:line="360" w:lineRule="auto"/>
        <w:rPr>
          <w:rFonts w:ascii="Times New Roman" w:hAnsi="Times New Roman" w:cs="Times New Roman"/>
          <w:sz w:val="24"/>
        </w:rPr>
      </w:pPr>
    </w:p>
    <w:p w14:paraId="1CEC7304" w14:textId="7072C48E" w:rsidR="00314C7F" w:rsidRPr="000C0510" w:rsidRDefault="00387656">
      <w:pPr>
        <w:pStyle w:val="TableofFigures"/>
        <w:tabs>
          <w:tab w:val="right" w:leader="dot" w:pos="9350"/>
        </w:tabs>
        <w:rPr>
          <w:rFonts w:ascii="Times New Roman" w:eastAsiaTheme="minorEastAsia" w:hAnsi="Times New Roman" w:cs="Times New Roman"/>
          <w:noProof/>
          <w:kern w:val="2"/>
          <w14:ligatures w14:val="standardContextual"/>
        </w:rPr>
      </w:pPr>
      <w:r w:rsidRPr="00061496">
        <w:rPr>
          <w:rFonts w:ascii="Times New Roman" w:hAnsi="Times New Roman" w:cs="Times New Roman"/>
          <w:sz w:val="28"/>
        </w:rPr>
        <w:fldChar w:fldCharType="begin"/>
      </w:r>
      <w:r w:rsidRPr="00061496">
        <w:rPr>
          <w:rFonts w:ascii="Times New Roman" w:hAnsi="Times New Roman" w:cs="Times New Roman"/>
        </w:rPr>
        <w:instrText xml:space="preserve"> TOC \h \z \c "Figure" </w:instrText>
      </w:r>
      <w:r w:rsidRPr="00061496">
        <w:rPr>
          <w:rFonts w:ascii="Times New Roman" w:hAnsi="Times New Roman" w:cs="Times New Roman"/>
          <w:sz w:val="28"/>
        </w:rPr>
        <w:fldChar w:fldCharType="separate"/>
      </w:r>
      <w:hyperlink w:anchor="_Toc151022970" w:history="1">
        <w:r w:rsidR="00314C7F" w:rsidRPr="000C0510">
          <w:rPr>
            <w:rStyle w:val="Hyperlink"/>
            <w:rFonts w:ascii="Times New Roman" w:hAnsi="Times New Roman" w:cs="Times New Roman"/>
            <w:noProof/>
          </w:rPr>
          <w:t>Figure 1. Box plots of blood plasma data conveying the differences between blood during the CCP (n = 68) and the RP (n = 15). Asterisks represent statistical significance (p value ≤ 0.1 = *; p value ≤ 0.05 = **). LDH: lactate dehydrogenase (p value 0.06), U/L; ALP: alkaline phosphatase, U/L; ALB: albumin (p value 0.04), g/dL; BUN: blood urea nitrogen, mg/dL; GGT: gamma-glutamyl transferase, U/L; mg/dL; TRIG: triglycerides, mg/dL; AST: aspartate amino transferase (p value 0.09), U/L; TP: total protein, g/dL; GLUC: glucose, mg/dL; Phos: phosphate, mg/dL; ALT: alanine transaminase, U/L; CREAT: creatinine (p value 0.04).</w:t>
        </w:r>
        <w:r w:rsidR="00314C7F" w:rsidRPr="000C0510">
          <w:rPr>
            <w:rFonts w:ascii="Times New Roman" w:hAnsi="Times New Roman" w:cs="Times New Roman"/>
            <w:noProof/>
            <w:webHidden/>
          </w:rPr>
          <w:tab/>
        </w:r>
        <w:r w:rsidR="00314C7F" w:rsidRPr="000C0510">
          <w:rPr>
            <w:rFonts w:ascii="Times New Roman" w:hAnsi="Times New Roman" w:cs="Times New Roman"/>
            <w:noProof/>
            <w:webHidden/>
          </w:rPr>
          <w:fldChar w:fldCharType="begin"/>
        </w:r>
        <w:r w:rsidR="00314C7F" w:rsidRPr="000C0510">
          <w:rPr>
            <w:rFonts w:ascii="Times New Roman" w:hAnsi="Times New Roman" w:cs="Times New Roman"/>
            <w:noProof/>
            <w:webHidden/>
          </w:rPr>
          <w:instrText xml:space="preserve"> PAGEREF _Toc151022970 \h </w:instrText>
        </w:r>
        <w:r w:rsidR="00314C7F" w:rsidRPr="000C0510">
          <w:rPr>
            <w:rFonts w:ascii="Times New Roman" w:hAnsi="Times New Roman" w:cs="Times New Roman"/>
            <w:noProof/>
            <w:webHidden/>
          </w:rPr>
        </w:r>
        <w:r w:rsidR="00314C7F" w:rsidRPr="000C0510">
          <w:rPr>
            <w:rFonts w:ascii="Times New Roman" w:hAnsi="Times New Roman" w:cs="Times New Roman"/>
            <w:noProof/>
            <w:webHidden/>
          </w:rPr>
          <w:fldChar w:fldCharType="separate"/>
        </w:r>
        <w:r w:rsidR="00314C7F" w:rsidRPr="000C0510">
          <w:rPr>
            <w:rFonts w:ascii="Times New Roman" w:hAnsi="Times New Roman" w:cs="Times New Roman"/>
            <w:noProof/>
            <w:webHidden/>
          </w:rPr>
          <w:t>19</w:t>
        </w:r>
        <w:r w:rsidR="00314C7F" w:rsidRPr="000C0510">
          <w:rPr>
            <w:rFonts w:ascii="Times New Roman" w:hAnsi="Times New Roman" w:cs="Times New Roman"/>
            <w:noProof/>
            <w:webHidden/>
          </w:rPr>
          <w:fldChar w:fldCharType="end"/>
        </w:r>
      </w:hyperlink>
    </w:p>
    <w:p w14:paraId="36051547" w14:textId="67F9C772" w:rsidR="00314C7F" w:rsidRPr="000C0510"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022971" w:history="1">
        <w:r w:rsidR="00314C7F" w:rsidRPr="000C0510">
          <w:rPr>
            <w:rStyle w:val="Hyperlink"/>
            <w:rFonts w:ascii="Times New Roman" w:hAnsi="Times New Roman" w:cs="Times New Roman"/>
            <w:noProof/>
          </w:rPr>
          <w:t>Figure 2. Heatmap showing increased or decreased abundance of detected metabolites organized by compound class between the RP (</w:t>
        </w:r>
        <w:r w:rsidR="00314C7F" w:rsidRPr="000C0510">
          <w:rPr>
            <w:rStyle w:val="Hyperlink"/>
            <w:rFonts w:ascii="Times New Roman" w:hAnsi="Times New Roman" w:cs="Times New Roman"/>
            <w:i/>
            <w:iCs/>
            <w:noProof/>
          </w:rPr>
          <w:t xml:space="preserve">n </w:t>
        </w:r>
        <w:r w:rsidR="00314C7F" w:rsidRPr="000C0510">
          <w:rPr>
            <w:rStyle w:val="Hyperlink"/>
            <w:rFonts w:ascii="Times New Roman" w:hAnsi="Times New Roman" w:cs="Times New Roman"/>
            <w:noProof/>
          </w:rPr>
          <w:t>= 20) and the CCP (</w:t>
        </w:r>
        <w:r w:rsidR="00314C7F" w:rsidRPr="000C0510">
          <w:rPr>
            <w:rStyle w:val="Hyperlink"/>
            <w:rFonts w:ascii="Times New Roman" w:hAnsi="Times New Roman" w:cs="Times New Roman"/>
            <w:i/>
            <w:iCs/>
            <w:noProof/>
          </w:rPr>
          <w:t xml:space="preserve">n </w:t>
        </w:r>
        <w:r w:rsidR="00314C7F" w:rsidRPr="000C0510">
          <w:rPr>
            <w:rStyle w:val="Hyperlink"/>
            <w:rFonts w:ascii="Times New Roman" w:hAnsi="Times New Roman" w:cs="Times New Roman"/>
            <w:noProof/>
          </w:rPr>
          <w:t>= 68; fold change of RP/CCP). Eight compounds exhibited significantly lower abundance while one compound showed significantly higher abundance during the RP.</w:t>
        </w:r>
        <w:r w:rsidR="00314C7F" w:rsidRPr="000C0510">
          <w:rPr>
            <w:rFonts w:ascii="Times New Roman" w:hAnsi="Times New Roman" w:cs="Times New Roman"/>
            <w:noProof/>
            <w:webHidden/>
          </w:rPr>
          <w:tab/>
        </w:r>
        <w:r w:rsidR="00314C7F" w:rsidRPr="000C0510">
          <w:rPr>
            <w:rFonts w:ascii="Times New Roman" w:hAnsi="Times New Roman" w:cs="Times New Roman"/>
            <w:noProof/>
            <w:webHidden/>
          </w:rPr>
          <w:fldChar w:fldCharType="begin"/>
        </w:r>
        <w:r w:rsidR="00314C7F" w:rsidRPr="000C0510">
          <w:rPr>
            <w:rFonts w:ascii="Times New Roman" w:hAnsi="Times New Roman" w:cs="Times New Roman"/>
            <w:noProof/>
            <w:webHidden/>
          </w:rPr>
          <w:instrText xml:space="preserve"> PAGEREF _Toc151022971 \h </w:instrText>
        </w:r>
        <w:r w:rsidR="00314C7F" w:rsidRPr="000C0510">
          <w:rPr>
            <w:rFonts w:ascii="Times New Roman" w:hAnsi="Times New Roman" w:cs="Times New Roman"/>
            <w:noProof/>
            <w:webHidden/>
          </w:rPr>
        </w:r>
        <w:r w:rsidR="00314C7F" w:rsidRPr="000C0510">
          <w:rPr>
            <w:rFonts w:ascii="Times New Roman" w:hAnsi="Times New Roman" w:cs="Times New Roman"/>
            <w:noProof/>
            <w:webHidden/>
          </w:rPr>
          <w:fldChar w:fldCharType="separate"/>
        </w:r>
        <w:r w:rsidR="00314C7F" w:rsidRPr="000C0510">
          <w:rPr>
            <w:rFonts w:ascii="Times New Roman" w:hAnsi="Times New Roman" w:cs="Times New Roman"/>
            <w:noProof/>
            <w:webHidden/>
          </w:rPr>
          <w:t>21</w:t>
        </w:r>
        <w:r w:rsidR="00314C7F" w:rsidRPr="000C0510">
          <w:rPr>
            <w:rFonts w:ascii="Times New Roman" w:hAnsi="Times New Roman" w:cs="Times New Roman"/>
            <w:noProof/>
            <w:webHidden/>
          </w:rPr>
          <w:fldChar w:fldCharType="end"/>
        </w:r>
      </w:hyperlink>
    </w:p>
    <w:p w14:paraId="7C0E20CD" w14:textId="20FD94F1" w:rsidR="00314C7F" w:rsidRPr="000C0510"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022972" w:history="1">
        <w:r w:rsidR="00314C7F" w:rsidRPr="000C0510">
          <w:rPr>
            <w:rStyle w:val="Hyperlink"/>
            <w:rFonts w:ascii="Times New Roman" w:hAnsi="Times New Roman" w:cs="Times New Roman"/>
            <w:noProof/>
          </w:rPr>
          <w:t>Figure 3. PLS-DA containing known metabolites and unidentified features detected during the CCP (n = 68) and RP (n = 20). The resulting plot shows separation between the groupings, indicating differences in the equine metabolomic profile during the CCP and the RP.</w:t>
        </w:r>
        <w:r w:rsidR="00314C7F" w:rsidRPr="000C0510">
          <w:rPr>
            <w:rFonts w:ascii="Times New Roman" w:hAnsi="Times New Roman" w:cs="Times New Roman"/>
            <w:noProof/>
            <w:webHidden/>
          </w:rPr>
          <w:tab/>
        </w:r>
        <w:r w:rsidR="00314C7F" w:rsidRPr="000C0510">
          <w:rPr>
            <w:rFonts w:ascii="Times New Roman" w:hAnsi="Times New Roman" w:cs="Times New Roman"/>
            <w:noProof/>
            <w:webHidden/>
          </w:rPr>
          <w:fldChar w:fldCharType="begin"/>
        </w:r>
        <w:r w:rsidR="00314C7F" w:rsidRPr="000C0510">
          <w:rPr>
            <w:rFonts w:ascii="Times New Roman" w:hAnsi="Times New Roman" w:cs="Times New Roman"/>
            <w:noProof/>
            <w:webHidden/>
          </w:rPr>
          <w:instrText xml:space="preserve"> PAGEREF _Toc151022972 \h </w:instrText>
        </w:r>
        <w:r w:rsidR="00314C7F" w:rsidRPr="000C0510">
          <w:rPr>
            <w:rFonts w:ascii="Times New Roman" w:hAnsi="Times New Roman" w:cs="Times New Roman"/>
            <w:noProof/>
            <w:webHidden/>
          </w:rPr>
        </w:r>
        <w:r w:rsidR="00314C7F" w:rsidRPr="000C0510">
          <w:rPr>
            <w:rFonts w:ascii="Times New Roman" w:hAnsi="Times New Roman" w:cs="Times New Roman"/>
            <w:noProof/>
            <w:webHidden/>
          </w:rPr>
          <w:fldChar w:fldCharType="separate"/>
        </w:r>
        <w:r w:rsidR="00314C7F" w:rsidRPr="000C0510">
          <w:rPr>
            <w:rFonts w:ascii="Times New Roman" w:hAnsi="Times New Roman" w:cs="Times New Roman"/>
            <w:noProof/>
            <w:webHidden/>
          </w:rPr>
          <w:t>22</w:t>
        </w:r>
        <w:r w:rsidR="00314C7F" w:rsidRPr="000C0510">
          <w:rPr>
            <w:rFonts w:ascii="Times New Roman" w:hAnsi="Times New Roman" w:cs="Times New Roman"/>
            <w:noProof/>
            <w:webHidden/>
          </w:rPr>
          <w:fldChar w:fldCharType="end"/>
        </w:r>
      </w:hyperlink>
    </w:p>
    <w:p w14:paraId="450D5AC6" w14:textId="776304CF" w:rsidR="00314C7F" w:rsidRDefault="00000000">
      <w:pPr>
        <w:pStyle w:val="TableofFigures"/>
        <w:tabs>
          <w:tab w:val="right" w:leader="dot" w:pos="9350"/>
        </w:tabs>
        <w:rPr>
          <w:rFonts w:asciiTheme="minorHAnsi" w:eastAsiaTheme="minorEastAsia" w:hAnsiTheme="minorHAnsi" w:cstheme="minorBidi"/>
          <w:noProof/>
          <w:kern w:val="2"/>
          <w14:ligatures w14:val="standardContextual"/>
        </w:rPr>
      </w:pPr>
      <w:hyperlink w:anchor="_Toc151022973" w:history="1">
        <w:r w:rsidR="00314C7F" w:rsidRPr="000C0510">
          <w:rPr>
            <w:rStyle w:val="Hyperlink"/>
            <w:rFonts w:ascii="Times New Roman" w:hAnsi="Times New Roman" w:cs="Times New Roman"/>
            <w:noProof/>
          </w:rPr>
          <w:t>Figure 4. PLS-DAs (left) of known metabolites and unidentified features detected in the metabolomes of all horses that were enrolled in the refeeding program grouped by diet (C vs. S), sex (mare vs. gelding), and age group (below 20 and 20 and above). Sample sizes used for PLS-DAs were as follows C: n = 52; S: n = 36; mare: n = 59; gelding: n = 29; below 20: n = 45; 20 and above: n = 43. Venn Diagram (right) displaying similarities and differences between features in each grouping.</w:t>
        </w:r>
        <w:r w:rsidR="00314C7F" w:rsidRPr="000C0510">
          <w:rPr>
            <w:rFonts w:ascii="Times New Roman" w:hAnsi="Times New Roman" w:cs="Times New Roman"/>
            <w:noProof/>
            <w:webHidden/>
          </w:rPr>
          <w:tab/>
        </w:r>
        <w:r w:rsidR="00314C7F" w:rsidRPr="000C0510">
          <w:rPr>
            <w:rFonts w:ascii="Times New Roman" w:hAnsi="Times New Roman" w:cs="Times New Roman"/>
            <w:noProof/>
            <w:webHidden/>
          </w:rPr>
          <w:fldChar w:fldCharType="begin"/>
        </w:r>
        <w:r w:rsidR="00314C7F" w:rsidRPr="000C0510">
          <w:rPr>
            <w:rFonts w:ascii="Times New Roman" w:hAnsi="Times New Roman" w:cs="Times New Roman"/>
            <w:noProof/>
            <w:webHidden/>
          </w:rPr>
          <w:instrText xml:space="preserve"> PAGEREF _Toc151022973 \h </w:instrText>
        </w:r>
        <w:r w:rsidR="00314C7F" w:rsidRPr="000C0510">
          <w:rPr>
            <w:rFonts w:ascii="Times New Roman" w:hAnsi="Times New Roman" w:cs="Times New Roman"/>
            <w:noProof/>
            <w:webHidden/>
          </w:rPr>
        </w:r>
        <w:r w:rsidR="00314C7F" w:rsidRPr="000C0510">
          <w:rPr>
            <w:rFonts w:ascii="Times New Roman" w:hAnsi="Times New Roman" w:cs="Times New Roman"/>
            <w:noProof/>
            <w:webHidden/>
          </w:rPr>
          <w:fldChar w:fldCharType="separate"/>
        </w:r>
        <w:r w:rsidR="00314C7F" w:rsidRPr="000C0510">
          <w:rPr>
            <w:rFonts w:ascii="Times New Roman" w:hAnsi="Times New Roman" w:cs="Times New Roman"/>
            <w:noProof/>
            <w:webHidden/>
          </w:rPr>
          <w:t>24</w:t>
        </w:r>
        <w:r w:rsidR="00314C7F" w:rsidRPr="000C0510">
          <w:rPr>
            <w:rFonts w:ascii="Times New Roman" w:hAnsi="Times New Roman" w:cs="Times New Roman"/>
            <w:noProof/>
            <w:webHidden/>
          </w:rPr>
          <w:fldChar w:fldCharType="end"/>
        </w:r>
      </w:hyperlink>
    </w:p>
    <w:p w14:paraId="7A600305" w14:textId="2C6032FA" w:rsidR="00387656" w:rsidRPr="00061496" w:rsidRDefault="00387656" w:rsidP="008A6B75">
      <w:pPr>
        <w:pStyle w:val="Title"/>
        <w:spacing w:line="360" w:lineRule="auto"/>
        <w:rPr>
          <w:rFonts w:ascii="Times New Roman" w:hAnsi="Times New Roman" w:cs="Times New Roman"/>
          <w:sz w:val="24"/>
        </w:rPr>
      </w:pPr>
      <w:r w:rsidRPr="00061496">
        <w:rPr>
          <w:rFonts w:ascii="Times New Roman" w:hAnsi="Times New Roman" w:cs="Times New Roman"/>
          <w:sz w:val="24"/>
        </w:rPr>
        <w:fldChar w:fldCharType="end"/>
      </w:r>
      <w:r w:rsidRPr="00061496">
        <w:rPr>
          <w:rFonts w:ascii="Times New Roman" w:hAnsi="Times New Roman" w:cs="Times New Roman"/>
          <w:sz w:val="24"/>
        </w:rPr>
        <w:t xml:space="preserve"> </w:t>
      </w:r>
    </w:p>
    <w:p w14:paraId="5060C15D" w14:textId="77777777" w:rsidR="003C1575" w:rsidRPr="00DF7C87" w:rsidRDefault="003C1575" w:rsidP="008A6B75">
      <w:pPr>
        <w:spacing w:line="360" w:lineRule="auto"/>
        <w:rPr>
          <w:rFonts w:ascii="Times New Roman" w:hAnsi="Times New Roman" w:cs="Times New Roman"/>
        </w:rPr>
      </w:pPr>
    </w:p>
    <w:p w14:paraId="2AE6F204" w14:textId="77777777" w:rsidR="0085757D" w:rsidRPr="00DF7C87" w:rsidRDefault="0085757D" w:rsidP="008A6B75">
      <w:pPr>
        <w:spacing w:line="360" w:lineRule="auto"/>
        <w:rPr>
          <w:rFonts w:ascii="Times New Roman" w:hAnsi="Times New Roman" w:cs="Times New Roman"/>
        </w:rPr>
      </w:pPr>
    </w:p>
    <w:p w14:paraId="78DF4623" w14:textId="77777777" w:rsidR="0085757D" w:rsidRPr="00DF7C87" w:rsidRDefault="0085757D" w:rsidP="008A6B75">
      <w:pPr>
        <w:spacing w:line="360" w:lineRule="auto"/>
        <w:rPr>
          <w:rFonts w:ascii="Times New Roman" w:hAnsi="Times New Roman" w:cs="Times New Roman"/>
        </w:rPr>
      </w:pPr>
    </w:p>
    <w:p w14:paraId="28929FE2" w14:textId="77777777" w:rsidR="0085757D" w:rsidRPr="00DF7C87" w:rsidRDefault="0085757D" w:rsidP="008A6B75">
      <w:pPr>
        <w:spacing w:line="360" w:lineRule="auto"/>
        <w:rPr>
          <w:rFonts w:ascii="Times New Roman" w:hAnsi="Times New Roman" w:cs="Times New Roman"/>
        </w:rPr>
      </w:pPr>
    </w:p>
    <w:p w14:paraId="1C0C5BA0" w14:textId="77777777" w:rsidR="0085757D" w:rsidRPr="00DF7C87" w:rsidRDefault="0085757D" w:rsidP="008A6B75">
      <w:pPr>
        <w:spacing w:line="360" w:lineRule="auto"/>
        <w:rPr>
          <w:rFonts w:ascii="Times New Roman" w:hAnsi="Times New Roman" w:cs="Times New Roman"/>
        </w:rPr>
      </w:pPr>
    </w:p>
    <w:p w14:paraId="2123B748" w14:textId="77777777" w:rsidR="0085757D" w:rsidRPr="00DF7C87" w:rsidRDefault="0085757D" w:rsidP="008A6B75">
      <w:pPr>
        <w:spacing w:line="360" w:lineRule="auto"/>
        <w:rPr>
          <w:rFonts w:ascii="Times New Roman" w:hAnsi="Times New Roman" w:cs="Times New Roman"/>
        </w:rPr>
        <w:sectPr w:rsidR="0085757D" w:rsidRPr="00DF7C87" w:rsidSect="0015115D">
          <w:footerReference w:type="default" r:id="rId8"/>
          <w:pgSz w:w="12240" w:h="15840" w:code="1"/>
          <w:pgMar w:top="1440" w:right="1440" w:bottom="1440" w:left="1440" w:header="720" w:footer="1440" w:gutter="0"/>
          <w:pgNumType w:fmt="lowerRoman" w:start="1"/>
          <w:cols w:space="720"/>
          <w:noEndnote/>
          <w:titlePg/>
        </w:sectPr>
      </w:pPr>
    </w:p>
    <w:p w14:paraId="491B0057" w14:textId="0FC8ADAF" w:rsidR="00AA7CD5" w:rsidRPr="00061496" w:rsidRDefault="00AA7CD5" w:rsidP="00061496">
      <w:pPr>
        <w:pStyle w:val="Heading1"/>
        <w:rPr>
          <w:rFonts w:ascii="Times New Roman" w:hAnsi="Times New Roman" w:cs="Times New Roman"/>
        </w:rPr>
      </w:pPr>
      <w:bookmarkStart w:id="0" w:name="_Toc151023657"/>
      <w:r w:rsidRPr="00061496">
        <w:rPr>
          <w:rFonts w:ascii="Times New Roman" w:hAnsi="Times New Roman" w:cs="Times New Roman"/>
        </w:rPr>
        <w:lastRenderedPageBreak/>
        <w:t>CHAPTER I</w:t>
      </w:r>
      <w:r w:rsidRPr="00061496">
        <w:rPr>
          <w:rFonts w:ascii="Times New Roman" w:hAnsi="Times New Roman" w:cs="Times New Roman"/>
        </w:rPr>
        <w:br/>
        <w:t>LITERATURE REVIEW: Metabolomic profiles in starved light breed horses during the refeeding process</w:t>
      </w:r>
      <w:bookmarkEnd w:id="0"/>
    </w:p>
    <w:p w14:paraId="1F704957" w14:textId="752CC702" w:rsidR="00AA7CD5" w:rsidRPr="006B1944" w:rsidRDefault="00AA7CD5" w:rsidP="008A6B75">
      <w:pPr>
        <w:spacing w:line="360" w:lineRule="auto"/>
        <w:rPr>
          <w:rFonts w:ascii="Times New Roman" w:hAnsi="Times New Roman" w:cs="Times New Roman"/>
          <w:sz w:val="28"/>
          <w:szCs w:val="28"/>
        </w:rPr>
      </w:pPr>
      <w:r>
        <w:rPr>
          <w:rFonts w:ascii="Times New Roman" w:hAnsi="Times New Roman" w:cs="Times New Roman"/>
          <w:sz w:val="28"/>
          <w:szCs w:val="28"/>
        </w:rPr>
        <w:br w:type="page"/>
      </w:r>
    </w:p>
    <w:p w14:paraId="31BA4EE5" w14:textId="77777777" w:rsidR="00AA7CD5" w:rsidRDefault="00AA7CD5" w:rsidP="008A6B75">
      <w:pPr>
        <w:pStyle w:val="Heading2"/>
        <w:spacing w:line="360" w:lineRule="auto"/>
        <w:rPr>
          <w:rFonts w:ascii="Times New Roman" w:hAnsi="Times New Roman" w:cs="Times New Roman"/>
        </w:rPr>
      </w:pPr>
      <w:bookmarkStart w:id="1" w:name="_Toc151023658"/>
      <w:r w:rsidRPr="006B1944">
        <w:rPr>
          <w:rFonts w:ascii="Times New Roman" w:hAnsi="Times New Roman" w:cs="Times New Roman"/>
        </w:rPr>
        <w:lastRenderedPageBreak/>
        <w:t>Literature Review</w:t>
      </w:r>
      <w:bookmarkEnd w:id="1"/>
    </w:p>
    <w:p w14:paraId="53717B2F" w14:textId="77777777" w:rsidR="00AA7CD5" w:rsidRPr="006B1944" w:rsidRDefault="00AA7CD5" w:rsidP="008A6B75">
      <w:pPr>
        <w:pStyle w:val="Heading3"/>
        <w:spacing w:line="360" w:lineRule="auto"/>
      </w:pPr>
      <w:bookmarkStart w:id="2" w:name="_Toc151023659"/>
      <w:r w:rsidRPr="006B1944">
        <w:rPr>
          <w:rFonts w:ascii="Times New Roman" w:hAnsi="Times New Roman" w:cs="Times New Roman"/>
        </w:rPr>
        <w:t>Unwanted Horse</w:t>
      </w:r>
      <w:r>
        <w:rPr>
          <w:rFonts w:ascii="Times New Roman" w:hAnsi="Times New Roman" w:cs="Times New Roman"/>
        </w:rPr>
        <w:t>s</w:t>
      </w:r>
      <w:bookmarkEnd w:id="2"/>
    </w:p>
    <w:p w14:paraId="438FABAA" w14:textId="77777777" w:rsidR="00AA7CD5" w:rsidRPr="006B1944" w:rsidRDefault="00AA7CD5" w:rsidP="008A6B75">
      <w:pPr>
        <w:spacing w:line="360" w:lineRule="auto"/>
        <w:rPr>
          <w:rFonts w:ascii="Times New Roman" w:hAnsi="Times New Roman" w:cs="Times New Roman"/>
          <w:szCs w:val="28"/>
        </w:rPr>
      </w:pPr>
      <w:r>
        <w:rPr>
          <w:rFonts w:ascii="Times New Roman" w:hAnsi="Times New Roman" w:cs="Times New Roman"/>
          <w:szCs w:val="28"/>
        </w:rPr>
        <w:t>The equine industry within the United States is plagued with issue of a growing number or undesired or “unwanted” horses and other equids.</w:t>
      </w:r>
      <w:r w:rsidRPr="006B1944">
        <w:rPr>
          <w:rFonts w:ascii="Times New Roman" w:hAnsi="Times New Roman" w:cs="Times New Roman"/>
          <w:szCs w:val="28"/>
        </w:rPr>
        <w:t xml:space="preserve"> (Schneider et al. 2021). </w:t>
      </w:r>
      <w:r>
        <w:rPr>
          <w:rFonts w:ascii="Times New Roman" w:hAnsi="Times New Roman" w:cs="Times New Roman"/>
          <w:szCs w:val="28"/>
        </w:rPr>
        <w:t>Approximately</w:t>
      </w:r>
      <w:r w:rsidRPr="006B1944">
        <w:rPr>
          <w:rFonts w:ascii="Times New Roman" w:hAnsi="Times New Roman" w:cs="Times New Roman"/>
          <w:szCs w:val="28"/>
        </w:rPr>
        <w:t xml:space="preserve"> 138,000 horses and other equids are deemed “unwanted” </w:t>
      </w:r>
      <w:r>
        <w:rPr>
          <w:rFonts w:ascii="Times New Roman" w:hAnsi="Times New Roman" w:cs="Times New Roman"/>
          <w:szCs w:val="28"/>
        </w:rPr>
        <w:t>each year across the country</w:t>
      </w:r>
      <w:r w:rsidRPr="006B1944">
        <w:rPr>
          <w:rFonts w:ascii="Times New Roman" w:hAnsi="Times New Roman" w:cs="Times New Roman"/>
          <w:szCs w:val="28"/>
        </w:rPr>
        <w:t xml:space="preserve"> (Lenz 2009). </w:t>
      </w:r>
      <w:r>
        <w:rPr>
          <w:rFonts w:ascii="Times New Roman" w:hAnsi="Times New Roman" w:cs="Times New Roman"/>
          <w:szCs w:val="28"/>
        </w:rPr>
        <w:t>Often</w:t>
      </w:r>
      <w:r w:rsidRPr="006B1944">
        <w:rPr>
          <w:rFonts w:ascii="Times New Roman" w:hAnsi="Times New Roman" w:cs="Times New Roman"/>
          <w:szCs w:val="28"/>
        </w:rPr>
        <w:t xml:space="preserve">, </w:t>
      </w:r>
      <w:r>
        <w:rPr>
          <w:rFonts w:ascii="Times New Roman" w:hAnsi="Times New Roman" w:cs="Times New Roman"/>
          <w:szCs w:val="28"/>
        </w:rPr>
        <w:t xml:space="preserve">these </w:t>
      </w:r>
      <w:r w:rsidRPr="006B1944">
        <w:rPr>
          <w:rFonts w:ascii="Times New Roman" w:hAnsi="Times New Roman" w:cs="Times New Roman"/>
          <w:szCs w:val="28"/>
        </w:rPr>
        <w:t xml:space="preserve">unwanted </w:t>
      </w:r>
      <w:r>
        <w:rPr>
          <w:rFonts w:ascii="Times New Roman" w:hAnsi="Times New Roman" w:cs="Times New Roman"/>
          <w:szCs w:val="28"/>
        </w:rPr>
        <w:t>animals</w:t>
      </w:r>
      <w:r w:rsidRPr="006B1944">
        <w:rPr>
          <w:rFonts w:ascii="Times New Roman" w:hAnsi="Times New Roman" w:cs="Times New Roman"/>
          <w:szCs w:val="28"/>
        </w:rPr>
        <w:t xml:space="preserve"> are geriatric, incurably lame, have behavioral issues, or are considered dangerous to their owners (Lenz 2009). Horses that are </w:t>
      </w:r>
      <w:r>
        <w:rPr>
          <w:rFonts w:ascii="Times New Roman" w:hAnsi="Times New Roman" w:cs="Times New Roman"/>
          <w:szCs w:val="28"/>
        </w:rPr>
        <w:t>more difficult to market and sell</w:t>
      </w:r>
      <w:r w:rsidRPr="006B1944">
        <w:rPr>
          <w:rFonts w:ascii="Times New Roman" w:hAnsi="Times New Roman" w:cs="Times New Roman"/>
          <w:szCs w:val="28"/>
        </w:rPr>
        <w:t xml:space="preserve">, </w:t>
      </w:r>
      <w:r>
        <w:rPr>
          <w:rFonts w:ascii="Times New Roman" w:hAnsi="Times New Roman" w:cs="Times New Roman"/>
          <w:szCs w:val="28"/>
        </w:rPr>
        <w:t>are physically unattractive</w:t>
      </w:r>
      <w:r w:rsidRPr="006B1944">
        <w:rPr>
          <w:rFonts w:ascii="Times New Roman" w:hAnsi="Times New Roman" w:cs="Times New Roman"/>
          <w:szCs w:val="28"/>
        </w:rPr>
        <w:t xml:space="preserve">, unathletic, or </w:t>
      </w:r>
      <w:r>
        <w:rPr>
          <w:rFonts w:ascii="Times New Roman" w:hAnsi="Times New Roman" w:cs="Times New Roman"/>
          <w:szCs w:val="28"/>
        </w:rPr>
        <w:t>expensive</w:t>
      </w:r>
      <w:r w:rsidRPr="006B1944">
        <w:rPr>
          <w:rFonts w:ascii="Times New Roman" w:hAnsi="Times New Roman" w:cs="Times New Roman"/>
          <w:szCs w:val="28"/>
        </w:rPr>
        <w:t xml:space="preserve"> to maintain </w:t>
      </w:r>
      <w:r>
        <w:rPr>
          <w:rFonts w:ascii="Times New Roman" w:hAnsi="Times New Roman" w:cs="Times New Roman"/>
          <w:szCs w:val="28"/>
        </w:rPr>
        <w:t>often also become</w:t>
      </w:r>
      <w:r w:rsidRPr="006B1944">
        <w:rPr>
          <w:rFonts w:ascii="Times New Roman" w:hAnsi="Times New Roman" w:cs="Times New Roman"/>
          <w:szCs w:val="28"/>
        </w:rPr>
        <w:t xml:space="preserve"> “unwanted” (Lenz 2009). Unfortunately, these undesirable animals are often </w:t>
      </w:r>
      <w:r>
        <w:rPr>
          <w:rFonts w:ascii="Times New Roman" w:hAnsi="Times New Roman" w:cs="Times New Roman"/>
          <w:szCs w:val="28"/>
        </w:rPr>
        <w:t>neglected</w:t>
      </w:r>
      <w:r w:rsidRPr="006B1944">
        <w:rPr>
          <w:rFonts w:ascii="Times New Roman" w:hAnsi="Times New Roman" w:cs="Times New Roman"/>
          <w:szCs w:val="28"/>
        </w:rPr>
        <w:t xml:space="preserve"> and </w:t>
      </w:r>
      <w:r>
        <w:rPr>
          <w:rFonts w:ascii="Times New Roman" w:hAnsi="Times New Roman" w:cs="Times New Roman"/>
          <w:szCs w:val="28"/>
        </w:rPr>
        <w:t>become emaciated or starved</w:t>
      </w:r>
      <w:r w:rsidRPr="006B1944">
        <w:rPr>
          <w:rFonts w:ascii="Times New Roman" w:hAnsi="Times New Roman" w:cs="Times New Roman"/>
          <w:szCs w:val="28"/>
        </w:rPr>
        <w:t xml:space="preserve"> due to lack of nutritional knowledge by the owner, </w:t>
      </w:r>
      <w:r>
        <w:rPr>
          <w:rFonts w:ascii="Times New Roman" w:hAnsi="Times New Roman" w:cs="Times New Roman"/>
          <w:szCs w:val="28"/>
        </w:rPr>
        <w:t>lack of awareness of the animals’ maintenance cost</w:t>
      </w:r>
      <w:r w:rsidRPr="006B1944">
        <w:rPr>
          <w:rFonts w:ascii="Times New Roman" w:hAnsi="Times New Roman" w:cs="Times New Roman"/>
          <w:szCs w:val="28"/>
        </w:rPr>
        <w:t>, and in some cases, criminal neglect (Schneider et al. 2021). Further</w:t>
      </w:r>
      <w:r>
        <w:rPr>
          <w:rFonts w:ascii="Times New Roman" w:hAnsi="Times New Roman" w:cs="Times New Roman"/>
          <w:szCs w:val="28"/>
        </w:rPr>
        <w:t>more</w:t>
      </w:r>
      <w:r w:rsidRPr="006B1944">
        <w:rPr>
          <w:rFonts w:ascii="Times New Roman" w:hAnsi="Times New Roman" w:cs="Times New Roman"/>
          <w:szCs w:val="28"/>
        </w:rPr>
        <w:t xml:space="preserve">, </w:t>
      </w:r>
      <w:r>
        <w:rPr>
          <w:rFonts w:ascii="Times New Roman" w:hAnsi="Times New Roman" w:cs="Times New Roman"/>
          <w:szCs w:val="28"/>
        </w:rPr>
        <w:t xml:space="preserve">growing </w:t>
      </w:r>
      <w:r w:rsidRPr="006B1944">
        <w:rPr>
          <w:rFonts w:ascii="Times New Roman" w:hAnsi="Times New Roman" w:cs="Times New Roman"/>
          <w:szCs w:val="28"/>
        </w:rPr>
        <w:t xml:space="preserve">unwanted horse population coupled with the </w:t>
      </w:r>
      <w:r>
        <w:rPr>
          <w:rFonts w:ascii="Times New Roman" w:hAnsi="Times New Roman" w:cs="Times New Roman"/>
          <w:szCs w:val="28"/>
        </w:rPr>
        <w:t>increased frequency of neglect cases and lack of owner knowledge</w:t>
      </w:r>
      <w:r w:rsidRPr="006B1944">
        <w:rPr>
          <w:rFonts w:ascii="Times New Roman" w:hAnsi="Times New Roman" w:cs="Times New Roman"/>
          <w:szCs w:val="28"/>
        </w:rPr>
        <w:t xml:space="preserve"> results in </w:t>
      </w:r>
      <w:r>
        <w:rPr>
          <w:rFonts w:ascii="Times New Roman" w:hAnsi="Times New Roman" w:cs="Times New Roman"/>
          <w:szCs w:val="28"/>
        </w:rPr>
        <w:t>a growing number</w:t>
      </w:r>
      <w:r w:rsidRPr="006B1944">
        <w:rPr>
          <w:rFonts w:ascii="Times New Roman" w:hAnsi="Times New Roman" w:cs="Times New Roman"/>
          <w:szCs w:val="28"/>
        </w:rPr>
        <w:t xml:space="preserve"> of </w:t>
      </w:r>
      <w:r>
        <w:rPr>
          <w:rFonts w:ascii="Times New Roman" w:hAnsi="Times New Roman" w:cs="Times New Roman"/>
          <w:szCs w:val="28"/>
        </w:rPr>
        <w:t>starved</w:t>
      </w:r>
      <w:r w:rsidRPr="006B1944">
        <w:rPr>
          <w:rFonts w:ascii="Times New Roman" w:hAnsi="Times New Roman" w:cs="Times New Roman"/>
          <w:szCs w:val="28"/>
        </w:rPr>
        <w:t xml:space="preserve"> horses in the </w:t>
      </w:r>
      <w:r>
        <w:rPr>
          <w:rFonts w:ascii="Times New Roman" w:hAnsi="Times New Roman" w:cs="Times New Roman"/>
          <w:szCs w:val="28"/>
        </w:rPr>
        <w:t>United States, thus taking a toll on the country’s equine industry.</w:t>
      </w:r>
    </w:p>
    <w:p w14:paraId="79B980AE" w14:textId="77777777" w:rsidR="00AA7CD5" w:rsidRPr="006B1944" w:rsidRDefault="00AA7CD5" w:rsidP="008A6B75">
      <w:pPr>
        <w:spacing w:line="360" w:lineRule="auto"/>
        <w:rPr>
          <w:rFonts w:ascii="Times New Roman" w:hAnsi="Times New Roman" w:cs="Times New Roman"/>
          <w:szCs w:val="28"/>
        </w:rPr>
      </w:pPr>
    </w:p>
    <w:p w14:paraId="5C8A90F0" w14:textId="77777777" w:rsidR="00AA7CD5" w:rsidRPr="006B1944" w:rsidRDefault="00AA7CD5" w:rsidP="008A6B75">
      <w:pPr>
        <w:pStyle w:val="Heading3"/>
        <w:spacing w:line="360" w:lineRule="auto"/>
      </w:pPr>
      <w:bookmarkStart w:id="3" w:name="_Toc151023660"/>
      <w:r>
        <w:rPr>
          <w:rFonts w:ascii="Times New Roman" w:hAnsi="Times New Roman" w:cs="Times New Roman"/>
        </w:rPr>
        <w:t>Malnutrition in Equids</w:t>
      </w:r>
      <w:r w:rsidRPr="006B1944">
        <w:rPr>
          <w:rFonts w:ascii="Times New Roman" w:hAnsi="Times New Roman" w:cs="Times New Roman"/>
        </w:rPr>
        <w:t>:</w:t>
      </w:r>
      <w:bookmarkEnd w:id="3"/>
    </w:p>
    <w:p w14:paraId="4AE73F99" w14:textId="77777777" w:rsidR="00AA7CD5" w:rsidRDefault="00AA7CD5" w:rsidP="008A6B75">
      <w:pPr>
        <w:spacing w:line="360" w:lineRule="auto"/>
        <w:rPr>
          <w:rFonts w:ascii="Times New Roman" w:hAnsi="Times New Roman" w:cs="Times New Roman"/>
          <w:szCs w:val="28"/>
        </w:rPr>
      </w:pPr>
      <w:r w:rsidRPr="006B1944">
        <w:rPr>
          <w:rFonts w:ascii="Times New Roman" w:hAnsi="Times New Roman" w:cs="Times New Roman"/>
          <w:szCs w:val="28"/>
        </w:rPr>
        <w:t xml:space="preserve">Often, </w:t>
      </w:r>
      <w:r>
        <w:rPr>
          <w:rFonts w:ascii="Times New Roman" w:hAnsi="Times New Roman" w:cs="Times New Roman"/>
          <w:szCs w:val="28"/>
        </w:rPr>
        <w:t>unwanted horses reach a state of emaciation or starvation as a result of owners lacking proper knowledge of equine nutrition and thus neglecting their animals</w:t>
      </w:r>
      <w:r w:rsidRPr="006B1944">
        <w:rPr>
          <w:rFonts w:ascii="Times New Roman" w:hAnsi="Times New Roman" w:cs="Times New Roman"/>
          <w:szCs w:val="28"/>
        </w:rPr>
        <w:t xml:space="preserve"> (Schneider et al. 2021). Malnutrition is defined as a lack of nutrition due to inadequate or unbalanced intake of nutrients, or their impaired assimilation or utilization (Merriam-Webster). Severe malnutrition or starvation yields proteolytic and lipolytic responses that create </w:t>
      </w:r>
      <w:r>
        <w:rPr>
          <w:rFonts w:ascii="Times New Roman" w:hAnsi="Times New Roman" w:cs="Times New Roman"/>
          <w:szCs w:val="28"/>
        </w:rPr>
        <w:t xml:space="preserve">harsh, </w:t>
      </w:r>
      <w:r w:rsidRPr="006B1944">
        <w:rPr>
          <w:rFonts w:ascii="Times New Roman" w:hAnsi="Times New Roman" w:cs="Times New Roman"/>
          <w:szCs w:val="28"/>
        </w:rPr>
        <w:t xml:space="preserve">negative physiological responses including refeeding syndrome, cachexia, serous atrophy, muscle contractions due to low calcium stores, and heart arrythmia (Finn and Dice 2006). Additionally, malnutrition is a complex condition </w:t>
      </w:r>
      <w:r>
        <w:rPr>
          <w:rFonts w:ascii="Times New Roman" w:hAnsi="Times New Roman" w:cs="Times New Roman"/>
          <w:szCs w:val="28"/>
        </w:rPr>
        <w:t xml:space="preserve">and there are a </w:t>
      </w:r>
      <w:proofErr w:type="spellStart"/>
      <w:r>
        <w:rPr>
          <w:rFonts w:ascii="Times New Roman" w:hAnsi="Times New Roman" w:cs="Times New Roman"/>
          <w:szCs w:val="28"/>
        </w:rPr>
        <w:t>varitety</w:t>
      </w:r>
      <w:proofErr w:type="spellEnd"/>
      <w:r>
        <w:rPr>
          <w:rFonts w:ascii="Times New Roman" w:hAnsi="Times New Roman" w:cs="Times New Roman"/>
          <w:szCs w:val="28"/>
        </w:rPr>
        <w:t xml:space="preserve"> of factors that contribute to it. T</w:t>
      </w:r>
      <w:r w:rsidRPr="006B1944">
        <w:rPr>
          <w:rFonts w:ascii="Times New Roman" w:hAnsi="Times New Roman" w:cs="Times New Roman"/>
          <w:szCs w:val="28"/>
        </w:rPr>
        <w:t>hus</w:t>
      </w:r>
      <w:r>
        <w:rPr>
          <w:rFonts w:ascii="Times New Roman" w:hAnsi="Times New Roman" w:cs="Times New Roman"/>
          <w:szCs w:val="28"/>
        </w:rPr>
        <w:t>,</w:t>
      </w:r>
      <w:r w:rsidRPr="006B1944">
        <w:rPr>
          <w:rFonts w:ascii="Times New Roman" w:hAnsi="Times New Roman" w:cs="Times New Roman"/>
          <w:szCs w:val="28"/>
        </w:rPr>
        <w:t xml:space="preserve"> </w:t>
      </w:r>
      <w:r>
        <w:rPr>
          <w:rFonts w:ascii="Times New Roman" w:hAnsi="Times New Roman" w:cs="Times New Roman"/>
          <w:szCs w:val="28"/>
        </w:rPr>
        <w:t>it can be difficult to truly label the severity of malnutrition of these animals</w:t>
      </w:r>
      <w:r w:rsidRPr="006B1944">
        <w:rPr>
          <w:rFonts w:ascii="Times New Roman" w:hAnsi="Times New Roman" w:cs="Times New Roman"/>
          <w:szCs w:val="28"/>
        </w:rPr>
        <w:t xml:space="preserve">. However, starvation </w:t>
      </w:r>
      <w:r>
        <w:rPr>
          <w:rFonts w:ascii="Times New Roman" w:hAnsi="Times New Roman" w:cs="Times New Roman"/>
          <w:szCs w:val="28"/>
        </w:rPr>
        <w:t xml:space="preserve">in horses </w:t>
      </w:r>
      <w:r w:rsidRPr="006B1944">
        <w:rPr>
          <w:rFonts w:ascii="Times New Roman" w:hAnsi="Times New Roman" w:cs="Times New Roman"/>
          <w:szCs w:val="28"/>
        </w:rPr>
        <w:t xml:space="preserve">is typically classified using a low body condition score (BCS; &lt; 3 on a 1 – 9 scale) (Henneke et al. 1983; Schneider et al. 2021). For this classification, the Henneke Body Condition Scoring system is </w:t>
      </w:r>
      <w:r w:rsidRPr="006B1944">
        <w:rPr>
          <w:rFonts w:ascii="Times New Roman" w:hAnsi="Times New Roman" w:cs="Times New Roman"/>
          <w:szCs w:val="28"/>
        </w:rPr>
        <w:lastRenderedPageBreak/>
        <w:t xml:space="preserve">utilized to assess fat cover and overall nutritional status (Henneke et al. 1983). </w:t>
      </w:r>
      <w:r>
        <w:rPr>
          <w:rFonts w:ascii="Times New Roman" w:hAnsi="Times New Roman" w:cs="Times New Roman"/>
          <w:szCs w:val="28"/>
        </w:rPr>
        <w:t>Often, this system is used to visually assess the nutritional status of equids.</w:t>
      </w:r>
    </w:p>
    <w:p w14:paraId="247FA674" w14:textId="77777777" w:rsidR="00AA7CD5" w:rsidRPr="006B1944" w:rsidRDefault="00AA7CD5" w:rsidP="008A6B75">
      <w:pPr>
        <w:spacing w:line="360" w:lineRule="auto"/>
        <w:rPr>
          <w:rFonts w:ascii="Times New Roman" w:hAnsi="Times New Roman" w:cs="Times New Roman"/>
          <w:szCs w:val="28"/>
        </w:rPr>
      </w:pPr>
    </w:p>
    <w:p w14:paraId="502169C3" w14:textId="664A6F4F" w:rsidR="00AA7CD5" w:rsidRPr="006B1944" w:rsidRDefault="00AA7CD5" w:rsidP="008A6B75">
      <w:pPr>
        <w:spacing w:line="360" w:lineRule="auto"/>
        <w:rPr>
          <w:rFonts w:ascii="Times New Roman" w:hAnsi="Times New Roman" w:cs="Times New Roman"/>
          <w:szCs w:val="28"/>
        </w:rPr>
      </w:pPr>
      <w:r w:rsidRPr="006B1944">
        <w:rPr>
          <w:rFonts w:ascii="Times New Roman" w:hAnsi="Times New Roman" w:cs="Times New Roman"/>
          <w:szCs w:val="28"/>
        </w:rPr>
        <w:t xml:space="preserve">As horses and other equids </w:t>
      </w:r>
      <w:r>
        <w:rPr>
          <w:rFonts w:ascii="Times New Roman" w:hAnsi="Times New Roman" w:cs="Times New Roman"/>
          <w:szCs w:val="28"/>
        </w:rPr>
        <w:t>start to become emaciated or reach a poor nutritional status</w:t>
      </w:r>
      <w:r w:rsidRPr="006B1944">
        <w:rPr>
          <w:rFonts w:ascii="Times New Roman" w:hAnsi="Times New Roman" w:cs="Times New Roman"/>
          <w:szCs w:val="28"/>
        </w:rPr>
        <w:t>, their body condition score and overall body weight often begins to decrease (Kronfeld 1993). However, we cannot accurately determine the causes for these changes in body composition, metabolism, and overall health using the Henneke Body Condition Sc</w:t>
      </w:r>
      <w:r>
        <w:rPr>
          <w:rFonts w:ascii="Times New Roman" w:hAnsi="Times New Roman" w:cs="Times New Roman"/>
          <w:szCs w:val="28"/>
        </w:rPr>
        <w:t xml:space="preserve">ore </w:t>
      </w:r>
      <w:r w:rsidRPr="006B1944">
        <w:rPr>
          <w:rFonts w:ascii="Times New Roman" w:hAnsi="Times New Roman" w:cs="Times New Roman"/>
          <w:szCs w:val="28"/>
        </w:rPr>
        <w:t xml:space="preserve">system (Henneke et al. 1983). </w:t>
      </w:r>
      <w:r>
        <w:rPr>
          <w:rFonts w:ascii="Times New Roman" w:hAnsi="Times New Roman" w:cs="Times New Roman"/>
          <w:szCs w:val="28"/>
        </w:rPr>
        <w:t>P</w:t>
      </w:r>
      <w:r w:rsidRPr="006B1944">
        <w:rPr>
          <w:rFonts w:ascii="Times New Roman" w:hAnsi="Times New Roman" w:cs="Times New Roman"/>
          <w:szCs w:val="28"/>
        </w:rPr>
        <w:t xml:space="preserve">oor nutritional status </w:t>
      </w:r>
      <w:r>
        <w:rPr>
          <w:rFonts w:ascii="Times New Roman" w:hAnsi="Times New Roman" w:cs="Times New Roman"/>
          <w:szCs w:val="28"/>
        </w:rPr>
        <w:t>can result in an array</w:t>
      </w:r>
      <w:r w:rsidRPr="006B1944">
        <w:rPr>
          <w:rFonts w:ascii="Times New Roman" w:hAnsi="Times New Roman" w:cs="Times New Roman"/>
          <w:szCs w:val="28"/>
        </w:rPr>
        <w:t xml:space="preserve"> of clinical </w:t>
      </w:r>
      <w:r>
        <w:rPr>
          <w:rFonts w:ascii="Times New Roman" w:hAnsi="Times New Roman" w:cs="Times New Roman"/>
          <w:szCs w:val="28"/>
        </w:rPr>
        <w:t>health issues</w:t>
      </w:r>
      <w:r w:rsidRPr="006B1944">
        <w:rPr>
          <w:rFonts w:ascii="Times New Roman" w:hAnsi="Times New Roman" w:cs="Times New Roman"/>
          <w:szCs w:val="28"/>
        </w:rPr>
        <w:t xml:space="preserve"> including dental deterioration, hoof issues, intestinal parasites, </w:t>
      </w:r>
      <w:r>
        <w:rPr>
          <w:rFonts w:ascii="Times New Roman" w:hAnsi="Times New Roman" w:cs="Times New Roman"/>
          <w:szCs w:val="28"/>
        </w:rPr>
        <w:t xml:space="preserve">hyperlipemia, </w:t>
      </w:r>
      <w:r w:rsidRPr="006B1944">
        <w:rPr>
          <w:rFonts w:ascii="Times New Roman" w:hAnsi="Times New Roman" w:cs="Times New Roman"/>
          <w:szCs w:val="28"/>
        </w:rPr>
        <w:t xml:space="preserve">cancer, and </w:t>
      </w:r>
      <w:r>
        <w:rPr>
          <w:rFonts w:ascii="Times New Roman" w:hAnsi="Times New Roman" w:cs="Times New Roman"/>
          <w:szCs w:val="28"/>
        </w:rPr>
        <w:t>other</w:t>
      </w:r>
      <w:r w:rsidRPr="006B1944">
        <w:rPr>
          <w:rFonts w:ascii="Times New Roman" w:hAnsi="Times New Roman" w:cs="Times New Roman"/>
          <w:szCs w:val="28"/>
        </w:rPr>
        <w:t xml:space="preserve"> chronic diseases (Kronfeld 1993</w:t>
      </w:r>
      <w:r>
        <w:rPr>
          <w:rFonts w:ascii="Times New Roman" w:hAnsi="Times New Roman" w:cs="Times New Roman"/>
          <w:szCs w:val="28"/>
        </w:rPr>
        <w:t>; Naylor et al., 1980</w:t>
      </w:r>
      <w:r w:rsidRPr="006B1944">
        <w:rPr>
          <w:rFonts w:ascii="Times New Roman" w:hAnsi="Times New Roman" w:cs="Times New Roman"/>
          <w:szCs w:val="28"/>
        </w:rPr>
        <w:t xml:space="preserve">). However, when severely emaciated </w:t>
      </w:r>
      <w:r>
        <w:rPr>
          <w:rFonts w:ascii="Times New Roman" w:hAnsi="Times New Roman" w:cs="Times New Roman"/>
          <w:szCs w:val="28"/>
        </w:rPr>
        <w:t>animals</w:t>
      </w:r>
      <w:r w:rsidRPr="006B1944">
        <w:rPr>
          <w:rFonts w:ascii="Times New Roman" w:hAnsi="Times New Roman" w:cs="Times New Roman"/>
          <w:szCs w:val="28"/>
        </w:rPr>
        <w:t xml:space="preserve"> are subjected to an abrupt refeeding process, they often die within the first few days </w:t>
      </w:r>
      <w:r>
        <w:rPr>
          <w:rFonts w:ascii="Times New Roman" w:hAnsi="Times New Roman" w:cs="Times New Roman"/>
          <w:szCs w:val="28"/>
        </w:rPr>
        <w:t xml:space="preserve">due to the effects of refeeding syndrome </w:t>
      </w:r>
      <w:r w:rsidRPr="006B1944">
        <w:rPr>
          <w:rFonts w:ascii="Times New Roman" w:hAnsi="Times New Roman" w:cs="Times New Roman"/>
          <w:szCs w:val="28"/>
        </w:rPr>
        <w:t xml:space="preserve">(Kronfeld 1993). Therefore, careful attention must be paid in regard to </w:t>
      </w:r>
      <w:r>
        <w:rPr>
          <w:rFonts w:ascii="Times New Roman" w:hAnsi="Times New Roman" w:cs="Times New Roman"/>
          <w:szCs w:val="28"/>
        </w:rPr>
        <w:t>quantity of feed given</w:t>
      </w:r>
      <w:r w:rsidRPr="006B1944">
        <w:rPr>
          <w:rFonts w:ascii="Times New Roman" w:hAnsi="Times New Roman" w:cs="Times New Roman"/>
          <w:szCs w:val="28"/>
        </w:rPr>
        <w:t>, nutritional value</w:t>
      </w:r>
      <w:r>
        <w:rPr>
          <w:rFonts w:ascii="Times New Roman" w:hAnsi="Times New Roman" w:cs="Times New Roman"/>
          <w:szCs w:val="28"/>
        </w:rPr>
        <w:t xml:space="preserve"> of feed</w:t>
      </w:r>
      <w:r w:rsidRPr="006B1944">
        <w:rPr>
          <w:rFonts w:ascii="Times New Roman" w:hAnsi="Times New Roman" w:cs="Times New Roman"/>
          <w:szCs w:val="28"/>
        </w:rPr>
        <w:t xml:space="preserve">, and diet composition when beginning the </w:t>
      </w:r>
      <w:r>
        <w:rPr>
          <w:rFonts w:ascii="Times New Roman" w:hAnsi="Times New Roman" w:cs="Times New Roman"/>
          <w:szCs w:val="28"/>
        </w:rPr>
        <w:t xml:space="preserve">process of </w:t>
      </w:r>
      <w:r w:rsidRPr="006B1944">
        <w:rPr>
          <w:rFonts w:ascii="Times New Roman" w:hAnsi="Times New Roman" w:cs="Times New Roman"/>
          <w:szCs w:val="28"/>
        </w:rPr>
        <w:t>refeeding malnourished equids (Kronfeld 1993).</w:t>
      </w:r>
      <w:r>
        <w:rPr>
          <w:rFonts w:ascii="Times New Roman" w:hAnsi="Times New Roman" w:cs="Times New Roman"/>
          <w:szCs w:val="28"/>
        </w:rPr>
        <w:t xml:space="preserve"> Additionally, a large quantity of these horses are transported in and out of auction horses and sale barns across the country. Therefore, f</w:t>
      </w:r>
      <w:r w:rsidRPr="006B1944">
        <w:rPr>
          <w:rFonts w:ascii="Times New Roman" w:hAnsi="Times New Roman" w:cs="Times New Roman"/>
          <w:szCs w:val="28"/>
        </w:rPr>
        <w:t xml:space="preserve">actors that influence nutritional status including genetics, background, predisposition to disease, and dietary history are often </w:t>
      </w:r>
      <w:r>
        <w:rPr>
          <w:rFonts w:ascii="Times New Roman" w:hAnsi="Times New Roman" w:cs="Times New Roman"/>
          <w:szCs w:val="28"/>
        </w:rPr>
        <w:t>unknown</w:t>
      </w:r>
      <w:r w:rsidRPr="006B1944">
        <w:rPr>
          <w:rFonts w:ascii="Times New Roman" w:hAnsi="Times New Roman" w:cs="Times New Roman"/>
          <w:szCs w:val="28"/>
        </w:rPr>
        <w:t xml:space="preserve"> within the unwanted and starved horse populations. Thus, a consistent evaluation method </w:t>
      </w:r>
      <w:r>
        <w:rPr>
          <w:rFonts w:ascii="Times New Roman" w:hAnsi="Times New Roman" w:cs="Times New Roman"/>
          <w:szCs w:val="28"/>
        </w:rPr>
        <w:t>and</w:t>
      </w:r>
      <w:r w:rsidRPr="006B1944">
        <w:rPr>
          <w:rFonts w:ascii="Times New Roman" w:hAnsi="Times New Roman" w:cs="Times New Roman"/>
          <w:szCs w:val="28"/>
        </w:rPr>
        <w:t xml:space="preserve"> </w:t>
      </w:r>
      <w:r>
        <w:rPr>
          <w:rFonts w:ascii="Times New Roman" w:hAnsi="Times New Roman" w:cs="Times New Roman"/>
          <w:szCs w:val="28"/>
        </w:rPr>
        <w:t>knowledge of metabolic changes</w:t>
      </w:r>
      <w:r w:rsidRPr="006B1944">
        <w:rPr>
          <w:rFonts w:ascii="Times New Roman" w:hAnsi="Times New Roman" w:cs="Times New Roman"/>
          <w:szCs w:val="28"/>
        </w:rPr>
        <w:t xml:space="preserve"> would prove to be </w:t>
      </w:r>
      <w:r>
        <w:rPr>
          <w:rFonts w:ascii="Times New Roman" w:hAnsi="Times New Roman" w:cs="Times New Roman"/>
          <w:szCs w:val="28"/>
        </w:rPr>
        <w:t>crucial in contributing</w:t>
      </w:r>
      <w:r w:rsidRPr="006B1944">
        <w:rPr>
          <w:rFonts w:ascii="Times New Roman" w:hAnsi="Times New Roman" w:cs="Times New Roman"/>
          <w:szCs w:val="28"/>
        </w:rPr>
        <w:t xml:space="preserve"> to the understanding </w:t>
      </w:r>
      <w:r>
        <w:rPr>
          <w:rFonts w:ascii="Times New Roman" w:hAnsi="Times New Roman" w:cs="Times New Roman"/>
          <w:szCs w:val="28"/>
        </w:rPr>
        <w:t xml:space="preserve">of </w:t>
      </w:r>
      <w:r w:rsidRPr="006B1944">
        <w:rPr>
          <w:rFonts w:ascii="Times New Roman" w:hAnsi="Times New Roman" w:cs="Times New Roman"/>
          <w:szCs w:val="28"/>
        </w:rPr>
        <w:t>emaciated phenotypes and</w:t>
      </w:r>
      <w:r>
        <w:rPr>
          <w:rFonts w:ascii="Times New Roman" w:hAnsi="Times New Roman" w:cs="Times New Roman"/>
          <w:szCs w:val="28"/>
        </w:rPr>
        <w:t xml:space="preserve"> establishing</w:t>
      </w:r>
      <w:r w:rsidRPr="006B1944">
        <w:rPr>
          <w:rFonts w:ascii="Times New Roman" w:hAnsi="Times New Roman" w:cs="Times New Roman"/>
          <w:szCs w:val="28"/>
        </w:rPr>
        <w:t xml:space="preserve"> a healthy body weight and condition</w:t>
      </w:r>
      <w:r>
        <w:rPr>
          <w:rFonts w:ascii="Times New Roman" w:hAnsi="Times New Roman" w:cs="Times New Roman"/>
          <w:szCs w:val="28"/>
        </w:rPr>
        <w:t xml:space="preserve"> to those animals</w:t>
      </w:r>
      <w:r w:rsidRPr="006B1944">
        <w:rPr>
          <w:rFonts w:ascii="Times New Roman" w:hAnsi="Times New Roman" w:cs="Times New Roman"/>
          <w:szCs w:val="28"/>
        </w:rPr>
        <w:t xml:space="preserve">. </w:t>
      </w:r>
    </w:p>
    <w:p w14:paraId="2CE32B78" w14:textId="77777777" w:rsidR="00AA7CD5" w:rsidRPr="006B1944" w:rsidRDefault="00AA7CD5" w:rsidP="008A6B75">
      <w:pPr>
        <w:spacing w:line="360" w:lineRule="auto"/>
        <w:rPr>
          <w:rFonts w:ascii="Times New Roman" w:hAnsi="Times New Roman" w:cs="Times New Roman"/>
          <w:szCs w:val="28"/>
        </w:rPr>
      </w:pPr>
    </w:p>
    <w:p w14:paraId="220754F7" w14:textId="77777777" w:rsidR="00AA7CD5" w:rsidRPr="006B1944" w:rsidRDefault="00AA7CD5" w:rsidP="008A6B75">
      <w:pPr>
        <w:pStyle w:val="Heading3"/>
        <w:spacing w:line="360" w:lineRule="auto"/>
      </w:pPr>
      <w:bookmarkStart w:id="4" w:name="_Toc151023661"/>
      <w:r w:rsidRPr="006B1944">
        <w:rPr>
          <w:rFonts w:ascii="Times New Roman" w:hAnsi="Times New Roman" w:cs="Times New Roman"/>
        </w:rPr>
        <w:t>Intro to Metabolomics:</w:t>
      </w:r>
      <w:bookmarkEnd w:id="4"/>
    </w:p>
    <w:p w14:paraId="0E534E51" w14:textId="1FDB92C4" w:rsidR="00AA7CD5" w:rsidRPr="006B1944" w:rsidRDefault="00AA7CD5" w:rsidP="008A6B75">
      <w:pPr>
        <w:spacing w:line="360" w:lineRule="auto"/>
        <w:rPr>
          <w:rFonts w:ascii="Times New Roman" w:hAnsi="Times New Roman" w:cs="Times New Roman"/>
          <w:szCs w:val="28"/>
        </w:rPr>
      </w:pPr>
      <w:r>
        <w:rPr>
          <w:rFonts w:ascii="Times New Roman" w:hAnsi="Times New Roman" w:cs="Times New Roman"/>
          <w:szCs w:val="28"/>
        </w:rPr>
        <w:t xml:space="preserve">Metabolomics provides a more concrete method to determining and evaluating biological systems within the body. Metabolomics is </w:t>
      </w:r>
      <w:r w:rsidRPr="006B1944">
        <w:rPr>
          <w:rFonts w:ascii="Times New Roman" w:hAnsi="Times New Roman" w:cs="Times New Roman"/>
          <w:szCs w:val="28"/>
        </w:rPr>
        <w:t xml:space="preserve">the global measurement of the combination and abundance of small molecule metabolites that makeup an organism’s metabolome. The metabolome </w:t>
      </w:r>
      <w:r>
        <w:rPr>
          <w:rFonts w:ascii="Times New Roman" w:hAnsi="Times New Roman" w:cs="Times New Roman"/>
          <w:szCs w:val="28"/>
        </w:rPr>
        <w:t>comprised</w:t>
      </w:r>
      <w:r w:rsidRPr="006B1944">
        <w:rPr>
          <w:rFonts w:ascii="Times New Roman" w:hAnsi="Times New Roman" w:cs="Times New Roman"/>
          <w:szCs w:val="28"/>
        </w:rPr>
        <w:t xml:space="preserve"> of numerous small molecules that are </w:t>
      </w:r>
      <w:r>
        <w:rPr>
          <w:rFonts w:ascii="Times New Roman" w:hAnsi="Times New Roman" w:cs="Times New Roman"/>
          <w:szCs w:val="28"/>
        </w:rPr>
        <w:t>created by</w:t>
      </w:r>
      <w:r w:rsidRPr="006B1944">
        <w:rPr>
          <w:rFonts w:ascii="Times New Roman" w:hAnsi="Times New Roman" w:cs="Times New Roman"/>
          <w:szCs w:val="28"/>
        </w:rPr>
        <w:t xml:space="preserve"> or utilized </w:t>
      </w:r>
      <w:r>
        <w:rPr>
          <w:rFonts w:ascii="Times New Roman" w:hAnsi="Times New Roman" w:cs="Times New Roman"/>
          <w:szCs w:val="28"/>
        </w:rPr>
        <w:t>within</w:t>
      </w:r>
      <w:r w:rsidRPr="006B1944">
        <w:rPr>
          <w:rFonts w:ascii="Times New Roman" w:hAnsi="Times New Roman" w:cs="Times New Roman"/>
          <w:szCs w:val="28"/>
        </w:rPr>
        <w:t xml:space="preserve"> known existing metabolic pathways. Metabolomics provides </w:t>
      </w:r>
      <w:r>
        <w:rPr>
          <w:rFonts w:ascii="Times New Roman" w:hAnsi="Times New Roman" w:cs="Times New Roman"/>
          <w:szCs w:val="28"/>
        </w:rPr>
        <w:t>a snapshot</w:t>
      </w:r>
      <w:r w:rsidRPr="006B1944">
        <w:rPr>
          <w:rFonts w:ascii="Times New Roman" w:hAnsi="Times New Roman" w:cs="Times New Roman"/>
          <w:szCs w:val="28"/>
        </w:rPr>
        <w:t xml:space="preserve"> </w:t>
      </w:r>
      <w:r>
        <w:rPr>
          <w:rFonts w:ascii="Times New Roman" w:hAnsi="Times New Roman" w:cs="Times New Roman"/>
          <w:szCs w:val="28"/>
        </w:rPr>
        <w:t>of</w:t>
      </w:r>
      <w:r w:rsidRPr="006B1944">
        <w:rPr>
          <w:rFonts w:ascii="Times New Roman" w:hAnsi="Times New Roman" w:cs="Times New Roman"/>
          <w:szCs w:val="28"/>
        </w:rPr>
        <w:t xml:space="preserve"> an organism's physiological </w:t>
      </w:r>
      <w:r>
        <w:rPr>
          <w:rFonts w:ascii="Times New Roman" w:hAnsi="Times New Roman" w:cs="Times New Roman"/>
          <w:szCs w:val="28"/>
        </w:rPr>
        <w:t>and provides a more</w:t>
      </w:r>
      <w:r w:rsidRPr="006B1944">
        <w:rPr>
          <w:rFonts w:ascii="Times New Roman" w:hAnsi="Times New Roman" w:cs="Times New Roman"/>
          <w:szCs w:val="28"/>
        </w:rPr>
        <w:t xml:space="preserve"> quantitative, global measurement to supplement qualitative approaches</w:t>
      </w:r>
      <w:r>
        <w:rPr>
          <w:rFonts w:ascii="Times New Roman" w:hAnsi="Times New Roman" w:cs="Times New Roman"/>
          <w:szCs w:val="28"/>
        </w:rPr>
        <w:t xml:space="preserve"> like the Henneke Body Condition Scoring system</w:t>
      </w:r>
      <w:r w:rsidRPr="006B1944">
        <w:rPr>
          <w:rFonts w:ascii="Times New Roman" w:hAnsi="Times New Roman" w:cs="Times New Roman"/>
          <w:szCs w:val="28"/>
        </w:rPr>
        <w:t xml:space="preserve"> (Henneke et al. 1983; Dettmer, </w:t>
      </w:r>
      <w:r w:rsidRPr="006B1944">
        <w:rPr>
          <w:rFonts w:ascii="Times New Roman" w:hAnsi="Times New Roman" w:cs="Times New Roman"/>
          <w:szCs w:val="28"/>
        </w:rPr>
        <w:lastRenderedPageBreak/>
        <w:t xml:space="preserve">Aronov, and Hammock 2007). </w:t>
      </w:r>
      <w:r>
        <w:rPr>
          <w:rFonts w:ascii="Times New Roman" w:hAnsi="Times New Roman" w:cs="Times New Roman"/>
          <w:szCs w:val="28"/>
        </w:rPr>
        <w:t>By analyzing</w:t>
      </w:r>
      <w:r w:rsidRPr="006B1944">
        <w:rPr>
          <w:rFonts w:ascii="Times New Roman" w:hAnsi="Times New Roman" w:cs="Times New Roman"/>
          <w:szCs w:val="28"/>
        </w:rPr>
        <w:t xml:space="preserve"> the </w:t>
      </w:r>
      <w:r>
        <w:rPr>
          <w:rFonts w:ascii="Times New Roman" w:hAnsi="Times New Roman" w:cs="Times New Roman"/>
          <w:szCs w:val="28"/>
        </w:rPr>
        <w:t>metabolome</w:t>
      </w:r>
      <w:r w:rsidRPr="006B1944">
        <w:rPr>
          <w:rFonts w:ascii="Times New Roman" w:hAnsi="Times New Roman" w:cs="Times New Roman"/>
          <w:szCs w:val="28"/>
        </w:rPr>
        <w:t xml:space="preserve"> of emaciated </w:t>
      </w:r>
      <w:r>
        <w:rPr>
          <w:rFonts w:ascii="Times New Roman" w:hAnsi="Times New Roman" w:cs="Times New Roman"/>
          <w:szCs w:val="28"/>
        </w:rPr>
        <w:t xml:space="preserve">horses, we have </w:t>
      </w:r>
      <w:r w:rsidRPr="006B1944">
        <w:rPr>
          <w:rFonts w:ascii="Times New Roman" w:hAnsi="Times New Roman" w:cs="Times New Roman"/>
          <w:szCs w:val="28"/>
        </w:rPr>
        <w:t xml:space="preserve">the potential </w:t>
      </w:r>
      <w:r>
        <w:rPr>
          <w:rFonts w:ascii="Times New Roman" w:hAnsi="Times New Roman" w:cs="Times New Roman"/>
          <w:szCs w:val="28"/>
        </w:rPr>
        <w:t>to gather valuable</w:t>
      </w:r>
      <w:r w:rsidRPr="006B1944">
        <w:rPr>
          <w:rFonts w:ascii="Times New Roman" w:hAnsi="Times New Roman" w:cs="Times New Roman"/>
          <w:szCs w:val="28"/>
        </w:rPr>
        <w:t xml:space="preserve"> information </w:t>
      </w:r>
      <w:r>
        <w:rPr>
          <w:rFonts w:ascii="Times New Roman" w:hAnsi="Times New Roman" w:cs="Times New Roman"/>
          <w:szCs w:val="28"/>
        </w:rPr>
        <w:t>regarding</w:t>
      </w:r>
      <w:r w:rsidRPr="006B1944">
        <w:rPr>
          <w:rFonts w:ascii="Times New Roman" w:hAnsi="Times New Roman" w:cs="Times New Roman"/>
          <w:szCs w:val="28"/>
        </w:rPr>
        <w:t xml:space="preserve"> which metabolic pathways are affected during a state of </w:t>
      </w:r>
      <w:r>
        <w:rPr>
          <w:rFonts w:ascii="Times New Roman" w:hAnsi="Times New Roman" w:cs="Times New Roman"/>
          <w:szCs w:val="28"/>
        </w:rPr>
        <w:t xml:space="preserve">emaciation </w:t>
      </w:r>
      <w:r w:rsidRPr="006B1944">
        <w:rPr>
          <w:rFonts w:ascii="Times New Roman" w:hAnsi="Times New Roman" w:cs="Times New Roman"/>
          <w:szCs w:val="28"/>
        </w:rPr>
        <w:t xml:space="preserve">and how these pathways are altered </w:t>
      </w:r>
      <w:r>
        <w:rPr>
          <w:rFonts w:ascii="Times New Roman" w:hAnsi="Times New Roman" w:cs="Times New Roman"/>
          <w:szCs w:val="28"/>
        </w:rPr>
        <w:t>as body condition scores change during the refeeding process</w:t>
      </w:r>
      <w:r w:rsidRPr="006B1944">
        <w:rPr>
          <w:rFonts w:ascii="Times New Roman" w:hAnsi="Times New Roman" w:cs="Times New Roman"/>
          <w:szCs w:val="28"/>
        </w:rPr>
        <w:t>. (Jiang et al. 2016).</w:t>
      </w:r>
    </w:p>
    <w:p w14:paraId="2CF030F3" w14:textId="77777777" w:rsidR="00AA7CD5" w:rsidRPr="006B1944" w:rsidRDefault="00AA7CD5" w:rsidP="008A6B75">
      <w:pPr>
        <w:spacing w:line="360" w:lineRule="auto"/>
        <w:rPr>
          <w:rFonts w:ascii="Times New Roman" w:hAnsi="Times New Roman" w:cs="Times New Roman"/>
          <w:szCs w:val="28"/>
        </w:rPr>
      </w:pPr>
    </w:p>
    <w:p w14:paraId="1592A49C" w14:textId="77777777" w:rsidR="00AA7CD5" w:rsidRPr="006B1944" w:rsidRDefault="00AA7CD5" w:rsidP="008A6B75">
      <w:pPr>
        <w:pStyle w:val="Heading3"/>
        <w:spacing w:line="360" w:lineRule="auto"/>
      </w:pPr>
      <w:bookmarkStart w:id="5" w:name="_Toc151023662"/>
      <w:r>
        <w:rPr>
          <w:rFonts w:ascii="Times New Roman" w:hAnsi="Times New Roman" w:cs="Times New Roman"/>
        </w:rPr>
        <w:t>Previous Finding in the Equine Metabolome</w:t>
      </w:r>
      <w:r w:rsidRPr="006B1944">
        <w:rPr>
          <w:rFonts w:ascii="Times New Roman" w:hAnsi="Times New Roman" w:cs="Times New Roman"/>
        </w:rPr>
        <w:t>:</w:t>
      </w:r>
      <w:bookmarkEnd w:id="5"/>
    </w:p>
    <w:p w14:paraId="35C1AF57" w14:textId="6D570C26" w:rsidR="00AA7CD5" w:rsidRDefault="00AA7CD5" w:rsidP="008A6B75">
      <w:pPr>
        <w:spacing w:line="360" w:lineRule="auto"/>
        <w:rPr>
          <w:rFonts w:ascii="Times New Roman" w:hAnsi="Times New Roman" w:cs="Times New Roman"/>
          <w:szCs w:val="28"/>
        </w:rPr>
      </w:pPr>
      <w:r>
        <w:rPr>
          <w:rFonts w:ascii="Times New Roman" w:hAnsi="Times New Roman" w:cs="Times New Roman"/>
          <w:szCs w:val="28"/>
        </w:rPr>
        <w:t>The vast majority of studies investigating the</w:t>
      </w:r>
      <w:r w:rsidRPr="006B1944">
        <w:rPr>
          <w:rFonts w:ascii="Times New Roman" w:hAnsi="Times New Roman" w:cs="Times New Roman"/>
          <w:szCs w:val="28"/>
        </w:rPr>
        <w:t xml:space="preserve"> equine metabolome are </w:t>
      </w:r>
      <w:r>
        <w:rPr>
          <w:rFonts w:ascii="Times New Roman" w:hAnsi="Times New Roman" w:cs="Times New Roman"/>
          <w:szCs w:val="28"/>
        </w:rPr>
        <w:t>directed</w:t>
      </w:r>
      <w:r w:rsidRPr="006B1944">
        <w:rPr>
          <w:rFonts w:ascii="Times New Roman" w:hAnsi="Times New Roman" w:cs="Times New Roman"/>
          <w:szCs w:val="28"/>
        </w:rPr>
        <w:t xml:space="preserve"> toward healthy thoroughbreds, pregnant mares, exercise physiology, and doping (Beachler et al. 2021; Escalona et al. 2015; Keen et al. 2022; Klein, Anthony, and McKeever 2021). One recent</w:t>
      </w:r>
      <w:r>
        <w:rPr>
          <w:rFonts w:ascii="Times New Roman" w:hAnsi="Times New Roman" w:cs="Times New Roman"/>
          <w:szCs w:val="28"/>
        </w:rPr>
        <w:t>ly</w:t>
      </w:r>
      <w:r w:rsidRPr="006B1944">
        <w:rPr>
          <w:rFonts w:ascii="Times New Roman" w:hAnsi="Times New Roman" w:cs="Times New Roman"/>
          <w:szCs w:val="28"/>
        </w:rPr>
        <w:t xml:space="preserve"> </w:t>
      </w:r>
      <w:r>
        <w:rPr>
          <w:rFonts w:ascii="Times New Roman" w:hAnsi="Times New Roman" w:cs="Times New Roman"/>
          <w:szCs w:val="28"/>
        </w:rPr>
        <w:t>observed changes</w:t>
      </w:r>
      <w:r w:rsidRPr="006B1944">
        <w:rPr>
          <w:rFonts w:ascii="Times New Roman" w:hAnsi="Times New Roman" w:cs="Times New Roman"/>
          <w:szCs w:val="28"/>
        </w:rPr>
        <w:t xml:space="preserve"> in </w:t>
      </w:r>
      <w:r>
        <w:rPr>
          <w:rFonts w:ascii="Times New Roman" w:hAnsi="Times New Roman" w:cs="Times New Roman"/>
          <w:szCs w:val="28"/>
        </w:rPr>
        <w:t xml:space="preserve">the </w:t>
      </w:r>
      <w:r w:rsidRPr="006B1944">
        <w:rPr>
          <w:rFonts w:ascii="Times New Roman" w:hAnsi="Times New Roman" w:cs="Times New Roman"/>
          <w:szCs w:val="28"/>
        </w:rPr>
        <w:t xml:space="preserve">plasma metabolic composition in healthy pregnant mares when compared to </w:t>
      </w:r>
      <w:r>
        <w:rPr>
          <w:rFonts w:ascii="Times New Roman" w:hAnsi="Times New Roman" w:cs="Times New Roman"/>
          <w:szCs w:val="28"/>
        </w:rPr>
        <w:t>mares</w:t>
      </w:r>
      <w:r w:rsidRPr="006B1944">
        <w:rPr>
          <w:rFonts w:ascii="Times New Roman" w:hAnsi="Times New Roman" w:cs="Times New Roman"/>
          <w:szCs w:val="28"/>
        </w:rPr>
        <w:t xml:space="preserve"> induced with ascending </w:t>
      </w:r>
      <w:proofErr w:type="spellStart"/>
      <w:r w:rsidRPr="006B1944">
        <w:rPr>
          <w:rFonts w:ascii="Times New Roman" w:hAnsi="Times New Roman" w:cs="Times New Roman"/>
          <w:szCs w:val="28"/>
        </w:rPr>
        <w:t>placentitis</w:t>
      </w:r>
      <w:proofErr w:type="spellEnd"/>
      <w:r w:rsidRPr="006B1944">
        <w:rPr>
          <w:rFonts w:ascii="Times New Roman" w:hAnsi="Times New Roman" w:cs="Times New Roman"/>
          <w:szCs w:val="28"/>
        </w:rPr>
        <w:t xml:space="preserve"> (Beachler et al. 2021). It was found that there were 2 phases of significant changes in metabolites between inoculated and control mares (Beachler et al. 2021). A separate study sought to evaluate the metabolome of various body fluids in healthy thoroughbred racehorses to determine predominant metabolites to use as a baseline for future in regard to the equine metabol</w:t>
      </w:r>
      <w:r>
        <w:rPr>
          <w:rFonts w:ascii="Times New Roman" w:hAnsi="Times New Roman" w:cs="Times New Roman"/>
          <w:szCs w:val="28"/>
        </w:rPr>
        <w:t>i</w:t>
      </w:r>
      <w:r w:rsidRPr="006B1944">
        <w:rPr>
          <w:rFonts w:ascii="Times New Roman" w:hAnsi="Times New Roman" w:cs="Times New Roman"/>
          <w:szCs w:val="28"/>
        </w:rPr>
        <w:t xml:space="preserve">c profile (Escalona et al. 2015). </w:t>
      </w:r>
    </w:p>
    <w:p w14:paraId="62707F0F" w14:textId="77777777" w:rsidR="00AA7CD5" w:rsidRDefault="00AA7CD5" w:rsidP="008A6B75">
      <w:pPr>
        <w:spacing w:line="360" w:lineRule="auto"/>
        <w:rPr>
          <w:rFonts w:ascii="Times New Roman" w:hAnsi="Times New Roman" w:cs="Times New Roman"/>
          <w:szCs w:val="28"/>
        </w:rPr>
      </w:pPr>
    </w:p>
    <w:p w14:paraId="10C75637" w14:textId="77777777" w:rsidR="00AA7CD5" w:rsidRDefault="00AA7CD5" w:rsidP="008A6B75">
      <w:pPr>
        <w:pStyle w:val="Heading3"/>
        <w:spacing w:line="360" w:lineRule="auto"/>
      </w:pPr>
      <w:bookmarkStart w:id="6" w:name="_Toc151023663"/>
      <w:r>
        <w:rPr>
          <w:rFonts w:ascii="Times New Roman" w:hAnsi="Times New Roman" w:cs="Times New Roman"/>
        </w:rPr>
        <w:t>Previous Research in Malnutrition Metabolomics</w:t>
      </w:r>
      <w:r w:rsidRPr="006B1944">
        <w:rPr>
          <w:rFonts w:ascii="Times New Roman" w:hAnsi="Times New Roman" w:cs="Times New Roman"/>
        </w:rPr>
        <w:t>:</w:t>
      </w:r>
      <w:bookmarkEnd w:id="6"/>
    </w:p>
    <w:p w14:paraId="4A4347CF" w14:textId="77777777" w:rsidR="00AA7CD5" w:rsidRPr="006B1944" w:rsidRDefault="00AA7CD5" w:rsidP="008A6B75">
      <w:pPr>
        <w:spacing w:line="360" w:lineRule="auto"/>
        <w:rPr>
          <w:rFonts w:ascii="Times New Roman" w:hAnsi="Times New Roman" w:cs="Times New Roman"/>
          <w:szCs w:val="28"/>
        </w:rPr>
      </w:pPr>
      <w:r w:rsidRPr="006B1944">
        <w:rPr>
          <w:rFonts w:ascii="Times New Roman" w:hAnsi="Times New Roman" w:cs="Times New Roman"/>
          <w:szCs w:val="28"/>
        </w:rPr>
        <w:t>Other published articles have been geared toward identi</w:t>
      </w:r>
      <w:r>
        <w:rPr>
          <w:rFonts w:ascii="Times New Roman" w:hAnsi="Times New Roman" w:cs="Times New Roman"/>
          <w:szCs w:val="28"/>
        </w:rPr>
        <w:t>fying c</w:t>
      </w:r>
      <w:r w:rsidRPr="006B1944">
        <w:rPr>
          <w:rFonts w:ascii="Times New Roman" w:hAnsi="Times New Roman" w:cs="Times New Roman"/>
          <w:szCs w:val="28"/>
        </w:rPr>
        <w:t>ommon practices in metabolomics and additional gaps withing the literature in regard to equine metabolomics in exercise and doping, indicating a significant lack of research on the equine metabolic profile and factors that affect metabolic pathways (Keen et al. 2022; Klein, Anthony, and McKeever 2021).</w:t>
      </w:r>
    </w:p>
    <w:p w14:paraId="1226A326" w14:textId="77777777" w:rsidR="00AA7CD5" w:rsidRDefault="00AA7CD5" w:rsidP="008A6B75">
      <w:pPr>
        <w:spacing w:line="360" w:lineRule="auto"/>
        <w:rPr>
          <w:rFonts w:ascii="Times New Roman" w:hAnsi="Times New Roman" w:cs="Times New Roman"/>
          <w:szCs w:val="28"/>
        </w:rPr>
      </w:pPr>
      <w:r w:rsidRPr="006B1944">
        <w:rPr>
          <w:rFonts w:ascii="Times New Roman" w:hAnsi="Times New Roman" w:cs="Times New Roman"/>
          <w:szCs w:val="28"/>
        </w:rPr>
        <w:t>Research pertaining to the equine metabolome in regard to nutritional status, body condition score, and refeeding is virtually nonexistent. However, metabolomics research related to emaciation in other species is more common and can provide a foundation of knowledge when conducting future research on the equine metabolic profile. For</w:t>
      </w:r>
      <w:r>
        <w:rPr>
          <w:rFonts w:ascii="Times New Roman" w:hAnsi="Times New Roman" w:cs="Times New Roman"/>
          <w:szCs w:val="28"/>
        </w:rPr>
        <w:t xml:space="preserve"> </w:t>
      </w:r>
      <w:r w:rsidRPr="006B1944">
        <w:rPr>
          <w:rFonts w:ascii="Times New Roman" w:hAnsi="Times New Roman" w:cs="Times New Roman"/>
          <w:szCs w:val="28"/>
        </w:rPr>
        <w:t>e</w:t>
      </w:r>
      <w:r>
        <w:rPr>
          <w:rFonts w:ascii="Times New Roman" w:hAnsi="Times New Roman" w:cs="Times New Roman"/>
          <w:szCs w:val="28"/>
        </w:rPr>
        <w:t>xample, i</w:t>
      </w:r>
      <w:r w:rsidRPr="006B1944">
        <w:rPr>
          <w:rFonts w:ascii="Times New Roman" w:hAnsi="Times New Roman" w:cs="Times New Roman"/>
          <w:szCs w:val="28"/>
        </w:rPr>
        <w:t xml:space="preserve">t was observed that the </w:t>
      </w:r>
      <w:r>
        <w:rPr>
          <w:rFonts w:ascii="Times New Roman" w:hAnsi="Times New Roman" w:cs="Times New Roman"/>
          <w:szCs w:val="28"/>
        </w:rPr>
        <w:t>metabolic profile of pigs</w:t>
      </w:r>
      <w:r w:rsidRPr="006B1944">
        <w:rPr>
          <w:rFonts w:ascii="Times New Roman" w:hAnsi="Times New Roman" w:cs="Times New Roman"/>
          <w:szCs w:val="28"/>
        </w:rPr>
        <w:t xml:space="preserve"> </w:t>
      </w:r>
      <w:r>
        <w:rPr>
          <w:rFonts w:ascii="Times New Roman" w:hAnsi="Times New Roman" w:cs="Times New Roman"/>
          <w:szCs w:val="28"/>
        </w:rPr>
        <w:t>undergoes</w:t>
      </w:r>
      <w:r w:rsidRPr="006B1944">
        <w:rPr>
          <w:rFonts w:ascii="Times New Roman" w:hAnsi="Times New Roman" w:cs="Times New Roman"/>
          <w:szCs w:val="28"/>
        </w:rPr>
        <w:t xml:space="preserve"> significant changes </w:t>
      </w:r>
      <w:r>
        <w:rPr>
          <w:rFonts w:ascii="Times New Roman" w:hAnsi="Times New Roman" w:cs="Times New Roman"/>
          <w:szCs w:val="28"/>
        </w:rPr>
        <w:t>during a status of</w:t>
      </w:r>
      <w:r w:rsidRPr="006B1944">
        <w:rPr>
          <w:rFonts w:ascii="Times New Roman" w:hAnsi="Times New Roman" w:cs="Times New Roman"/>
          <w:szCs w:val="28"/>
        </w:rPr>
        <w:t xml:space="preserve"> maln</w:t>
      </w:r>
      <w:r>
        <w:rPr>
          <w:rFonts w:ascii="Times New Roman" w:hAnsi="Times New Roman" w:cs="Times New Roman"/>
          <w:szCs w:val="28"/>
        </w:rPr>
        <w:t>utrition</w:t>
      </w:r>
      <w:r w:rsidRPr="006B1944">
        <w:rPr>
          <w:rFonts w:ascii="Times New Roman" w:hAnsi="Times New Roman" w:cs="Times New Roman"/>
          <w:szCs w:val="28"/>
        </w:rPr>
        <w:t xml:space="preserve"> (Jiang et al. 2016). Additionally, it was found that evaluating the metabolome of emaciated children can aid in the prediction of mortality rates (</w:t>
      </w:r>
      <w:proofErr w:type="spellStart"/>
      <w:r w:rsidRPr="006B1944">
        <w:rPr>
          <w:rFonts w:ascii="Times New Roman" w:hAnsi="Times New Roman" w:cs="Times New Roman"/>
          <w:szCs w:val="28"/>
        </w:rPr>
        <w:t>Freemark</w:t>
      </w:r>
      <w:proofErr w:type="spellEnd"/>
      <w:r w:rsidRPr="006B1944">
        <w:rPr>
          <w:rFonts w:ascii="Times New Roman" w:hAnsi="Times New Roman" w:cs="Times New Roman"/>
          <w:szCs w:val="28"/>
        </w:rPr>
        <w:t xml:space="preserve"> 2015). It was also found that metabolomic</w:t>
      </w:r>
      <w:r>
        <w:rPr>
          <w:rFonts w:ascii="Times New Roman" w:hAnsi="Times New Roman" w:cs="Times New Roman"/>
          <w:szCs w:val="28"/>
        </w:rPr>
        <w:t xml:space="preserve"> </w:t>
      </w:r>
      <w:r>
        <w:rPr>
          <w:rFonts w:ascii="Times New Roman" w:hAnsi="Times New Roman" w:cs="Times New Roman"/>
          <w:szCs w:val="28"/>
        </w:rPr>
        <w:lastRenderedPageBreak/>
        <w:t xml:space="preserve">analysis </w:t>
      </w:r>
      <w:r w:rsidRPr="006B1944">
        <w:rPr>
          <w:rFonts w:ascii="Times New Roman" w:hAnsi="Times New Roman" w:cs="Times New Roman"/>
          <w:szCs w:val="28"/>
        </w:rPr>
        <w:t xml:space="preserve">can be used as an effective tool for identifying populations at risk for cancer cachexia (Yang et al. 2018). Despite the </w:t>
      </w:r>
      <w:r>
        <w:rPr>
          <w:rFonts w:ascii="Times New Roman" w:hAnsi="Times New Roman" w:cs="Times New Roman"/>
          <w:szCs w:val="28"/>
        </w:rPr>
        <w:t>large variety of research and information within the field of metabolomics</w:t>
      </w:r>
      <w:r w:rsidRPr="006B1944">
        <w:rPr>
          <w:rFonts w:ascii="Times New Roman" w:hAnsi="Times New Roman" w:cs="Times New Roman"/>
          <w:szCs w:val="28"/>
        </w:rPr>
        <w:t xml:space="preserve">, none are </w:t>
      </w:r>
      <w:r>
        <w:rPr>
          <w:rFonts w:ascii="Times New Roman" w:hAnsi="Times New Roman" w:cs="Times New Roman"/>
          <w:szCs w:val="28"/>
        </w:rPr>
        <w:t>centered around emaciated horses or the changes in their metabolic profile during the refeeding process.</w:t>
      </w:r>
      <w:r w:rsidRPr="006B1944">
        <w:rPr>
          <w:rFonts w:ascii="Times New Roman" w:hAnsi="Times New Roman" w:cs="Times New Roman"/>
          <w:szCs w:val="28"/>
        </w:rPr>
        <w:t xml:space="preserve"> Research </w:t>
      </w:r>
      <w:r>
        <w:rPr>
          <w:rFonts w:ascii="Times New Roman" w:hAnsi="Times New Roman" w:cs="Times New Roman"/>
          <w:szCs w:val="28"/>
        </w:rPr>
        <w:t>regarding</w:t>
      </w:r>
      <w:r w:rsidRPr="006B1944">
        <w:rPr>
          <w:rFonts w:ascii="Times New Roman" w:hAnsi="Times New Roman" w:cs="Times New Roman"/>
          <w:szCs w:val="28"/>
        </w:rPr>
        <w:t xml:space="preserve"> the equine metabolome throughout stages of malnutrition and the refeeding process could provide insight into specific nutritional requirements and allow owners to make dietary adjustments accordingly.</w:t>
      </w:r>
    </w:p>
    <w:p w14:paraId="6F4D9F33" w14:textId="77777777" w:rsidR="00AA7CD5" w:rsidRDefault="00AA7CD5" w:rsidP="008A6B75">
      <w:pPr>
        <w:spacing w:line="360" w:lineRule="auto"/>
        <w:jc w:val="center"/>
        <w:rPr>
          <w:rFonts w:ascii="Times New Roman" w:hAnsi="Times New Roman" w:cs="Times New Roman"/>
          <w:b/>
          <w:bCs/>
          <w:caps/>
          <w:sz w:val="28"/>
          <w:szCs w:val="28"/>
        </w:rPr>
      </w:pPr>
    </w:p>
    <w:p w14:paraId="0FE162CA" w14:textId="77777777" w:rsidR="00AA7CD5" w:rsidRDefault="00AA7CD5" w:rsidP="008A6B75">
      <w:pPr>
        <w:spacing w:line="360" w:lineRule="auto"/>
        <w:rPr>
          <w:rFonts w:ascii="Times New Roman" w:hAnsi="Times New Roman" w:cs="Times New Roman"/>
          <w:szCs w:val="28"/>
        </w:rPr>
      </w:pPr>
    </w:p>
    <w:p w14:paraId="54978B37" w14:textId="77777777" w:rsidR="00AA7CD5" w:rsidRDefault="00AA7CD5" w:rsidP="008A6B75">
      <w:pPr>
        <w:spacing w:line="360" w:lineRule="auto"/>
        <w:rPr>
          <w:rFonts w:ascii="Times New Roman" w:hAnsi="Times New Roman" w:cs="Times New Roman"/>
          <w:szCs w:val="28"/>
        </w:rPr>
      </w:pPr>
      <w:r>
        <w:rPr>
          <w:rFonts w:ascii="Times New Roman" w:hAnsi="Times New Roman" w:cs="Times New Roman"/>
          <w:szCs w:val="28"/>
        </w:rPr>
        <w:br w:type="page"/>
      </w:r>
    </w:p>
    <w:p w14:paraId="54C4A0C9" w14:textId="0162204B" w:rsidR="00AA7CD5" w:rsidRPr="00061496" w:rsidRDefault="00AA7CD5" w:rsidP="00061496">
      <w:pPr>
        <w:pStyle w:val="Heading1"/>
        <w:rPr>
          <w:rFonts w:ascii="Times New Roman" w:hAnsi="Times New Roman" w:cs="Times New Roman"/>
        </w:rPr>
      </w:pPr>
      <w:bookmarkStart w:id="7" w:name="_Toc151023664"/>
      <w:r w:rsidRPr="00061496">
        <w:rPr>
          <w:rFonts w:ascii="Times New Roman" w:hAnsi="Times New Roman" w:cs="Times New Roman"/>
        </w:rPr>
        <w:lastRenderedPageBreak/>
        <w:t>CHAPTER II</w:t>
      </w:r>
      <w:r w:rsidRPr="00061496">
        <w:rPr>
          <w:rFonts w:ascii="Times New Roman" w:hAnsi="Times New Roman" w:cs="Times New Roman"/>
        </w:rPr>
        <w:br/>
        <w:t>Metabolomic profiles in starved light breed horses during the refeeding process</w:t>
      </w:r>
      <w:bookmarkEnd w:id="7"/>
      <w:r w:rsidRPr="00061496">
        <w:rPr>
          <w:rFonts w:ascii="Times New Roman" w:hAnsi="Times New Roman" w:cs="Times New Roman"/>
        </w:rPr>
        <w:t xml:space="preserve"> </w:t>
      </w:r>
    </w:p>
    <w:p w14:paraId="72CB0536" w14:textId="62FC152D" w:rsidR="00AA7CD5" w:rsidRPr="004F2CE2" w:rsidRDefault="00AA7CD5" w:rsidP="004F2CE2">
      <w:pPr>
        <w:spacing w:line="360" w:lineRule="auto"/>
        <w:rPr>
          <w:rFonts w:ascii="Times New Roman" w:hAnsi="Times New Roman" w:cs="Times New Roman"/>
          <w:b/>
          <w:bCs/>
          <w:caps/>
          <w:sz w:val="28"/>
        </w:rPr>
      </w:pPr>
      <w:r>
        <w:rPr>
          <w:rFonts w:ascii="Times New Roman" w:hAnsi="Times New Roman" w:cs="Times New Roman"/>
        </w:rPr>
        <w:br w:type="page"/>
      </w:r>
    </w:p>
    <w:p w14:paraId="7193E8AB" w14:textId="77777777" w:rsidR="00AA7CD5" w:rsidRPr="00DF7C87" w:rsidRDefault="00AA7CD5" w:rsidP="008A6B75">
      <w:pPr>
        <w:pStyle w:val="Heading2"/>
        <w:spacing w:line="360" w:lineRule="auto"/>
        <w:rPr>
          <w:rFonts w:ascii="Times New Roman" w:hAnsi="Times New Roman" w:cs="Times New Roman"/>
          <w:sz w:val="24"/>
          <w:szCs w:val="24"/>
        </w:rPr>
      </w:pPr>
      <w:bookmarkStart w:id="8" w:name="_Toc151023665"/>
      <w:r w:rsidRPr="00DF7C87">
        <w:rPr>
          <w:rFonts w:ascii="Times New Roman" w:hAnsi="Times New Roman" w:cs="Times New Roman"/>
          <w:sz w:val="24"/>
          <w:szCs w:val="24"/>
        </w:rPr>
        <w:lastRenderedPageBreak/>
        <w:t>Abstract</w:t>
      </w:r>
      <w:bookmarkEnd w:id="8"/>
    </w:p>
    <w:p w14:paraId="5251D24B" w14:textId="77777777" w:rsidR="00AA7CD5" w:rsidRPr="00837D9A" w:rsidRDefault="00AA7CD5" w:rsidP="008A6B75">
      <w:pPr>
        <w:spacing w:line="360" w:lineRule="auto"/>
        <w:rPr>
          <w:rFonts w:ascii="Times New Roman" w:hAnsi="Times New Roman" w:cs="Times New Roman"/>
        </w:rPr>
      </w:pPr>
      <w:r w:rsidRPr="00837D9A">
        <w:rPr>
          <w:rFonts w:ascii="Times New Roman" w:hAnsi="Times New Roman" w:cs="Times New Roman"/>
          <w:color w:val="000000"/>
        </w:rPr>
        <w:t>The large population of emaciated horses continues to be an issue troubling the equine industry. However, little is known regarding the collection of equine metabolites (metabolome) during a malnourished state and the changes that occur throughout nutritional rehabilitation. In this study, ten emaciated horses underwent a refeeding process, during which blood samples were collected for a blood chemistry panel and metabolomics analysis via ultrahigh performance liquid chromatography–high resolution mass spectrometry (UHPLC-HRMS). Significant differences among blood chemistry analytes and metabolite abundance during the critical care period (CCP; Days 1–10 of rehabilitation) and the recovery period (RP; the remainder of the rehabilitation process) were observed. Potentially toxic compounds, analytes related to liver, kidney, and muscle function, as well as energy-related metabolites were altered during the refeeding process. The combination of blood chemistry and metabolomics analyses on starved equine during rehabilitation provide vital biological insight and evidence that the refeeding process has a significant impact on the equine metabolome.</w:t>
      </w:r>
    </w:p>
    <w:p w14:paraId="27FD6FEC" w14:textId="77777777" w:rsidR="00AA7CD5" w:rsidRPr="00DF7C87" w:rsidRDefault="00AA7CD5" w:rsidP="008A6B75">
      <w:pPr>
        <w:spacing w:line="360" w:lineRule="auto"/>
        <w:rPr>
          <w:rFonts w:ascii="Times New Roman" w:hAnsi="Times New Roman" w:cs="Times New Roman"/>
        </w:rPr>
      </w:pPr>
    </w:p>
    <w:p w14:paraId="40BB810F" w14:textId="77777777" w:rsidR="00AA7CD5" w:rsidRPr="00DF7C87" w:rsidRDefault="00AA7CD5" w:rsidP="008A6B75">
      <w:pPr>
        <w:pStyle w:val="Heading2"/>
        <w:spacing w:line="360" w:lineRule="auto"/>
        <w:rPr>
          <w:rFonts w:ascii="Times New Roman" w:hAnsi="Times New Roman" w:cs="Times New Roman"/>
          <w:sz w:val="24"/>
          <w:szCs w:val="24"/>
        </w:rPr>
      </w:pPr>
      <w:bookmarkStart w:id="9" w:name="_Toc151023666"/>
      <w:r w:rsidRPr="00DF7C87">
        <w:rPr>
          <w:rFonts w:ascii="Times New Roman" w:hAnsi="Times New Roman" w:cs="Times New Roman"/>
          <w:sz w:val="24"/>
          <w:szCs w:val="24"/>
        </w:rPr>
        <w:t>Introduction</w:t>
      </w:r>
      <w:bookmarkEnd w:id="9"/>
    </w:p>
    <w:p w14:paraId="7452EB7F" w14:textId="77777777" w:rsidR="00AA7CD5" w:rsidRDefault="00AA7CD5" w:rsidP="008A6B75">
      <w:pPr>
        <w:pStyle w:val="NormalWeb"/>
        <w:spacing w:line="360" w:lineRule="auto"/>
      </w:pPr>
      <w:r>
        <w:t xml:space="preserve">The equine industry continues to be plagued with a significant number of “un-wanted” horses and other equids (Schneider et al. 2021) with an estimated 138,000 equids deemed unwanted in the United States alone each year (Lenz 2009). For various reasons (including lack of nutritional knowledge by the owner, misalignment of expectation to actual cost of equine ownership, and in some cases, criminal neglect), many unwanted equids can become emaciated (Schneider et al. 2021). Despite the commonality of emaciated horses, there has been minimal research dedicated to the evaluation of their nutritional recovery and metabolic repair. The literature describes some studies on rehabilitating or refeeding the starved horse, yet these studies span only 10 to 15 days while the average refeeding period lasts for several months (Stull, Hullinger, and </w:t>
      </w:r>
      <w:proofErr w:type="spellStart"/>
      <w:r>
        <w:t>Rodiek</w:t>
      </w:r>
      <w:proofErr w:type="spellEnd"/>
      <w:r>
        <w:t xml:space="preserve"> 2003; </w:t>
      </w:r>
      <w:proofErr w:type="spellStart"/>
      <w:r>
        <w:t>Becvarova</w:t>
      </w:r>
      <w:proofErr w:type="spellEnd"/>
      <w:r>
        <w:t xml:space="preserve">, Pleasant, and Thatcher 2009). </w:t>
      </w:r>
    </w:p>
    <w:p w14:paraId="2C21592E" w14:textId="77777777" w:rsidR="00AA7CD5" w:rsidRDefault="00AA7CD5" w:rsidP="008A6B75">
      <w:pPr>
        <w:pStyle w:val="NormalWeb"/>
        <w:spacing w:line="360" w:lineRule="auto"/>
      </w:pPr>
      <w:r>
        <w:t xml:space="preserve">Malnutrition is diagnosed as a lack of nutrition due to inadequate or unbalanced intake of nutrients, or their impaired assimilation or utilization (Merriam-Webster). Severe malnutrition or </w:t>
      </w:r>
      <w:r>
        <w:lastRenderedPageBreak/>
        <w:t xml:space="preserve">starvation yields proteolytic and lipolytic responses that can result in negative physiological issues including refeeding syndrome, cachexia, serous atrophy, muscle contractions due to low calcium stores, and heart arrythmia (Finn and Dice 2006). The Henneke body condition scoring system is an important tool for rapid, qualitative assessment of nutritional status; however, this system cannot assess the underlying factors associated with respective changes in body composition, metabolism, and overall health (Henneke et al. 1983). Because malnutrition is a complex condition that is influenced by an array of factors, it is often difficult to determine and label the true state of malnutrition in equids, for which starvation is typically classified using a low body condition score (BCS; &lt; 3 on a 1 – 9 scale) (Henneke et al. 1983; Schneider et al. 2021). Elements influencing nutritional status including genetics, background, predisposition to disease, and dietary history are often unidentified within the unwanted and starved horse populations. Thus, a consistent evaluation method coupled with an understanding of changes in metabolism is important to understanding emaciated phenotypes and, if possible, a recovery to a healthy body weight and condition. </w:t>
      </w:r>
    </w:p>
    <w:p w14:paraId="1666FEDF" w14:textId="77777777" w:rsidR="00AA7CD5" w:rsidRDefault="00AA7CD5" w:rsidP="008A6B75">
      <w:pPr>
        <w:pStyle w:val="NormalWeb"/>
        <w:spacing w:line="360" w:lineRule="auto"/>
      </w:pPr>
      <w:r>
        <w:t xml:space="preserve">A more quantitative approach to evaluating a biological system is that of metabolomics, the global measurement of the suite of small molecule metabolites that constitute an organism’s metabolome. The metabolome is made up of numerous small molecules that are derived from or utilized by all known metabolic pathways. Metabolomics pro-vides insight into an organism's physiological state (i.e., phenotype) and, thus, can serve as a quantitative, global measurement to supplement other qualitative approaches, such as the BCS system (Henneke et al. 1983; Dettmer, Aronov, and Hammock 2007). Investigating the metabolic profile of emaciated equids could provide information as to which metabolic pathways are affected during a state of malnutrition (Jiang et al. 2016). </w:t>
      </w:r>
    </w:p>
    <w:p w14:paraId="084C7D98" w14:textId="77777777" w:rsidR="00AA7CD5" w:rsidRPr="00DF7C87" w:rsidRDefault="00AA7CD5" w:rsidP="008A6B75">
      <w:pPr>
        <w:pStyle w:val="NormalWeb"/>
        <w:spacing w:line="360" w:lineRule="auto"/>
      </w:pPr>
      <w:r>
        <w:t xml:space="preserve">At the present time, little research has been conducted in the field of equine metabolomics regarding nutritional rehabilitation. Current equine studies mainly focused on healthy thoroughbreds, pregnant mares, exercise, and doping (Beachler et al. 2021; Escalona et al. 2015; Keen et al. 2022; Klein, Anthony, and McKeever 2021). Metabolomics research conducted in malnourished pigs and humans with cachexia can serve as a foundational comparison for </w:t>
      </w:r>
      <w:r>
        <w:lastRenderedPageBreak/>
        <w:t xml:space="preserve">emaciated equids, but species-specific knowledge through dietary intervention periods is warranted (Jiang et al. 2016; </w:t>
      </w:r>
      <w:proofErr w:type="spellStart"/>
      <w:r>
        <w:t>Freemark</w:t>
      </w:r>
      <w:proofErr w:type="spellEnd"/>
      <w:r>
        <w:t xml:space="preserve"> 2015; Yang et al. 2018). Despite the vast array of information available pertaining to the increasingly popular field of metabolomics, none are dedicated to the malnourished horse or the refeeding and rehabilitation process over the nutritional recovery period. Research pertaining to the equine metabolome throughout stages of malnutrition and the refeeding process could provide insight into specific nutritional requirements and allow owners to make dietary adjustments accordingly. Thus, this study focused on evaluating the metabolome of various malnourished horses during the refeeding process to determine metabolic differences between the starved and rehabilitated horse during the refeeding process.</w:t>
      </w:r>
    </w:p>
    <w:p w14:paraId="797AD5C1" w14:textId="77777777" w:rsidR="00AA7CD5" w:rsidRPr="00694EC1" w:rsidRDefault="00AA7CD5" w:rsidP="008A6B75">
      <w:pPr>
        <w:pStyle w:val="Heading2"/>
        <w:spacing w:line="360" w:lineRule="auto"/>
        <w:rPr>
          <w:rFonts w:ascii="Times New Roman" w:hAnsi="Times New Roman" w:cs="Times New Roman"/>
          <w:sz w:val="24"/>
          <w:szCs w:val="24"/>
        </w:rPr>
      </w:pPr>
      <w:bookmarkStart w:id="10" w:name="_Toc151023667"/>
      <w:r>
        <w:rPr>
          <w:rFonts w:ascii="Times New Roman" w:hAnsi="Times New Roman" w:cs="Times New Roman"/>
          <w:sz w:val="24"/>
          <w:szCs w:val="24"/>
        </w:rPr>
        <w:t>Materials and Methods</w:t>
      </w:r>
      <w:bookmarkEnd w:id="10"/>
    </w:p>
    <w:p w14:paraId="4EA0E3EA" w14:textId="14529A90" w:rsidR="008A6B75" w:rsidRPr="008A6B75" w:rsidRDefault="00AA7CD5" w:rsidP="000325FB">
      <w:pPr>
        <w:pStyle w:val="Heading3"/>
        <w:spacing w:line="360" w:lineRule="auto"/>
        <w:rPr>
          <w:rFonts w:ascii="Times New Roman" w:hAnsi="Times New Roman" w:cs="Times New Roman"/>
          <w:szCs w:val="24"/>
        </w:rPr>
      </w:pPr>
      <w:bookmarkStart w:id="11" w:name="_Toc151023668"/>
      <w:r>
        <w:rPr>
          <w:rFonts w:ascii="Times New Roman" w:hAnsi="Times New Roman" w:cs="Times New Roman"/>
          <w:szCs w:val="24"/>
        </w:rPr>
        <w:t>Equine Enrollment</w:t>
      </w:r>
      <w:bookmarkEnd w:id="11"/>
    </w:p>
    <w:p w14:paraId="44F7C9A0" w14:textId="77777777" w:rsidR="0011683F" w:rsidRDefault="00AA7CD5" w:rsidP="0011683F">
      <w:pPr>
        <w:pStyle w:val="NormalWeb"/>
        <w:spacing w:line="360" w:lineRule="auto"/>
      </w:pPr>
      <w:r w:rsidRPr="00FE0014">
        <w:t>Ten, light breed horses aged 19 ± 3 years were enrolled into the study over a three-month period (Table 1). Horses for the study were obtained from three outlets: 1) in cooperation with the Tennessee Department of Agriculture (TDA) and the Tennessee State Veterinarian by owner surrender as a result of neglect cases, 2) purchased from public auction, and 3) private owner surrender. Enrollment criteria included: 1) BCS of 2 or less (Henneke et al. 1983), 2) light breed mares or geldings, and 3) apparent good health, aside from malnourishment, as defined by temperature, pulse and respiration rates within normal limits, and no evidence of coughing or nasal discharge at the time of enrollment. Due to the nature of horse acquisition and enrollment, previous diet history on each horse could not be acquired. All study procedures were approved by the University of Tennessee Institutional Animal Care and Use Committee (Protocol #2811-1220).</w:t>
      </w:r>
    </w:p>
    <w:p w14:paraId="010CB995" w14:textId="45CC2D6F" w:rsidR="00AA7CD5" w:rsidRDefault="00AA7CD5" w:rsidP="0011683F">
      <w:pPr>
        <w:pStyle w:val="Heading3"/>
        <w:rPr>
          <w:rFonts w:ascii="Times New Roman" w:hAnsi="Times New Roman" w:cs="Times New Roman"/>
        </w:rPr>
      </w:pPr>
      <w:bookmarkStart w:id="12" w:name="_Toc151023669"/>
      <w:r w:rsidRPr="0011683F">
        <w:rPr>
          <w:rFonts w:ascii="Times New Roman" w:hAnsi="Times New Roman" w:cs="Times New Roman"/>
        </w:rPr>
        <w:t>Study Timeline and Sample Collection</w:t>
      </w:r>
      <w:bookmarkEnd w:id="12"/>
    </w:p>
    <w:p w14:paraId="37918CCF" w14:textId="77777777" w:rsidR="0011683F" w:rsidRPr="0011683F" w:rsidRDefault="0011683F" w:rsidP="0011683F"/>
    <w:p w14:paraId="55638EFC" w14:textId="787BE0BA" w:rsidR="00787FB7" w:rsidRDefault="00AA7CD5" w:rsidP="00787FB7">
      <w:pPr>
        <w:spacing w:line="360" w:lineRule="auto"/>
        <w:rPr>
          <w:rFonts w:ascii="Times New Roman" w:hAnsi="Times New Roman" w:cs="Times New Roman"/>
        </w:rPr>
      </w:pPr>
      <w:r w:rsidRPr="00FE0014">
        <w:rPr>
          <w:rFonts w:ascii="Times New Roman" w:hAnsi="Times New Roman" w:cs="Times New Roman"/>
        </w:rPr>
        <w:t xml:space="preserve">The first ten days of the study were labeled as the critical care period (CCP). During this period, horses were housed and maintained at the University of Tennessee College of Veterinary Medicine (UTCVM; Knoxville, TN, USA) where their initial health status was evaluated by a </w:t>
      </w:r>
      <w:r w:rsidR="00787FB7">
        <w:rPr>
          <w:rFonts w:ascii="Times New Roman" w:hAnsi="Times New Roman" w:cs="Times New Roman"/>
        </w:rPr>
        <w:br w:type="page"/>
      </w:r>
    </w:p>
    <w:p w14:paraId="127E663F" w14:textId="38481A47" w:rsidR="00787FB7" w:rsidRDefault="00D02CB2" w:rsidP="00787FB7">
      <w:pPr>
        <w:pStyle w:val="Caption"/>
        <w:spacing w:line="360" w:lineRule="auto"/>
      </w:pPr>
      <w:bookmarkStart w:id="13" w:name="_Toc151459309"/>
      <w:r>
        <w:lastRenderedPageBreak/>
        <w:t xml:space="preserve">Table </w:t>
      </w:r>
      <w:fldSimple w:instr=" SEQ Table \* ARABIC ">
        <w:r>
          <w:rPr>
            <w:noProof/>
          </w:rPr>
          <w:t>1</w:t>
        </w:r>
      </w:fldSimple>
      <w:r>
        <w:t xml:space="preserve">. </w:t>
      </w:r>
      <w:r w:rsidRPr="00694EC1">
        <w:t>Available metadata for equine subjects enrolled in the refeeding program.</w:t>
      </w:r>
      <w:bookmarkEnd w:id="13"/>
    </w:p>
    <w:tbl>
      <w:tblPr>
        <w:tblStyle w:val="TableGrid"/>
        <w:tblpPr w:leftFromText="180" w:rightFromText="180" w:vertAnchor="page" w:horzAnchor="margin" w:tblpY="1944"/>
        <w:tblW w:w="5000" w:type="pct"/>
        <w:tblBorders>
          <w:top w:val="single" w:sz="8" w:space="0" w:color="auto"/>
          <w:left w:val="none" w:sz="0" w:space="0" w:color="auto"/>
          <w:bottom w:val="single" w:sz="8"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1981"/>
        <w:gridCol w:w="1117"/>
        <w:gridCol w:w="3622"/>
        <w:gridCol w:w="2640"/>
      </w:tblGrid>
      <w:tr w:rsidR="00D02CB2" w:rsidRPr="00694EC1" w14:paraId="6FFBC588" w14:textId="77777777" w:rsidTr="00F34034">
        <w:trPr>
          <w:trHeight w:val="670"/>
        </w:trPr>
        <w:tc>
          <w:tcPr>
            <w:tcW w:w="1178" w:type="pct"/>
            <w:tcBorders>
              <w:top w:val="single" w:sz="8" w:space="0" w:color="auto"/>
              <w:bottom w:val="single" w:sz="4" w:space="0" w:color="auto"/>
            </w:tcBorders>
            <w:shd w:val="clear" w:color="auto" w:fill="auto"/>
            <w:noWrap/>
            <w:vAlign w:val="center"/>
            <w:hideMark/>
          </w:tcPr>
          <w:p w14:paraId="3DAFE6E7" w14:textId="77777777" w:rsidR="00D02CB2" w:rsidRPr="00694EC1" w:rsidRDefault="00D02CB2" w:rsidP="00D02CB2">
            <w:pPr>
              <w:pStyle w:val="MDPI42tablebody"/>
              <w:autoSpaceDE w:val="0"/>
              <w:autoSpaceDN w:val="0"/>
              <w:spacing w:line="360" w:lineRule="auto"/>
              <w:rPr>
                <w:rFonts w:ascii="Times New Roman" w:hAnsi="Times New Roman"/>
                <w:b/>
                <w:bCs/>
                <w:sz w:val="24"/>
                <w:szCs w:val="24"/>
              </w:rPr>
            </w:pPr>
            <w:r w:rsidRPr="00694EC1">
              <w:rPr>
                <w:rFonts w:ascii="Times New Roman" w:hAnsi="Times New Roman"/>
                <w:b/>
                <w:bCs/>
                <w:sz w:val="24"/>
                <w:szCs w:val="24"/>
              </w:rPr>
              <w:t>Subject Identifier</w:t>
            </w:r>
          </w:p>
        </w:tc>
        <w:tc>
          <w:tcPr>
            <w:tcW w:w="716" w:type="pct"/>
            <w:tcBorders>
              <w:top w:val="single" w:sz="8" w:space="0" w:color="auto"/>
              <w:bottom w:val="single" w:sz="4" w:space="0" w:color="auto"/>
            </w:tcBorders>
            <w:shd w:val="clear" w:color="auto" w:fill="auto"/>
            <w:noWrap/>
            <w:vAlign w:val="center"/>
            <w:hideMark/>
          </w:tcPr>
          <w:p w14:paraId="2039FECA" w14:textId="77777777" w:rsidR="00D02CB2" w:rsidRPr="00694EC1" w:rsidRDefault="00D02CB2" w:rsidP="00D02CB2">
            <w:pPr>
              <w:pStyle w:val="MDPI42tablebody"/>
              <w:autoSpaceDE w:val="0"/>
              <w:autoSpaceDN w:val="0"/>
              <w:spacing w:line="360" w:lineRule="auto"/>
              <w:rPr>
                <w:rFonts w:ascii="Times New Roman" w:hAnsi="Times New Roman"/>
                <w:b/>
                <w:bCs/>
                <w:sz w:val="24"/>
                <w:szCs w:val="24"/>
              </w:rPr>
            </w:pPr>
            <w:r w:rsidRPr="00694EC1">
              <w:rPr>
                <w:rFonts w:ascii="Times New Roman" w:hAnsi="Times New Roman"/>
                <w:b/>
                <w:bCs/>
                <w:sz w:val="24"/>
                <w:szCs w:val="24"/>
              </w:rPr>
              <w:t>Sex</w:t>
            </w:r>
          </w:p>
        </w:tc>
        <w:tc>
          <w:tcPr>
            <w:tcW w:w="2054" w:type="pct"/>
            <w:tcBorders>
              <w:top w:val="single" w:sz="8" w:space="0" w:color="auto"/>
              <w:bottom w:val="single" w:sz="4" w:space="0" w:color="auto"/>
            </w:tcBorders>
            <w:shd w:val="clear" w:color="auto" w:fill="auto"/>
            <w:noWrap/>
            <w:vAlign w:val="center"/>
            <w:hideMark/>
          </w:tcPr>
          <w:p w14:paraId="6BF0612C" w14:textId="77777777" w:rsidR="00D02CB2" w:rsidRPr="00694EC1" w:rsidRDefault="00D02CB2" w:rsidP="00D02CB2">
            <w:pPr>
              <w:pStyle w:val="MDPI42tablebody"/>
              <w:autoSpaceDE w:val="0"/>
              <w:autoSpaceDN w:val="0"/>
              <w:spacing w:line="360" w:lineRule="auto"/>
              <w:rPr>
                <w:rFonts w:ascii="Times New Roman" w:hAnsi="Times New Roman"/>
                <w:b/>
                <w:bCs/>
                <w:sz w:val="24"/>
                <w:szCs w:val="24"/>
              </w:rPr>
            </w:pPr>
            <w:r w:rsidRPr="00694EC1">
              <w:rPr>
                <w:rFonts w:ascii="Times New Roman" w:hAnsi="Times New Roman"/>
                <w:b/>
                <w:bCs/>
                <w:sz w:val="24"/>
                <w:szCs w:val="24"/>
              </w:rPr>
              <w:t>Breed</w:t>
            </w:r>
          </w:p>
        </w:tc>
        <w:tc>
          <w:tcPr>
            <w:tcW w:w="1052" w:type="pct"/>
            <w:tcBorders>
              <w:top w:val="single" w:sz="8" w:space="0" w:color="auto"/>
              <w:bottom w:val="single" w:sz="4" w:space="0" w:color="auto"/>
            </w:tcBorders>
            <w:shd w:val="clear" w:color="auto" w:fill="auto"/>
            <w:noWrap/>
            <w:vAlign w:val="center"/>
            <w:hideMark/>
          </w:tcPr>
          <w:p w14:paraId="7FCCD45C" w14:textId="77777777" w:rsidR="00D02CB2" w:rsidRPr="00694EC1" w:rsidRDefault="00D02CB2" w:rsidP="00D02CB2">
            <w:pPr>
              <w:pStyle w:val="MDPI42tablebody"/>
              <w:autoSpaceDE w:val="0"/>
              <w:autoSpaceDN w:val="0"/>
              <w:spacing w:line="360" w:lineRule="auto"/>
              <w:rPr>
                <w:rFonts w:ascii="Times New Roman" w:hAnsi="Times New Roman"/>
                <w:b/>
                <w:bCs/>
                <w:sz w:val="24"/>
                <w:szCs w:val="24"/>
              </w:rPr>
            </w:pPr>
            <w:r w:rsidRPr="00694EC1">
              <w:rPr>
                <w:rFonts w:ascii="Times New Roman" w:hAnsi="Times New Roman"/>
                <w:b/>
                <w:bCs/>
                <w:sz w:val="24"/>
                <w:szCs w:val="24"/>
              </w:rPr>
              <w:t>Approximate Age (Years)</w:t>
            </w:r>
          </w:p>
        </w:tc>
      </w:tr>
      <w:tr w:rsidR="00D02CB2" w:rsidRPr="00694EC1" w14:paraId="5603BFCE" w14:textId="77777777" w:rsidTr="00F34034">
        <w:trPr>
          <w:trHeight w:val="334"/>
        </w:trPr>
        <w:tc>
          <w:tcPr>
            <w:tcW w:w="1178" w:type="pct"/>
            <w:tcBorders>
              <w:top w:val="single" w:sz="4" w:space="0" w:color="auto"/>
            </w:tcBorders>
            <w:shd w:val="clear" w:color="auto" w:fill="auto"/>
            <w:noWrap/>
            <w:vAlign w:val="center"/>
            <w:hideMark/>
          </w:tcPr>
          <w:p w14:paraId="28D5D2D7"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A</w:t>
            </w:r>
          </w:p>
        </w:tc>
        <w:tc>
          <w:tcPr>
            <w:tcW w:w="716" w:type="pct"/>
            <w:tcBorders>
              <w:top w:val="single" w:sz="4" w:space="0" w:color="auto"/>
            </w:tcBorders>
            <w:shd w:val="clear" w:color="auto" w:fill="auto"/>
            <w:noWrap/>
            <w:vAlign w:val="center"/>
            <w:hideMark/>
          </w:tcPr>
          <w:p w14:paraId="2E065341"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tcBorders>
              <w:top w:val="single" w:sz="4" w:space="0" w:color="auto"/>
            </w:tcBorders>
            <w:shd w:val="clear" w:color="auto" w:fill="auto"/>
            <w:noWrap/>
            <w:vAlign w:val="center"/>
            <w:hideMark/>
          </w:tcPr>
          <w:p w14:paraId="43B4B396"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Quarter Horse</w:t>
            </w:r>
          </w:p>
        </w:tc>
        <w:tc>
          <w:tcPr>
            <w:tcW w:w="1052" w:type="pct"/>
            <w:tcBorders>
              <w:top w:val="single" w:sz="4" w:space="0" w:color="auto"/>
            </w:tcBorders>
            <w:shd w:val="clear" w:color="auto" w:fill="auto"/>
            <w:noWrap/>
            <w:vAlign w:val="center"/>
            <w:hideMark/>
          </w:tcPr>
          <w:p w14:paraId="065A6C92"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19</w:t>
            </w:r>
          </w:p>
        </w:tc>
      </w:tr>
      <w:tr w:rsidR="00D02CB2" w:rsidRPr="00694EC1" w14:paraId="78A8A711" w14:textId="77777777" w:rsidTr="00F34034">
        <w:trPr>
          <w:trHeight w:val="334"/>
        </w:trPr>
        <w:tc>
          <w:tcPr>
            <w:tcW w:w="1178" w:type="pct"/>
            <w:shd w:val="clear" w:color="auto" w:fill="auto"/>
            <w:noWrap/>
            <w:vAlign w:val="center"/>
            <w:hideMark/>
          </w:tcPr>
          <w:p w14:paraId="68E22676"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A2</w:t>
            </w:r>
          </w:p>
        </w:tc>
        <w:tc>
          <w:tcPr>
            <w:tcW w:w="716" w:type="pct"/>
            <w:shd w:val="clear" w:color="auto" w:fill="auto"/>
            <w:noWrap/>
            <w:vAlign w:val="center"/>
            <w:hideMark/>
          </w:tcPr>
          <w:p w14:paraId="46EA7AE5"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2C7990F6"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Tennessee Walking Horse</w:t>
            </w:r>
          </w:p>
        </w:tc>
        <w:tc>
          <w:tcPr>
            <w:tcW w:w="1052" w:type="pct"/>
            <w:shd w:val="clear" w:color="auto" w:fill="auto"/>
            <w:noWrap/>
            <w:vAlign w:val="center"/>
            <w:hideMark/>
          </w:tcPr>
          <w:p w14:paraId="4EBB0B2D"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22</w:t>
            </w:r>
          </w:p>
        </w:tc>
      </w:tr>
      <w:tr w:rsidR="00D02CB2" w:rsidRPr="00694EC1" w14:paraId="3CA59F0E" w14:textId="77777777" w:rsidTr="00F34034">
        <w:trPr>
          <w:trHeight w:val="315"/>
        </w:trPr>
        <w:tc>
          <w:tcPr>
            <w:tcW w:w="1178" w:type="pct"/>
            <w:shd w:val="clear" w:color="auto" w:fill="auto"/>
            <w:noWrap/>
            <w:vAlign w:val="center"/>
            <w:hideMark/>
          </w:tcPr>
          <w:p w14:paraId="791E42B0"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B</w:t>
            </w:r>
          </w:p>
        </w:tc>
        <w:tc>
          <w:tcPr>
            <w:tcW w:w="716" w:type="pct"/>
            <w:shd w:val="clear" w:color="auto" w:fill="auto"/>
            <w:noWrap/>
            <w:vAlign w:val="center"/>
            <w:hideMark/>
          </w:tcPr>
          <w:p w14:paraId="18F16289"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7F5DDA56"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Appendix</w:t>
            </w:r>
          </w:p>
        </w:tc>
        <w:tc>
          <w:tcPr>
            <w:tcW w:w="1052" w:type="pct"/>
            <w:shd w:val="clear" w:color="auto" w:fill="auto"/>
            <w:noWrap/>
            <w:vAlign w:val="center"/>
            <w:hideMark/>
          </w:tcPr>
          <w:p w14:paraId="4E8E1AC4"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20</w:t>
            </w:r>
          </w:p>
        </w:tc>
      </w:tr>
      <w:tr w:rsidR="00D02CB2" w:rsidRPr="00694EC1" w14:paraId="78E79128" w14:textId="77777777" w:rsidTr="00F34034">
        <w:trPr>
          <w:trHeight w:val="334"/>
        </w:trPr>
        <w:tc>
          <w:tcPr>
            <w:tcW w:w="1178" w:type="pct"/>
            <w:shd w:val="clear" w:color="auto" w:fill="auto"/>
            <w:noWrap/>
            <w:vAlign w:val="center"/>
            <w:hideMark/>
          </w:tcPr>
          <w:p w14:paraId="38D3AB5C"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C</w:t>
            </w:r>
          </w:p>
        </w:tc>
        <w:tc>
          <w:tcPr>
            <w:tcW w:w="716" w:type="pct"/>
            <w:shd w:val="clear" w:color="auto" w:fill="auto"/>
            <w:noWrap/>
            <w:vAlign w:val="center"/>
            <w:hideMark/>
          </w:tcPr>
          <w:p w14:paraId="2B61C902"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61690A5F"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Quarter Horse</w:t>
            </w:r>
          </w:p>
        </w:tc>
        <w:tc>
          <w:tcPr>
            <w:tcW w:w="1052" w:type="pct"/>
            <w:shd w:val="clear" w:color="auto" w:fill="auto"/>
            <w:noWrap/>
            <w:vAlign w:val="center"/>
            <w:hideMark/>
          </w:tcPr>
          <w:p w14:paraId="15BFC4A4"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20</w:t>
            </w:r>
          </w:p>
        </w:tc>
      </w:tr>
      <w:tr w:rsidR="00D02CB2" w:rsidRPr="00694EC1" w14:paraId="6CAE92A4" w14:textId="77777777" w:rsidTr="00F34034">
        <w:trPr>
          <w:trHeight w:val="334"/>
        </w:trPr>
        <w:tc>
          <w:tcPr>
            <w:tcW w:w="1178" w:type="pct"/>
            <w:shd w:val="clear" w:color="auto" w:fill="auto"/>
            <w:noWrap/>
            <w:vAlign w:val="center"/>
            <w:hideMark/>
          </w:tcPr>
          <w:p w14:paraId="66B8939B"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D</w:t>
            </w:r>
          </w:p>
        </w:tc>
        <w:tc>
          <w:tcPr>
            <w:tcW w:w="716" w:type="pct"/>
            <w:shd w:val="clear" w:color="auto" w:fill="auto"/>
            <w:noWrap/>
            <w:vAlign w:val="center"/>
            <w:hideMark/>
          </w:tcPr>
          <w:p w14:paraId="520386B0"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6C52DE8F"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Tennessee Walking Horse</w:t>
            </w:r>
          </w:p>
        </w:tc>
        <w:tc>
          <w:tcPr>
            <w:tcW w:w="1052" w:type="pct"/>
            <w:shd w:val="clear" w:color="auto" w:fill="auto"/>
            <w:noWrap/>
            <w:vAlign w:val="center"/>
            <w:hideMark/>
          </w:tcPr>
          <w:p w14:paraId="4230FEDF"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20</w:t>
            </w:r>
          </w:p>
        </w:tc>
      </w:tr>
      <w:tr w:rsidR="00D02CB2" w:rsidRPr="00694EC1" w14:paraId="55624EAB" w14:textId="77777777" w:rsidTr="00F34034">
        <w:trPr>
          <w:trHeight w:val="315"/>
        </w:trPr>
        <w:tc>
          <w:tcPr>
            <w:tcW w:w="1178" w:type="pct"/>
            <w:shd w:val="clear" w:color="auto" w:fill="auto"/>
            <w:noWrap/>
            <w:vAlign w:val="center"/>
            <w:hideMark/>
          </w:tcPr>
          <w:p w14:paraId="003C916C"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E</w:t>
            </w:r>
          </w:p>
        </w:tc>
        <w:tc>
          <w:tcPr>
            <w:tcW w:w="716" w:type="pct"/>
            <w:shd w:val="clear" w:color="auto" w:fill="auto"/>
            <w:noWrap/>
            <w:vAlign w:val="center"/>
            <w:hideMark/>
          </w:tcPr>
          <w:p w14:paraId="2EA388D1"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52C496B0"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Quarter Horse/Arabian</w:t>
            </w:r>
          </w:p>
        </w:tc>
        <w:tc>
          <w:tcPr>
            <w:tcW w:w="1052" w:type="pct"/>
            <w:shd w:val="clear" w:color="auto" w:fill="auto"/>
            <w:noWrap/>
            <w:vAlign w:val="center"/>
            <w:hideMark/>
          </w:tcPr>
          <w:p w14:paraId="5AD5C137"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18</w:t>
            </w:r>
          </w:p>
        </w:tc>
      </w:tr>
      <w:tr w:rsidR="00D02CB2" w:rsidRPr="00694EC1" w14:paraId="529D49A4" w14:textId="77777777" w:rsidTr="00F34034">
        <w:trPr>
          <w:trHeight w:val="334"/>
        </w:trPr>
        <w:tc>
          <w:tcPr>
            <w:tcW w:w="1178" w:type="pct"/>
            <w:shd w:val="clear" w:color="auto" w:fill="auto"/>
            <w:noWrap/>
            <w:vAlign w:val="center"/>
            <w:hideMark/>
          </w:tcPr>
          <w:p w14:paraId="3770E158"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F</w:t>
            </w:r>
          </w:p>
        </w:tc>
        <w:tc>
          <w:tcPr>
            <w:tcW w:w="716" w:type="pct"/>
            <w:shd w:val="clear" w:color="auto" w:fill="auto"/>
            <w:noWrap/>
            <w:vAlign w:val="center"/>
            <w:hideMark/>
          </w:tcPr>
          <w:p w14:paraId="0081C40A"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Gelding</w:t>
            </w:r>
          </w:p>
        </w:tc>
        <w:tc>
          <w:tcPr>
            <w:tcW w:w="2054" w:type="pct"/>
            <w:shd w:val="clear" w:color="auto" w:fill="auto"/>
            <w:noWrap/>
            <w:vAlign w:val="center"/>
            <w:hideMark/>
          </w:tcPr>
          <w:p w14:paraId="0D4A69A9"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Appendix</w:t>
            </w:r>
          </w:p>
        </w:tc>
        <w:tc>
          <w:tcPr>
            <w:tcW w:w="1052" w:type="pct"/>
            <w:shd w:val="clear" w:color="auto" w:fill="auto"/>
            <w:noWrap/>
            <w:vAlign w:val="center"/>
            <w:hideMark/>
          </w:tcPr>
          <w:p w14:paraId="7AC42A72"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16</w:t>
            </w:r>
          </w:p>
        </w:tc>
      </w:tr>
      <w:tr w:rsidR="00D02CB2" w:rsidRPr="00694EC1" w14:paraId="38C35302" w14:textId="77777777" w:rsidTr="00F34034">
        <w:trPr>
          <w:trHeight w:val="334"/>
        </w:trPr>
        <w:tc>
          <w:tcPr>
            <w:tcW w:w="1178" w:type="pct"/>
            <w:shd w:val="clear" w:color="auto" w:fill="auto"/>
            <w:noWrap/>
            <w:vAlign w:val="center"/>
            <w:hideMark/>
          </w:tcPr>
          <w:p w14:paraId="771F024D"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G</w:t>
            </w:r>
          </w:p>
        </w:tc>
        <w:tc>
          <w:tcPr>
            <w:tcW w:w="716" w:type="pct"/>
            <w:shd w:val="clear" w:color="auto" w:fill="auto"/>
            <w:noWrap/>
            <w:vAlign w:val="center"/>
            <w:hideMark/>
          </w:tcPr>
          <w:p w14:paraId="7BA8291F"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Gelding</w:t>
            </w:r>
          </w:p>
        </w:tc>
        <w:tc>
          <w:tcPr>
            <w:tcW w:w="2054" w:type="pct"/>
            <w:shd w:val="clear" w:color="auto" w:fill="auto"/>
            <w:noWrap/>
            <w:vAlign w:val="center"/>
            <w:hideMark/>
          </w:tcPr>
          <w:p w14:paraId="7D3E92DA"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Appendix</w:t>
            </w:r>
          </w:p>
        </w:tc>
        <w:tc>
          <w:tcPr>
            <w:tcW w:w="1052" w:type="pct"/>
            <w:shd w:val="clear" w:color="auto" w:fill="auto"/>
            <w:noWrap/>
            <w:vAlign w:val="center"/>
            <w:hideMark/>
          </w:tcPr>
          <w:p w14:paraId="6494BA7E"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23</w:t>
            </w:r>
          </w:p>
        </w:tc>
      </w:tr>
      <w:tr w:rsidR="00D02CB2" w:rsidRPr="00694EC1" w14:paraId="51A2EC9E" w14:textId="77777777" w:rsidTr="00F34034">
        <w:trPr>
          <w:trHeight w:val="315"/>
        </w:trPr>
        <w:tc>
          <w:tcPr>
            <w:tcW w:w="1178" w:type="pct"/>
            <w:shd w:val="clear" w:color="auto" w:fill="auto"/>
            <w:noWrap/>
            <w:vAlign w:val="center"/>
            <w:hideMark/>
          </w:tcPr>
          <w:p w14:paraId="38544865"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H</w:t>
            </w:r>
          </w:p>
        </w:tc>
        <w:tc>
          <w:tcPr>
            <w:tcW w:w="716" w:type="pct"/>
            <w:shd w:val="clear" w:color="auto" w:fill="auto"/>
            <w:noWrap/>
            <w:vAlign w:val="center"/>
            <w:hideMark/>
          </w:tcPr>
          <w:p w14:paraId="146A2E46"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Mare</w:t>
            </w:r>
          </w:p>
        </w:tc>
        <w:tc>
          <w:tcPr>
            <w:tcW w:w="2054" w:type="pct"/>
            <w:shd w:val="clear" w:color="auto" w:fill="auto"/>
            <w:noWrap/>
            <w:vAlign w:val="center"/>
            <w:hideMark/>
          </w:tcPr>
          <w:p w14:paraId="487DF644"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Standardbred</w:t>
            </w:r>
          </w:p>
        </w:tc>
        <w:tc>
          <w:tcPr>
            <w:tcW w:w="1052" w:type="pct"/>
            <w:shd w:val="clear" w:color="auto" w:fill="auto"/>
            <w:noWrap/>
            <w:vAlign w:val="center"/>
            <w:hideMark/>
          </w:tcPr>
          <w:p w14:paraId="235D6972"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15</w:t>
            </w:r>
          </w:p>
        </w:tc>
      </w:tr>
      <w:tr w:rsidR="00D02CB2" w:rsidRPr="00694EC1" w14:paraId="5E132FAC" w14:textId="77777777" w:rsidTr="00F34034">
        <w:trPr>
          <w:trHeight w:val="334"/>
        </w:trPr>
        <w:tc>
          <w:tcPr>
            <w:tcW w:w="1178" w:type="pct"/>
            <w:shd w:val="clear" w:color="auto" w:fill="auto"/>
            <w:noWrap/>
            <w:vAlign w:val="center"/>
            <w:hideMark/>
          </w:tcPr>
          <w:p w14:paraId="725C37B2"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I</w:t>
            </w:r>
          </w:p>
        </w:tc>
        <w:tc>
          <w:tcPr>
            <w:tcW w:w="716" w:type="pct"/>
            <w:shd w:val="clear" w:color="auto" w:fill="auto"/>
            <w:noWrap/>
            <w:vAlign w:val="center"/>
            <w:hideMark/>
          </w:tcPr>
          <w:p w14:paraId="56D1A0BF"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Gelding</w:t>
            </w:r>
          </w:p>
        </w:tc>
        <w:tc>
          <w:tcPr>
            <w:tcW w:w="2054" w:type="pct"/>
            <w:shd w:val="clear" w:color="auto" w:fill="auto"/>
            <w:noWrap/>
            <w:vAlign w:val="center"/>
            <w:hideMark/>
          </w:tcPr>
          <w:p w14:paraId="4310AD9B"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Quarter Horse</w:t>
            </w:r>
          </w:p>
        </w:tc>
        <w:tc>
          <w:tcPr>
            <w:tcW w:w="1052" w:type="pct"/>
            <w:shd w:val="clear" w:color="auto" w:fill="auto"/>
            <w:noWrap/>
            <w:vAlign w:val="center"/>
            <w:hideMark/>
          </w:tcPr>
          <w:p w14:paraId="71E0F490" w14:textId="77777777" w:rsidR="00D02CB2" w:rsidRPr="00694EC1" w:rsidRDefault="00D02CB2" w:rsidP="00D02CB2">
            <w:pPr>
              <w:pStyle w:val="MDPI42tablebody"/>
              <w:autoSpaceDE w:val="0"/>
              <w:autoSpaceDN w:val="0"/>
              <w:spacing w:line="360" w:lineRule="auto"/>
              <w:rPr>
                <w:rFonts w:ascii="Times New Roman" w:hAnsi="Times New Roman"/>
                <w:sz w:val="24"/>
                <w:szCs w:val="24"/>
              </w:rPr>
            </w:pPr>
            <w:r w:rsidRPr="00694EC1">
              <w:rPr>
                <w:rFonts w:ascii="Times New Roman" w:hAnsi="Times New Roman"/>
                <w:sz w:val="24"/>
                <w:szCs w:val="24"/>
              </w:rPr>
              <w:t>17</w:t>
            </w:r>
          </w:p>
        </w:tc>
      </w:tr>
    </w:tbl>
    <w:p w14:paraId="123AFBC6" w14:textId="77777777" w:rsidR="00787FB7" w:rsidRDefault="00787FB7" w:rsidP="00787FB7">
      <w:pPr>
        <w:pStyle w:val="Caption"/>
        <w:spacing w:line="360" w:lineRule="auto"/>
      </w:pPr>
    </w:p>
    <w:p w14:paraId="1C8DFD86" w14:textId="77777777" w:rsidR="00787FB7" w:rsidRDefault="00787FB7" w:rsidP="00787FB7">
      <w:pPr>
        <w:pStyle w:val="Caption"/>
        <w:spacing w:line="360" w:lineRule="auto"/>
      </w:pPr>
    </w:p>
    <w:p w14:paraId="573E3D03" w14:textId="77777777" w:rsidR="00787FB7" w:rsidRDefault="00787FB7" w:rsidP="00787FB7">
      <w:pPr>
        <w:pStyle w:val="Caption"/>
        <w:spacing w:line="360" w:lineRule="auto"/>
      </w:pPr>
    </w:p>
    <w:p w14:paraId="71512736" w14:textId="77777777" w:rsidR="00787FB7" w:rsidRDefault="00787FB7" w:rsidP="00787FB7">
      <w:pPr>
        <w:pStyle w:val="Caption"/>
        <w:spacing w:line="360" w:lineRule="auto"/>
      </w:pPr>
    </w:p>
    <w:p w14:paraId="4C6FFA2B" w14:textId="77777777" w:rsidR="00787FB7" w:rsidRDefault="00787FB7" w:rsidP="00787FB7">
      <w:pPr>
        <w:pStyle w:val="Caption"/>
        <w:spacing w:line="360" w:lineRule="auto"/>
      </w:pPr>
    </w:p>
    <w:p w14:paraId="456D5570" w14:textId="77777777" w:rsidR="00787FB7" w:rsidRDefault="00787FB7" w:rsidP="00787FB7">
      <w:pPr>
        <w:pStyle w:val="Caption"/>
        <w:spacing w:line="360" w:lineRule="auto"/>
      </w:pPr>
    </w:p>
    <w:p w14:paraId="6415DC99" w14:textId="77777777" w:rsidR="00787FB7" w:rsidRDefault="00787FB7" w:rsidP="00787FB7">
      <w:pPr>
        <w:pStyle w:val="Caption"/>
        <w:spacing w:line="360" w:lineRule="auto"/>
      </w:pPr>
    </w:p>
    <w:p w14:paraId="0B8B9795" w14:textId="77777777" w:rsidR="00787FB7" w:rsidRDefault="00787FB7" w:rsidP="00787FB7">
      <w:pPr>
        <w:pStyle w:val="Caption"/>
        <w:spacing w:line="360" w:lineRule="auto"/>
      </w:pPr>
    </w:p>
    <w:p w14:paraId="43B052B8" w14:textId="77777777" w:rsidR="00D02CB2" w:rsidRDefault="00D02CB2" w:rsidP="00787FB7">
      <w:pPr>
        <w:pStyle w:val="Caption"/>
        <w:spacing w:line="360" w:lineRule="auto"/>
      </w:pPr>
    </w:p>
    <w:p w14:paraId="78712DE6" w14:textId="77777777" w:rsidR="00D02CB2" w:rsidRDefault="00D02CB2" w:rsidP="00787FB7">
      <w:pPr>
        <w:pStyle w:val="Caption"/>
        <w:spacing w:line="360" w:lineRule="auto"/>
      </w:pPr>
    </w:p>
    <w:p w14:paraId="1036CF93" w14:textId="4124D9FA" w:rsidR="00787FB7" w:rsidRPr="00787FB7" w:rsidRDefault="0011683F" w:rsidP="00787FB7">
      <w:pPr>
        <w:pStyle w:val="Caption"/>
        <w:spacing w:line="360" w:lineRule="auto"/>
      </w:pPr>
      <w:r>
        <w:rPr>
          <w:rFonts w:cs="Times New Roman"/>
        </w:rPr>
        <w:br w:type="page"/>
      </w:r>
    </w:p>
    <w:p w14:paraId="603842BF" w14:textId="7010A7F2" w:rsidR="00AA7CD5" w:rsidRPr="00FE0014" w:rsidRDefault="00AA7CD5" w:rsidP="008A6B75">
      <w:pPr>
        <w:spacing w:line="360" w:lineRule="auto"/>
        <w:rPr>
          <w:rFonts w:ascii="Times New Roman" w:hAnsi="Times New Roman" w:cs="Times New Roman"/>
        </w:rPr>
      </w:pPr>
      <w:r w:rsidRPr="00FE0014">
        <w:rPr>
          <w:rFonts w:ascii="Times New Roman" w:hAnsi="Times New Roman" w:cs="Times New Roman"/>
        </w:rPr>
        <w:lastRenderedPageBreak/>
        <w:t>veterinarian and a Coggins test was performed. Blood samples were collected from the jugular vein on the day of intake and every other day thereafter. Weekly, horses’ BCS were assessed by two individual, trained reviewers (Schneider et al. 2021). Vital signs including temperature, pulse, respiration, capillary refill time, and skin tent were assessed every 12 hours during the CCP to monitor horses for disease onset and overall health status in compliance with UTCVM policy. If horses displayed signs of potential infection, a respiratory swab was performed to check for Equine Herpes Virus (EHV), Strangles, and Influenza. If horses tested positive for any of these diseases, at-tending veterinarians worked in conjunction to provide care and treatment while maintaining refeeding protocols. Body weight (BW) was assessed daily using a commercially available equine scale (Optima, Rancho Cucamonga, CA).</w:t>
      </w:r>
    </w:p>
    <w:p w14:paraId="69658D60" w14:textId="77777777" w:rsidR="00AA7CD5" w:rsidRPr="00FE0014" w:rsidRDefault="00AA7CD5" w:rsidP="008A6B75">
      <w:pPr>
        <w:spacing w:line="360" w:lineRule="auto"/>
        <w:rPr>
          <w:rFonts w:ascii="Times New Roman" w:hAnsi="Times New Roman" w:cs="Times New Roman"/>
        </w:rPr>
      </w:pPr>
      <w:r w:rsidRPr="00FE0014">
        <w:rPr>
          <w:rFonts w:ascii="Times New Roman" w:hAnsi="Times New Roman" w:cs="Times New Roman"/>
        </w:rPr>
        <w:t xml:space="preserve">The remainder of the study duration (days 10 – 165) was designated as the recovery period (RP). During the RP, horses were housed and maintained at either UTCVM, the University of Tennessee Veterinary Research and Education Center (VREC; Knoxville, TN, USA), or at Middle Tennessee Research and Education Center (MTREC; Spring Hill, TN, USA), based on housing availability. Horses were always moved as a cohort, and at least six days of acclimatization was allowed before the next sampling period. Before transportation, all horses tested negative for the infectious diseases. </w:t>
      </w:r>
    </w:p>
    <w:p w14:paraId="77ED8812" w14:textId="77777777" w:rsidR="00AA7CD5" w:rsidRPr="00DF7C87" w:rsidRDefault="00AA7CD5" w:rsidP="008A6B75">
      <w:pPr>
        <w:spacing w:line="360" w:lineRule="auto"/>
        <w:rPr>
          <w:rFonts w:ascii="Times New Roman" w:hAnsi="Times New Roman" w:cs="Times New Roman"/>
        </w:rPr>
      </w:pPr>
      <w:r w:rsidRPr="00FE0014">
        <w:rPr>
          <w:rFonts w:ascii="Times New Roman" w:hAnsi="Times New Roman" w:cs="Times New Roman"/>
        </w:rPr>
        <w:t>Weekly BW measurements were taken throughout the duration of the study. Every two weeks, BCS was evaluated by two independent trained reviewers for each horse and jugular venipuncture blood samples were collected at each BCS increase. Fecal samples and respective fecal float and centrifugation tests were performed on Day 14 and horses were dewormed based on fecal test results. Horses were determined to progress to the next BCS when all reviewers agreed that the next BCS was reached, and a weight gain of 16 – 20 kg from the previous BCS was achieved (Heusner 1993; Council 2007). If horses reached a BCS of 4 before the end of the rehabilitation period, final measurements and samples were taken prior to study disenrollment. Plasma blood samples were maintained on ice until centrifugation at 3000 x g for 10 min. Serum blood samples were allowed to clot overnight and then centrifuged at the same speed and duration. All aliquots were stored at –80° C until analysis.</w:t>
      </w:r>
    </w:p>
    <w:p w14:paraId="6E89FF77" w14:textId="77777777" w:rsidR="00AA7CD5" w:rsidRPr="00F575A5" w:rsidRDefault="00AA7CD5" w:rsidP="008A6B75">
      <w:pPr>
        <w:pStyle w:val="Heading3"/>
        <w:spacing w:line="360" w:lineRule="auto"/>
        <w:rPr>
          <w:rFonts w:ascii="Times New Roman" w:hAnsi="Times New Roman" w:cs="Times New Roman"/>
          <w:iCs/>
        </w:rPr>
      </w:pPr>
      <w:bookmarkStart w:id="14" w:name="_Toc151023670"/>
      <w:r w:rsidRPr="00F575A5">
        <w:rPr>
          <w:rFonts w:ascii="Times New Roman" w:hAnsi="Times New Roman" w:cs="Times New Roman"/>
        </w:rPr>
        <w:lastRenderedPageBreak/>
        <w:t>Diet Formulation</w:t>
      </w:r>
      <w:bookmarkEnd w:id="14"/>
    </w:p>
    <w:p w14:paraId="3F1A6BD8" w14:textId="77777777" w:rsidR="00AA7CD5" w:rsidRDefault="00AA7CD5" w:rsidP="008A6B75">
      <w:pPr>
        <w:pStyle w:val="NormalWeb"/>
        <w:spacing w:line="360" w:lineRule="auto"/>
      </w:pPr>
      <w:r w:rsidRPr="00694EC1">
        <w:t xml:space="preserve">Upon enrollment, each horse was randomly assigned one of two diet groups for the duration of the study: control (C) diet which consisted of timothy hay and a commercially available vitamin mineral product (Purina Free Balance) where diets were formulated to meet DE requirements from forage alone; and senior (S) diet, in which 50% of DE requirements were provided from a commercially available complete feed, and the remaining 50% provided by timothy hay (Table </w:t>
      </w:r>
      <w:r w:rsidRPr="000C3D5E">
        <w:rPr>
          <w:color w:val="000000" w:themeColor="text1"/>
        </w:rPr>
        <w:t>2</w:t>
      </w:r>
      <w:r w:rsidRPr="00694EC1">
        <w:t xml:space="preserve">). Diets were formulated to be isocaloric and meet daily National Research Council (NRC) nutrient requirements for mature horses weighing under 600 kg. </w:t>
      </w:r>
    </w:p>
    <w:p w14:paraId="73A821CB" w14:textId="77777777" w:rsidR="00AA7CD5" w:rsidRDefault="00AA7CD5" w:rsidP="008A6B75">
      <w:pPr>
        <w:pStyle w:val="NormalWeb"/>
        <w:spacing w:line="360" w:lineRule="auto"/>
      </w:pPr>
      <w:r>
        <w:t xml:space="preserve">The refeeding diet protocol was established based on previously published methods (Stull, Hullinger, and </w:t>
      </w:r>
      <w:proofErr w:type="spellStart"/>
      <w:r>
        <w:t>Rodiek</w:t>
      </w:r>
      <w:proofErr w:type="spellEnd"/>
      <w:r>
        <w:t xml:space="preserve"> 2003; Weaver et al. 1998). During the CCP, from day of intake until Day 3, horses were fed 50% of daily digestible energy (DE) requirements split into six feedings. On Days 4 and 5, feeding amount increased to provide 75% of daily DE requirement over six feedings. On Days 6 to 10, horses were fed 100% of daily DE requirement over three different feedings. </w:t>
      </w:r>
    </w:p>
    <w:p w14:paraId="14257145" w14:textId="77777777" w:rsidR="00AA7CD5" w:rsidRDefault="00AA7CD5" w:rsidP="008A6B75">
      <w:pPr>
        <w:pStyle w:val="NormalWeb"/>
        <w:spacing w:line="360" w:lineRule="auto"/>
      </w:pPr>
      <w:r>
        <w:t>Diets were formulated to provide adequate DE for 0.45 kg of BW gain per day. Initially, DE was increased to 125% of daily DE requirements based on weekly BW measurements. If horses did not gain weight at an appropriate rate for two consecutive BW measurements, DE was increased by 10%, to 135 or 145%, respectively.</w:t>
      </w:r>
    </w:p>
    <w:p w14:paraId="7B7715BE" w14:textId="77777777" w:rsidR="00AA7CD5" w:rsidRPr="005D503B" w:rsidRDefault="00AA7CD5" w:rsidP="008A6B75">
      <w:pPr>
        <w:pStyle w:val="Heading3"/>
        <w:spacing w:line="360" w:lineRule="auto"/>
        <w:rPr>
          <w:rFonts w:ascii="Times New Roman" w:hAnsi="Times New Roman" w:cs="Times New Roman"/>
        </w:rPr>
      </w:pPr>
      <w:bookmarkStart w:id="15" w:name="_Toc151023671"/>
      <w:r w:rsidRPr="005D503B">
        <w:rPr>
          <w:rFonts w:ascii="Times New Roman" w:hAnsi="Times New Roman" w:cs="Times New Roman"/>
        </w:rPr>
        <w:t>Blood Chemistry Analysis</w:t>
      </w:r>
      <w:bookmarkEnd w:id="15"/>
    </w:p>
    <w:p w14:paraId="432C1B3E" w14:textId="77777777" w:rsidR="007E7ED3" w:rsidRPr="00220667" w:rsidRDefault="00AA7CD5" w:rsidP="007E7ED3">
      <w:pPr>
        <w:pStyle w:val="NormalWeb"/>
        <w:spacing w:line="360" w:lineRule="auto"/>
      </w:pPr>
      <w:r w:rsidRPr="00F0245E">
        <w:rPr>
          <w:rFonts w:eastAsia="SimSun"/>
          <w:snapToGrid w:val="0"/>
          <w:color w:val="000000"/>
          <w:lang w:eastAsia="de-DE" w:bidi="en-US"/>
        </w:rPr>
        <w:t xml:space="preserve">Plasma and serum chemistry quantitative values (Table 3) were determined via photometric absorbance values utilizing a COBAS C311 analyzer under guidelines </w:t>
      </w:r>
      <w:r w:rsidR="007E7ED3" w:rsidRPr="00F0245E">
        <w:rPr>
          <w:rFonts w:eastAsia="SimSun"/>
          <w:snapToGrid w:val="0"/>
          <w:color w:val="000000"/>
          <w:lang w:eastAsia="de-DE" w:bidi="en-US"/>
        </w:rPr>
        <w:t>determined by the manufacturer and utilizing approved reagent and standards (Roche, Switzerland).</w:t>
      </w:r>
    </w:p>
    <w:p w14:paraId="2BFB1F2D" w14:textId="0E1E0127" w:rsidR="0011683F" w:rsidRDefault="0011683F" w:rsidP="0011683F">
      <w:pPr>
        <w:pStyle w:val="NormalWeb"/>
        <w:spacing w:line="360" w:lineRule="auto"/>
        <w:rPr>
          <w:rFonts w:eastAsia="SimSun"/>
          <w:snapToGrid w:val="0"/>
          <w:color w:val="000000"/>
          <w:lang w:eastAsia="de-DE" w:bidi="en-US"/>
        </w:rPr>
      </w:pPr>
    </w:p>
    <w:p w14:paraId="11D12F1A" w14:textId="214EA717" w:rsidR="0011683F" w:rsidRPr="00787FB7" w:rsidRDefault="0011683F" w:rsidP="00787FB7">
      <w:pPr>
        <w:rPr>
          <w:rFonts w:ascii="Times New Roman" w:eastAsia="SimSun" w:hAnsi="Times New Roman" w:cs="Times New Roman"/>
          <w:snapToGrid w:val="0"/>
          <w:color w:val="000000"/>
          <w:lang w:eastAsia="de-DE" w:bidi="en-US"/>
        </w:rPr>
      </w:pPr>
      <w:r>
        <w:rPr>
          <w:rFonts w:eastAsia="SimSun"/>
          <w:snapToGrid w:val="0"/>
          <w:color w:val="000000"/>
          <w:lang w:eastAsia="de-DE" w:bidi="en-US"/>
        </w:rPr>
        <w:br w:type="page"/>
      </w:r>
    </w:p>
    <w:tbl>
      <w:tblPr>
        <w:tblStyle w:val="TableGrid"/>
        <w:tblpPr w:leftFromText="180" w:rightFromText="180" w:vertAnchor="page" w:horzAnchor="margin" w:tblpY="1859"/>
        <w:tblW w:w="5000" w:type="pct"/>
        <w:tblBorders>
          <w:top w:val="single" w:sz="8" w:space="0" w:color="auto"/>
          <w:left w:val="none" w:sz="0" w:space="0" w:color="auto"/>
          <w:bottom w:val="single" w:sz="8" w:space="0" w:color="auto"/>
          <w:right w:val="none" w:sz="0" w:space="0" w:color="auto"/>
          <w:insideV w:val="none" w:sz="0" w:space="0" w:color="auto"/>
        </w:tblBorders>
        <w:tblCellMar>
          <w:left w:w="0" w:type="dxa"/>
          <w:right w:w="0" w:type="dxa"/>
        </w:tblCellMar>
        <w:tblLook w:val="06A0" w:firstRow="1" w:lastRow="0" w:firstColumn="1" w:lastColumn="0" w:noHBand="1" w:noVBand="1"/>
      </w:tblPr>
      <w:tblGrid>
        <w:gridCol w:w="3150"/>
        <w:gridCol w:w="1498"/>
        <w:gridCol w:w="2288"/>
        <w:gridCol w:w="2424"/>
      </w:tblGrid>
      <w:tr w:rsidR="00730F88" w:rsidRPr="00694EC1" w14:paraId="57B56F6E" w14:textId="77777777" w:rsidTr="00F34034">
        <w:trPr>
          <w:trHeight w:val="667"/>
        </w:trPr>
        <w:tc>
          <w:tcPr>
            <w:tcW w:w="1683" w:type="pct"/>
            <w:tcBorders>
              <w:top w:val="single" w:sz="8" w:space="0" w:color="auto"/>
              <w:bottom w:val="single" w:sz="4" w:space="0" w:color="auto"/>
            </w:tcBorders>
            <w:shd w:val="clear" w:color="auto" w:fill="auto"/>
            <w:vAlign w:val="center"/>
          </w:tcPr>
          <w:p w14:paraId="2980C398" w14:textId="77777777" w:rsidR="00730F88" w:rsidRPr="00694EC1" w:rsidRDefault="00730F88" w:rsidP="00730F88">
            <w:pPr>
              <w:pStyle w:val="MDPI42tablebody"/>
              <w:autoSpaceDE w:val="0"/>
              <w:autoSpaceDN w:val="0"/>
              <w:spacing w:line="360" w:lineRule="auto"/>
              <w:rPr>
                <w:rFonts w:ascii="Times New Roman" w:eastAsia="Calibri" w:hAnsi="Times New Roman"/>
                <w:b/>
                <w:bCs/>
                <w:sz w:val="24"/>
                <w:szCs w:val="24"/>
              </w:rPr>
            </w:pPr>
            <w:r w:rsidRPr="00694EC1">
              <w:rPr>
                <w:rFonts w:ascii="Times New Roman" w:eastAsia="Calibri" w:hAnsi="Times New Roman"/>
                <w:b/>
                <w:bCs/>
                <w:sz w:val="24"/>
                <w:szCs w:val="24"/>
              </w:rPr>
              <w:lastRenderedPageBreak/>
              <w:t>Nutrient</w:t>
            </w:r>
          </w:p>
        </w:tc>
        <w:tc>
          <w:tcPr>
            <w:tcW w:w="800" w:type="pct"/>
            <w:tcBorders>
              <w:top w:val="single" w:sz="8" w:space="0" w:color="auto"/>
              <w:bottom w:val="single" w:sz="4" w:space="0" w:color="auto"/>
            </w:tcBorders>
            <w:shd w:val="clear" w:color="auto" w:fill="auto"/>
            <w:vAlign w:val="center"/>
          </w:tcPr>
          <w:p w14:paraId="4BDC55E4" w14:textId="77777777" w:rsidR="00730F88" w:rsidRPr="00694EC1" w:rsidRDefault="00730F88" w:rsidP="00730F88">
            <w:pPr>
              <w:pStyle w:val="MDPI42tablebody"/>
              <w:autoSpaceDE w:val="0"/>
              <w:autoSpaceDN w:val="0"/>
              <w:spacing w:line="360" w:lineRule="auto"/>
              <w:rPr>
                <w:rFonts w:ascii="Times New Roman" w:eastAsia="Calibri" w:hAnsi="Times New Roman"/>
                <w:b/>
                <w:bCs/>
                <w:sz w:val="24"/>
                <w:szCs w:val="24"/>
              </w:rPr>
            </w:pPr>
            <w:r w:rsidRPr="00694EC1">
              <w:rPr>
                <w:rFonts w:ascii="Times New Roman" w:eastAsia="Calibri" w:hAnsi="Times New Roman"/>
                <w:b/>
                <w:bCs/>
                <w:sz w:val="24"/>
                <w:szCs w:val="24"/>
              </w:rPr>
              <w:t>Timothy Hay</w:t>
            </w:r>
          </w:p>
        </w:tc>
        <w:tc>
          <w:tcPr>
            <w:tcW w:w="1222" w:type="pct"/>
            <w:tcBorders>
              <w:top w:val="single" w:sz="8" w:space="0" w:color="auto"/>
              <w:bottom w:val="single" w:sz="4" w:space="0" w:color="auto"/>
            </w:tcBorders>
            <w:shd w:val="clear" w:color="auto" w:fill="auto"/>
            <w:vAlign w:val="center"/>
          </w:tcPr>
          <w:p w14:paraId="5ED7E418" w14:textId="77777777" w:rsidR="00730F88" w:rsidRPr="00694EC1" w:rsidRDefault="00730F88" w:rsidP="00730F88">
            <w:pPr>
              <w:pStyle w:val="MDPI42tablebody"/>
              <w:autoSpaceDE w:val="0"/>
              <w:autoSpaceDN w:val="0"/>
              <w:spacing w:line="360" w:lineRule="auto"/>
              <w:rPr>
                <w:rFonts w:ascii="Times New Roman" w:eastAsia="Calibri" w:hAnsi="Times New Roman"/>
                <w:b/>
                <w:bCs/>
                <w:sz w:val="24"/>
                <w:szCs w:val="24"/>
              </w:rPr>
            </w:pPr>
            <w:r w:rsidRPr="00694EC1">
              <w:rPr>
                <w:rFonts w:ascii="Times New Roman" w:eastAsia="Calibri" w:hAnsi="Times New Roman"/>
                <w:b/>
                <w:bCs/>
                <w:sz w:val="24"/>
                <w:szCs w:val="24"/>
              </w:rPr>
              <w:t>Equine Senior</w:t>
            </w:r>
          </w:p>
        </w:tc>
        <w:tc>
          <w:tcPr>
            <w:tcW w:w="1296" w:type="pct"/>
            <w:tcBorders>
              <w:top w:val="single" w:sz="8" w:space="0" w:color="auto"/>
              <w:bottom w:val="single" w:sz="4" w:space="0" w:color="auto"/>
            </w:tcBorders>
            <w:shd w:val="clear" w:color="auto" w:fill="auto"/>
            <w:vAlign w:val="center"/>
          </w:tcPr>
          <w:p w14:paraId="1B564583" w14:textId="77777777" w:rsidR="00730F88" w:rsidRPr="00694EC1" w:rsidRDefault="00730F88" w:rsidP="00730F88">
            <w:pPr>
              <w:pStyle w:val="MDPI42tablebody"/>
              <w:autoSpaceDE w:val="0"/>
              <w:autoSpaceDN w:val="0"/>
              <w:spacing w:line="360" w:lineRule="auto"/>
              <w:rPr>
                <w:rFonts w:ascii="Times New Roman" w:eastAsia="Calibri" w:hAnsi="Times New Roman"/>
                <w:b/>
                <w:bCs/>
                <w:sz w:val="24"/>
                <w:szCs w:val="24"/>
              </w:rPr>
            </w:pPr>
            <w:r w:rsidRPr="00694EC1">
              <w:rPr>
                <w:rFonts w:ascii="Times New Roman" w:eastAsia="Calibri" w:hAnsi="Times New Roman"/>
                <w:b/>
                <w:bCs/>
                <w:sz w:val="24"/>
                <w:szCs w:val="24"/>
              </w:rPr>
              <w:t>Free Balance Mineral</w:t>
            </w:r>
          </w:p>
        </w:tc>
      </w:tr>
      <w:tr w:rsidR="00730F88" w:rsidRPr="00694EC1" w14:paraId="51BF79EB" w14:textId="77777777" w:rsidTr="00F34034">
        <w:trPr>
          <w:trHeight w:val="667"/>
        </w:trPr>
        <w:tc>
          <w:tcPr>
            <w:tcW w:w="1683" w:type="pct"/>
            <w:tcBorders>
              <w:top w:val="single" w:sz="4" w:space="0" w:color="auto"/>
            </w:tcBorders>
            <w:shd w:val="clear" w:color="auto" w:fill="auto"/>
            <w:vAlign w:val="center"/>
          </w:tcPr>
          <w:p w14:paraId="6680BBAE"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Digestible Energy (</w:t>
            </w:r>
            <w:proofErr w:type="spellStart"/>
            <w:r w:rsidRPr="00694EC1">
              <w:rPr>
                <w:rFonts w:ascii="Times New Roman" w:eastAsia="Calibri" w:hAnsi="Times New Roman"/>
                <w:sz w:val="24"/>
                <w:szCs w:val="24"/>
              </w:rPr>
              <w:t>mCal</w:t>
            </w:r>
            <w:proofErr w:type="spellEnd"/>
            <w:r w:rsidRPr="00694EC1">
              <w:rPr>
                <w:rFonts w:ascii="Times New Roman" w:eastAsia="Calibri" w:hAnsi="Times New Roman"/>
                <w:sz w:val="24"/>
                <w:szCs w:val="24"/>
              </w:rPr>
              <w:t>/kg)</w:t>
            </w:r>
          </w:p>
        </w:tc>
        <w:tc>
          <w:tcPr>
            <w:tcW w:w="800" w:type="pct"/>
            <w:tcBorders>
              <w:top w:val="single" w:sz="4" w:space="0" w:color="auto"/>
            </w:tcBorders>
            <w:shd w:val="clear" w:color="auto" w:fill="auto"/>
            <w:vAlign w:val="center"/>
          </w:tcPr>
          <w:p w14:paraId="73ACF18D"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1.95</w:t>
            </w:r>
          </w:p>
        </w:tc>
        <w:tc>
          <w:tcPr>
            <w:tcW w:w="1222" w:type="pct"/>
            <w:tcBorders>
              <w:top w:val="single" w:sz="4" w:space="0" w:color="auto"/>
            </w:tcBorders>
            <w:shd w:val="clear" w:color="auto" w:fill="auto"/>
            <w:vAlign w:val="center"/>
          </w:tcPr>
          <w:p w14:paraId="4CBBAB47"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2.7</w:t>
            </w:r>
          </w:p>
        </w:tc>
        <w:tc>
          <w:tcPr>
            <w:tcW w:w="1296" w:type="pct"/>
            <w:tcBorders>
              <w:top w:val="single" w:sz="4" w:space="0" w:color="auto"/>
            </w:tcBorders>
            <w:shd w:val="clear" w:color="auto" w:fill="auto"/>
            <w:vAlign w:val="center"/>
          </w:tcPr>
          <w:p w14:paraId="56A6A2C6"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w:t>
            </w:r>
          </w:p>
        </w:tc>
      </w:tr>
      <w:tr w:rsidR="00730F88" w:rsidRPr="00694EC1" w14:paraId="662E609A" w14:textId="77777777" w:rsidTr="00F34034">
        <w:trPr>
          <w:trHeight w:val="322"/>
        </w:trPr>
        <w:tc>
          <w:tcPr>
            <w:tcW w:w="1683" w:type="pct"/>
            <w:shd w:val="clear" w:color="auto" w:fill="auto"/>
            <w:vAlign w:val="center"/>
          </w:tcPr>
          <w:p w14:paraId="39B50D1B"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Protein (%)</w:t>
            </w:r>
          </w:p>
        </w:tc>
        <w:tc>
          <w:tcPr>
            <w:tcW w:w="800" w:type="pct"/>
            <w:shd w:val="clear" w:color="auto" w:fill="auto"/>
            <w:vAlign w:val="center"/>
          </w:tcPr>
          <w:p w14:paraId="71C48B63"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9.88</w:t>
            </w:r>
          </w:p>
        </w:tc>
        <w:tc>
          <w:tcPr>
            <w:tcW w:w="1222" w:type="pct"/>
            <w:shd w:val="clear" w:color="auto" w:fill="auto"/>
            <w:vAlign w:val="center"/>
          </w:tcPr>
          <w:p w14:paraId="1C245937"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15.5</w:t>
            </w:r>
          </w:p>
        </w:tc>
        <w:tc>
          <w:tcPr>
            <w:tcW w:w="1296" w:type="pct"/>
            <w:shd w:val="clear" w:color="auto" w:fill="auto"/>
            <w:vAlign w:val="center"/>
          </w:tcPr>
          <w:p w14:paraId="397F5D63"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1.55</w:t>
            </w:r>
          </w:p>
        </w:tc>
      </w:tr>
      <w:tr w:rsidR="00730F88" w:rsidRPr="00694EC1" w14:paraId="2816A8F0" w14:textId="77777777" w:rsidTr="00F34034">
        <w:trPr>
          <w:trHeight w:val="322"/>
        </w:trPr>
        <w:tc>
          <w:tcPr>
            <w:tcW w:w="1683" w:type="pct"/>
            <w:shd w:val="clear" w:color="auto" w:fill="auto"/>
            <w:vAlign w:val="center"/>
          </w:tcPr>
          <w:p w14:paraId="1C3CD248"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Lysine (%)</w:t>
            </w:r>
          </w:p>
        </w:tc>
        <w:tc>
          <w:tcPr>
            <w:tcW w:w="800" w:type="pct"/>
            <w:shd w:val="clear" w:color="auto" w:fill="auto"/>
            <w:vAlign w:val="center"/>
          </w:tcPr>
          <w:p w14:paraId="645BE1EE"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0.34</w:t>
            </w:r>
          </w:p>
        </w:tc>
        <w:tc>
          <w:tcPr>
            <w:tcW w:w="1222" w:type="pct"/>
            <w:shd w:val="clear" w:color="auto" w:fill="auto"/>
            <w:vAlign w:val="center"/>
          </w:tcPr>
          <w:p w14:paraId="33F75622"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0.7</w:t>
            </w:r>
          </w:p>
        </w:tc>
        <w:tc>
          <w:tcPr>
            <w:tcW w:w="1296" w:type="pct"/>
            <w:shd w:val="clear" w:color="auto" w:fill="auto"/>
            <w:vAlign w:val="center"/>
          </w:tcPr>
          <w:p w14:paraId="32B014B1"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N/A</w:t>
            </w:r>
          </w:p>
        </w:tc>
      </w:tr>
      <w:tr w:rsidR="00730F88" w:rsidRPr="00694EC1" w14:paraId="68E51458" w14:textId="77777777" w:rsidTr="00F34034">
        <w:trPr>
          <w:trHeight w:val="322"/>
        </w:trPr>
        <w:tc>
          <w:tcPr>
            <w:tcW w:w="1683" w:type="pct"/>
            <w:shd w:val="clear" w:color="auto" w:fill="auto"/>
            <w:vAlign w:val="center"/>
          </w:tcPr>
          <w:p w14:paraId="085BC27A"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Fat (%)</w:t>
            </w:r>
          </w:p>
        </w:tc>
        <w:tc>
          <w:tcPr>
            <w:tcW w:w="800" w:type="pct"/>
            <w:shd w:val="clear" w:color="auto" w:fill="auto"/>
            <w:vAlign w:val="center"/>
          </w:tcPr>
          <w:p w14:paraId="43407A24"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1.29</w:t>
            </w:r>
          </w:p>
        </w:tc>
        <w:tc>
          <w:tcPr>
            <w:tcW w:w="1222" w:type="pct"/>
            <w:shd w:val="clear" w:color="auto" w:fill="auto"/>
            <w:vAlign w:val="center"/>
          </w:tcPr>
          <w:p w14:paraId="1B9A9D48"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6.2</w:t>
            </w:r>
          </w:p>
        </w:tc>
        <w:tc>
          <w:tcPr>
            <w:tcW w:w="1296" w:type="pct"/>
            <w:shd w:val="clear" w:color="auto" w:fill="auto"/>
            <w:vAlign w:val="center"/>
          </w:tcPr>
          <w:p w14:paraId="1590A3B5"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0.1</w:t>
            </w:r>
          </w:p>
        </w:tc>
      </w:tr>
      <w:tr w:rsidR="00730F88" w:rsidRPr="00694EC1" w14:paraId="49F109FF" w14:textId="77777777" w:rsidTr="00F34034">
        <w:trPr>
          <w:trHeight w:val="322"/>
        </w:trPr>
        <w:tc>
          <w:tcPr>
            <w:tcW w:w="1683" w:type="pct"/>
            <w:shd w:val="clear" w:color="auto" w:fill="auto"/>
            <w:vAlign w:val="center"/>
          </w:tcPr>
          <w:p w14:paraId="374A59A6"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Acid Detergent Fiber (%)</w:t>
            </w:r>
          </w:p>
        </w:tc>
        <w:tc>
          <w:tcPr>
            <w:tcW w:w="800" w:type="pct"/>
            <w:shd w:val="clear" w:color="auto" w:fill="auto"/>
            <w:vAlign w:val="center"/>
          </w:tcPr>
          <w:p w14:paraId="3A5DFB70"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39.50</w:t>
            </w:r>
          </w:p>
        </w:tc>
        <w:tc>
          <w:tcPr>
            <w:tcW w:w="1222" w:type="pct"/>
            <w:shd w:val="clear" w:color="auto" w:fill="auto"/>
            <w:vAlign w:val="center"/>
          </w:tcPr>
          <w:p w14:paraId="4283D220"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22.54</w:t>
            </w:r>
          </w:p>
        </w:tc>
        <w:tc>
          <w:tcPr>
            <w:tcW w:w="1296" w:type="pct"/>
            <w:shd w:val="clear" w:color="auto" w:fill="auto"/>
            <w:vAlign w:val="center"/>
          </w:tcPr>
          <w:p w14:paraId="5620F8AE"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N/A</w:t>
            </w:r>
          </w:p>
        </w:tc>
      </w:tr>
      <w:tr w:rsidR="00730F88" w:rsidRPr="00694EC1" w14:paraId="37666DDE" w14:textId="77777777" w:rsidTr="00F34034">
        <w:trPr>
          <w:trHeight w:val="667"/>
        </w:trPr>
        <w:tc>
          <w:tcPr>
            <w:tcW w:w="1683" w:type="pct"/>
            <w:shd w:val="clear" w:color="auto" w:fill="auto"/>
            <w:vAlign w:val="center"/>
          </w:tcPr>
          <w:p w14:paraId="3F194CDC"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Neutral Detergent Fiber (%)</w:t>
            </w:r>
          </w:p>
        </w:tc>
        <w:tc>
          <w:tcPr>
            <w:tcW w:w="800" w:type="pct"/>
            <w:shd w:val="clear" w:color="auto" w:fill="auto"/>
            <w:vAlign w:val="center"/>
          </w:tcPr>
          <w:p w14:paraId="48A669DD"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62.23</w:t>
            </w:r>
          </w:p>
        </w:tc>
        <w:tc>
          <w:tcPr>
            <w:tcW w:w="1222" w:type="pct"/>
            <w:shd w:val="clear" w:color="auto" w:fill="auto"/>
            <w:vAlign w:val="center"/>
          </w:tcPr>
          <w:p w14:paraId="33382A3D"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38.89</w:t>
            </w:r>
          </w:p>
        </w:tc>
        <w:tc>
          <w:tcPr>
            <w:tcW w:w="1296" w:type="pct"/>
            <w:shd w:val="clear" w:color="auto" w:fill="auto"/>
            <w:vAlign w:val="center"/>
          </w:tcPr>
          <w:p w14:paraId="0CB92FAB"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N/A</w:t>
            </w:r>
          </w:p>
        </w:tc>
      </w:tr>
      <w:tr w:rsidR="00730F88" w:rsidRPr="00694EC1" w14:paraId="3ACB7A5B" w14:textId="77777777" w:rsidTr="00F34034">
        <w:trPr>
          <w:trHeight w:val="322"/>
        </w:trPr>
        <w:tc>
          <w:tcPr>
            <w:tcW w:w="1683" w:type="pct"/>
            <w:shd w:val="clear" w:color="auto" w:fill="auto"/>
            <w:vAlign w:val="center"/>
          </w:tcPr>
          <w:p w14:paraId="6F91A0B5"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Calcium (%)</w:t>
            </w:r>
          </w:p>
        </w:tc>
        <w:tc>
          <w:tcPr>
            <w:tcW w:w="800" w:type="pct"/>
            <w:shd w:val="clear" w:color="auto" w:fill="auto"/>
            <w:vAlign w:val="center"/>
          </w:tcPr>
          <w:p w14:paraId="40CF2F66"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0.21</w:t>
            </w:r>
          </w:p>
        </w:tc>
        <w:tc>
          <w:tcPr>
            <w:tcW w:w="1222" w:type="pct"/>
            <w:shd w:val="clear" w:color="auto" w:fill="auto"/>
            <w:vAlign w:val="center"/>
          </w:tcPr>
          <w:p w14:paraId="675A2868"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0.77</w:t>
            </w:r>
          </w:p>
        </w:tc>
        <w:tc>
          <w:tcPr>
            <w:tcW w:w="1296" w:type="pct"/>
            <w:shd w:val="clear" w:color="auto" w:fill="auto"/>
            <w:vAlign w:val="center"/>
          </w:tcPr>
          <w:p w14:paraId="08CCFB25"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13.52</w:t>
            </w:r>
          </w:p>
        </w:tc>
      </w:tr>
      <w:tr w:rsidR="00730F88" w:rsidRPr="00694EC1" w14:paraId="0372AE09" w14:textId="77777777" w:rsidTr="00F34034">
        <w:trPr>
          <w:trHeight w:val="322"/>
        </w:trPr>
        <w:tc>
          <w:tcPr>
            <w:tcW w:w="1683" w:type="pct"/>
            <w:shd w:val="clear" w:color="auto" w:fill="auto"/>
            <w:vAlign w:val="center"/>
          </w:tcPr>
          <w:p w14:paraId="2B21CC94"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Phosphate (%)</w:t>
            </w:r>
          </w:p>
        </w:tc>
        <w:tc>
          <w:tcPr>
            <w:tcW w:w="800" w:type="pct"/>
            <w:shd w:val="clear" w:color="auto" w:fill="auto"/>
            <w:vAlign w:val="center"/>
          </w:tcPr>
          <w:p w14:paraId="4AB2033C"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0.27</w:t>
            </w:r>
          </w:p>
        </w:tc>
        <w:tc>
          <w:tcPr>
            <w:tcW w:w="1222" w:type="pct"/>
            <w:shd w:val="clear" w:color="auto" w:fill="auto"/>
            <w:vAlign w:val="center"/>
          </w:tcPr>
          <w:p w14:paraId="2A32FADA"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0.55</w:t>
            </w:r>
          </w:p>
        </w:tc>
        <w:tc>
          <w:tcPr>
            <w:tcW w:w="1296" w:type="pct"/>
            <w:shd w:val="clear" w:color="auto" w:fill="auto"/>
            <w:vAlign w:val="center"/>
          </w:tcPr>
          <w:p w14:paraId="00CE3FD0"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12.66</w:t>
            </w:r>
          </w:p>
        </w:tc>
      </w:tr>
      <w:tr w:rsidR="00730F88" w:rsidRPr="00694EC1" w14:paraId="33C07B72" w14:textId="77777777" w:rsidTr="00F34034">
        <w:trPr>
          <w:trHeight w:val="322"/>
        </w:trPr>
        <w:tc>
          <w:tcPr>
            <w:tcW w:w="1683" w:type="pct"/>
            <w:shd w:val="clear" w:color="auto" w:fill="auto"/>
            <w:vAlign w:val="center"/>
          </w:tcPr>
          <w:p w14:paraId="618B4DD6" w14:textId="77777777" w:rsidR="00730F88" w:rsidRPr="00694EC1" w:rsidRDefault="00730F88" w:rsidP="00730F88">
            <w:pPr>
              <w:pStyle w:val="MDPI42tablebody"/>
              <w:autoSpaceDE w:val="0"/>
              <w:autoSpaceDN w:val="0"/>
              <w:spacing w:line="360" w:lineRule="auto"/>
              <w:rPr>
                <w:rFonts w:ascii="Times New Roman" w:hAnsi="Times New Roman"/>
                <w:sz w:val="24"/>
                <w:szCs w:val="24"/>
              </w:rPr>
            </w:pPr>
            <w:r w:rsidRPr="00694EC1">
              <w:rPr>
                <w:rFonts w:ascii="Times New Roman" w:eastAsia="Calibri" w:hAnsi="Times New Roman"/>
                <w:sz w:val="24"/>
                <w:szCs w:val="24"/>
              </w:rPr>
              <w:t>Potassium (%)</w:t>
            </w:r>
          </w:p>
        </w:tc>
        <w:tc>
          <w:tcPr>
            <w:tcW w:w="800" w:type="pct"/>
            <w:shd w:val="clear" w:color="auto" w:fill="auto"/>
            <w:vAlign w:val="center"/>
          </w:tcPr>
          <w:p w14:paraId="3835E36A"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2.39</w:t>
            </w:r>
          </w:p>
        </w:tc>
        <w:tc>
          <w:tcPr>
            <w:tcW w:w="1222" w:type="pct"/>
            <w:shd w:val="clear" w:color="auto" w:fill="auto"/>
            <w:vAlign w:val="center"/>
          </w:tcPr>
          <w:p w14:paraId="06623DD7"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1.6</w:t>
            </w:r>
          </w:p>
        </w:tc>
        <w:tc>
          <w:tcPr>
            <w:tcW w:w="1296" w:type="pct"/>
            <w:shd w:val="clear" w:color="auto" w:fill="auto"/>
            <w:vAlign w:val="center"/>
          </w:tcPr>
          <w:p w14:paraId="01EB1CE7" w14:textId="77777777" w:rsidR="00730F88" w:rsidRPr="00694EC1" w:rsidRDefault="00730F88" w:rsidP="00730F88">
            <w:pPr>
              <w:pStyle w:val="MDPI42tablebody"/>
              <w:autoSpaceDE w:val="0"/>
              <w:autoSpaceDN w:val="0"/>
              <w:spacing w:line="360" w:lineRule="auto"/>
              <w:rPr>
                <w:rFonts w:ascii="Times New Roman" w:eastAsia="Calibri" w:hAnsi="Times New Roman"/>
                <w:sz w:val="24"/>
                <w:szCs w:val="24"/>
              </w:rPr>
            </w:pPr>
            <w:r w:rsidRPr="00694EC1">
              <w:rPr>
                <w:rFonts w:ascii="Times New Roman" w:eastAsia="Calibri" w:hAnsi="Times New Roman"/>
                <w:sz w:val="24"/>
                <w:szCs w:val="24"/>
              </w:rPr>
              <w:t>0.66</w:t>
            </w:r>
          </w:p>
        </w:tc>
      </w:tr>
    </w:tbl>
    <w:p w14:paraId="7848A932" w14:textId="569C0C2D" w:rsidR="004F2CE2" w:rsidRPr="00787FB7" w:rsidRDefault="00730F88" w:rsidP="00787FB7">
      <w:pPr>
        <w:pStyle w:val="Caption"/>
        <w:spacing w:line="360" w:lineRule="auto"/>
      </w:pPr>
      <w:bookmarkStart w:id="16" w:name="_Toc151459310"/>
      <w:r>
        <w:t xml:space="preserve">Table </w:t>
      </w:r>
      <w:fldSimple w:instr=" SEQ Table \* ARABIC ">
        <w:r>
          <w:rPr>
            <w:noProof/>
          </w:rPr>
          <w:t>2</w:t>
        </w:r>
      </w:fldSimple>
      <w:r>
        <w:t xml:space="preserve">. </w:t>
      </w:r>
      <w:r w:rsidRPr="00694EC1">
        <w:t>Nutrient analysis of forage of diet components</w:t>
      </w:r>
      <w:r w:rsidRPr="00A44E3C">
        <w:t>.</w:t>
      </w:r>
      <w:bookmarkEnd w:id="16"/>
      <w:r w:rsidR="004F2CE2">
        <w:rPr>
          <w:rFonts w:eastAsia="SimSun"/>
          <w:snapToGrid w:val="0"/>
          <w:color w:val="000000"/>
          <w:lang w:eastAsia="de-DE" w:bidi="en-US"/>
        </w:rPr>
        <w:br w:type="page"/>
      </w:r>
    </w:p>
    <w:tbl>
      <w:tblPr>
        <w:tblStyle w:val="TableGrid"/>
        <w:tblpPr w:leftFromText="180" w:rightFromText="180" w:vertAnchor="text" w:horzAnchor="margin" w:tblpY="605"/>
        <w:tblW w:w="5000" w:type="pct"/>
        <w:tblBorders>
          <w:top w:val="single" w:sz="8" w:space="0" w:color="auto"/>
          <w:left w:val="none" w:sz="0" w:space="0" w:color="auto"/>
          <w:bottom w:val="single" w:sz="8" w:space="0" w:color="auto"/>
          <w:right w:val="none" w:sz="0" w:space="0" w:color="auto"/>
          <w:insideV w:val="none" w:sz="0" w:space="0" w:color="auto"/>
        </w:tblBorders>
        <w:tblCellMar>
          <w:left w:w="0" w:type="dxa"/>
          <w:right w:w="0" w:type="dxa"/>
        </w:tblCellMar>
        <w:tblLook w:val="06A0" w:firstRow="1" w:lastRow="0" w:firstColumn="1" w:lastColumn="0" w:noHBand="1" w:noVBand="1"/>
      </w:tblPr>
      <w:tblGrid>
        <w:gridCol w:w="3710"/>
        <w:gridCol w:w="2026"/>
        <w:gridCol w:w="1282"/>
        <w:gridCol w:w="2342"/>
      </w:tblGrid>
      <w:tr w:rsidR="00787FB7" w:rsidRPr="00220667" w14:paraId="5FA46168" w14:textId="77777777" w:rsidTr="00F34034">
        <w:trPr>
          <w:trHeight w:val="314"/>
        </w:trPr>
        <w:tc>
          <w:tcPr>
            <w:tcW w:w="1982" w:type="pct"/>
            <w:tcBorders>
              <w:top w:val="single" w:sz="8" w:space="0" w:color="auto"/>
              <w:bottom w:val="single" w:sz="4" w:space="0" w:color="auto"/>
            </w:tcBorders>
            <w:shd w:val="clear" w:color="auto" w:fill="auto"/>
            <w:vAlign w:val="center"/>
          </w:tcPr>
          <w:p w14:paraId="0F2280CB" w14:textId="77777777" w:rsidR="00787FB7" w:rsidRPr="00220667" w:rsidRDefault="00787FB7" w:rsidP="00FE46D9">
            <w:pPr>
              <w:pStyle w:val="MDPI42tablebody"/>
              <w:autoSpaceDE w:val="0"/>
              <w:autoSpaceDN w:val="0"/>
              <w:spacing w:line="360" w:lineRule="auto"/>
              <w:rPr>
                <w:rFonts w:ascii="Times New Roman" w:eastAsia="Calibri" w:hAnsi="Times New Roman"/>
                <w:b/>
                <w:bCs/>
                <w:sz w:val="24"/>
                <w:szCs w:val="24"/>
              </w:rPr>
            </w:pPr>
            <w:r w:rsidRPr="00220667">
              <w:rPr>
                <w:rFonts w:ascii="Times New Roman" w:eastAsia="Calibri" w:hAnsi="Times New Roman"/>
                <w:b/>
                <w:bCs/>
                <w:sz w:val="24"/>
                <w:szCs w:val="24"/>
              </w:rPr>
              <w:lastRenderedPageBreak/>
              <w:t>Analyte</w:t>
            </w:r>
          </w:p>
        </w:tc>
        <w:tc>
          <w:tcPr>
            <w:tcW w:w="1082" w:type="pct"/>
            <w:tcBorders>
              <w:top w:val="single" w:sz="8" w:space="0" w:color="auto"/>
              <w:bottom w:val="single" w:sz="4" w:space="0" w:color="auto"/>
            </w:tcBorders>
            <w:shd w:val="clear" w:color="auto" w:fill="auto"/>
            <w:vAlign w:val="center"/>
          </w:tcPr>
          <w:p w14:paraId="39B3B780" w14:textId="77777777" w:rsidR="00787FB7" w:rsidRPr="00220667" w:rsidRDefault="00787FB7" w:rsidP="00FE46D9">
            <w:pPr>
              <w:pStyle w:val="MDPI42tablebody"/>
              <w:autoSpaceDE w:val="0"/>
              <w:autoSpaceDN w:val="0"/>
              <w:spacing w:line="360" w:lineRule="auto"/>
              <w:rPr>
                <w:rFonts w:ascii="Times New Roman" w:eastAsia="Calibri" w:hAnsi="Times New Roman"/>
                <w:b/>
                <w:bCs/>
                <w:sz w:val="24"/>
                <w:szCs w:val="24"/>
              </w:rPr>
            </w:pPr>
            <w:r w:rsidRPr="00220667">
              <w:rPr>
                <w:rFonts w:ascii="Times New Roman" w:eastAsia="Calibri" w:hAnsi="Times New Roman"/>
                <w:b/>
                <w:bCs/>
                <w:sz w:val="24"/>
                <w:szCs w:val="24"/>
              </w:rPr>
              <w:t>Abbreviation</w:t>
            </w:r>
          </w:p>
        </w:tc>
        <w:tc>
          <w:tcPr>
            <w:tcW w:w="685" w:type="pct"/>
            <w:tcBorders>
              <w:top w:val="single" w:sz="8" w:space="0" w:color="auto"/>
              <w:bottom w:val="single" w:sz="4" w:space="0" w:color="auto"/>
            </w:tcBorders>
            <w:shd w:val="clear" w:color="auto" w:fill="auto"/>
            <w:vAlign w:val="center"/>
          </w:tcPr>
          <w:p w14:paraId="3E93757A" w14:textId="77777777" w:rsidR="00787FB7" w:rsidRPr="00220667" w:rsidRDefault="00787FB7" w:rsidP="00FE46D9">
            <w:pPr>
              <w:pStyle w:val="MDPI42tablebody"/>
              <w:autoSpaceDE w:val="0"/>
              <w:autoSpaceDN w:val="0"/>
              <w:spacing w:line="360" w:lineRule="auto"/>
              <w:rPr>
                <w:rFonts w:ascii="Times New Roman" w:eastAsia="Calibri" w:hAnsi="Times New Roman"/>
                <w:b/>
                <w:bCs/>
                <w:sz w:val="24"/>
                <w:szCs w:val="24"/>
              </w:rPr>
            </w:pPr>
            <w:r w:rsidRPr="00220667">
              <w:rPr>
                <w:rFonts w:ascii="Times New Roman" w:eastAsia="Calibri" w:hAnsi="Times New Roman"/>
                <w:b/>
                <w:bCs/>
                <w:sz w:val="24"/>
                <w:szCs w:val="24"/>
              </w:rPr>
              <w:t>Units</w:t>
            </w:r>
          </w:p>
        </w:tc>
        <w:tc>
          <w:tcPr>
            <w:tcW w:w="1251" w:type="pct"/>
            <w:tcBorders>
              <w:top w:val="single" w:sz="8" w:space="0" w:color="auto"/>
              <w:bottom w:val="single" w:sz="4" w:space="0" w:color="auto"/>
            </w:tcBorders>
            <w:shd w:val="clear" w:color="auto" w:fill="auto"/>
            <w:vAlign w:val="center"/>
          </w:tcPr>
          <w:p w14:paraId="3A0EAA34" w14:textId="77777777" w:rsidR="00787FB7" w:rsidRPr="00220667" w:rsidRDefault="00787FB7" w:rsidP="00FE46D9">
            <w:pPr>
              <w:pStyle w:val="MDPI42tablebody"/>
              <w:autoSpaceDE w:val="0"/>
              <w:autoSpaceDN w:val="0"/>
              <w:spacing w:line="360" w:lineRule="auto"/>
              <w:rPr>
                <w:rFonts w:ascii="Times New Roman" w:eastAsia="Calibri" w:hAnsi="Times New Roman"/>
                <w:b/>
                <w:bCs/>
                <w:sz w:val="24"/>
                <w:szCs w:val="24"/>
              </w:rPr>
            </w:pPr>
            <w:r w:rsidRPr="00220667">
              <w:rPr>
                <w:rFonts w:ascii="Times New Roman" w:eastAsia="Calibri" w:hAnsi="Times New Roman"/>
                <w:b/>
                <w:bCs/>
                <w:sz w:val="24"/>
                <w:szCs w:val="24"/>
              </w:rPr>
              <w:t>Matrix</w:t>
            </w:r>
          </w:p>
        </w:tc>
      </w:tr>
      <w:tr w:rsidR="00787FB7" w:rsidRPr="00220667" w14:paraId="5DBDD5C4" w14:textId="77777777" w:rsidTr="00F34034">
        <w:trPr>
          <w:trHeight w:val="295"/>
        </w:trPr>
        <w:tc>
          <w:tcPr>
            <w:tcW w:w="1982" w:type="pct"/>
            <w:tcBorders>
              <w:top w:val="single" w:sz="4" w:space="0" w:color="auto"/>
            </w:tcBorders>
            <w:shd w:val="clear" w:color="auto" w:fill="auto"/>
            <w:vAlign w:val="center"/>
          </w:tcPr>
          <w:p w14:paraId="4039CECA"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Lactate dehydrogenase</w:t>
            </w:r>
          </w:p>
        </w:tc>
        <w:tc>
          <w:tcPr>
            <w:tcW w:w="1082" w:type="pct"/>
            <w:tcBorders>
              <w:top w:val="single" w:sz="4" w:space="0" w:color="auto"/>
            </w:tcBorders>
            <w:shd w:val="clear" w:color="auto" w:fill="auto"/>
            <w:vAlign w:val="center"/>
          </w:tcPr>
          <w:p w14:paraId="04BEE677"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LDH</w:t>
            </w:r>
          </w:p>
        </w:tc>
        <w:tc>
          <w:tcPr>
            <w:tcW w:w="685" w:type="pct"/>
            <w:tcBorders>
              <w:top w:val="single" w:sz="4" w:space="0" w:color="auto"/>
            </w:tcBorders>
            <w:shd w:val="clear" w:color="auto" w:fill="auto"/>
            <w:vAlign w:val="center"/>
          </w:tcPr>
          <w:p w14:paraId="2A9C16DC"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U/L</w:t>
            </w:r>
          </w:p>
        </w:tc>
        <w:tc>
          <w:tcPr>
            <w:tcW w:w="1251" w:type="pct"/>
            <w:tcBorders>
              <w:top w:val="single" w:sz="4" w:space="0" w:color="auto"/>
            </w:tcBorders>
            <w:shd w:val="clear" w:color="auto" w:fill="auto"/>
            <w:vAlign w:val="center"/>
          </w:tcPr>
          <w:p w14:paraId="4125AF2B"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715F3F19" w14:textId="77777777" w:rsidTr="00F34034">
        <w:trPr>
          <w:trHeight w:val="295"/>
        </w:trPr>
        <w:tc>
          <w:tcPr>
            <w:tcW w:w="1982" w:type="pct"/>
            <w:shd w:val="clear" w:color="auto" w:fill="auto"/>
            <w:vAlign w:val="center"/>
          </w:tcPr>
          <w:p w14:paraId="56BEB58A"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Alkaline phosphatase</w:t>
            </w:r>
          </w:p>
        </w:tc>
        <w:tc>
          <w:tcPr>
            <w:tcW w:w="1082" w:type="pct"/>
            <w:shd w:val="clear" w:color="auto" w:fill="auto"/>
            <w:vAlign w:val="center"/>
          </w:tcPr>
          <w:p w14:paraId="6D475A34"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ALP</w:t>
            </w:r>
          </w:p>
        </w:tc>
        <w:tc>
          <w:tcPr>
            <w:tcW w:w="685" w:type="pct"/>
            <w:shd w:val="clear" w:color="auto" w:fill="auto"/>
            <w:vAlign w:val="center"/>
          </w:tcPr>
          <w:p w14:paraId="655C6C62"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U/L</w:t>
            </w:r>
          </w:p>
        </w:tc>
        <w:tc>
          <w:tcPr>
            <w:tcW w:w="1251" w:type="pct"/>
            <w:shd w:val="clear" w:color="auto" w:fill="auto"/>
            <w:vAlign w:val="center"/>
          </w:tcPr>
          <w:p w14:paraId="25B6D03B"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280BF09E" w14:textId="77777777" w:rsidTr="00F34034">
        <w:trPr>
          <w:trHeight w:val="295"/>
        </w:trPr>
        <w:tc>
          <w:tcPr>
            <w:tcW w:w="1982" w:type="pct"/>
            <w:shd w:val="clear" w:color="auto" w:fill="auto"/>
            <w:vAlign w:val="center"/>
          </w:tcPr>
          <w:p w14:paraId="6E048FD9"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Albumin</w:t>
            </w:r>
          </w:p>
        </w:tc>
        <w:tc>
          <w:tcPr>
            <w:tcW w:w="1082" w:type="pct"/>
            <w:shd w:val="clear" w:color="auto" w:fill="auto"/>
            <w:vAlign w:val="center"/>
          </w:tcPr>
          <w:p w14:paraId="400F7C15"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ALB</w:t>
            </w:r>
          </w:p>
        </w:tc>
        <w:tc>
          <w:tcPr>
            <w:tcW w:w="685" w:type="pct"/>
            <w:shd w:val="clear" w:color="auto" w:fill="auto"/>
            <w:vAlign w:val="center"/>
          </w:tcPr>
          <w:p w14:paraId="2D17FC09"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g/dL</w:t>
            </w:r>
          </w:p>
        </w:tc>
        <w:tc>
          <w:tcPr>
            <w:tcW w:w="1251" w:type="pct"/>
            <w:shd w:val="clear" w:color="auto" w:fill="auto"/>
            <w:vAlign w:val="center"/>
          </w:tcPr>
          <w:p w14:paraId="0C2CA6E9"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741C69FA" w14:textId="77777777" w:rsidTr="00F34034">
        <w:trPr>
          <w:trHeight w:val="295"/>
        </w:trPr>
        <w:tc>
          <w:tcPr>
            <w:tcW w:w="1982" w:type="pct"/>
            <w:shd w:val="clear" w:color="auto" w:fill="auto"/>
            <w:vAlign w:val="center"/>
          </w:tcPr>
          <w:p w14:paraId="6D1AAB2C"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Blood urea nitrogen</w:t>
            </w:r>
          </w:p>
        </w:tc>
        <w:tc>
          <w:tcPr>
            <w:tcW w:w="1082" w:type="pct"/>
            <w:shd w:val="clear" w:color="auto" w:fill="auto"/>
            <w:vAlign w:val="center"/>
          </w:tcPr>
          <w:p w14:paraId="3325A5A8"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BUN</w:t>
            </w:r>
          </w:p>
        </w:tc>
        <w:tc>
          <w:tcPr>
            <w:tcW w:w="685" w:type="pct"/>
            <w:shd w:val="clear" w:color="auto" w:fill="auto"/>
            <w:vAlign w:val="center"/>
          </w:tcPr>
          <w:p w14:paraId="4650DC72"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2725E705"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797C6655" w14:textId="77777777" w:rsidTr="00F34034">
        <w:trPr>
          <w:trHeight w:val="295"/>
        </w:trPr>
        <w:tc>
          <w:tcPr>
            <w:tcW w:w="1982" w:type="pct"/>
            <w:shd w:val="clear" w:color="auto" w:fill="auto"/>
            <w:vAlign w:val="center"/>
          </w:tcPr>
          <w:p w14:paraId="011AA0BF"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Gamma-glutamyl transferase</w:t>
            </w:r>
          </w:p>
        </w:tc>
        <w:tc>
          <w:tcPr>
            <w:tcW w:w="1082" w:type="pct"/>
            <w:shd w:val="clear" w:color="auto" w:fill="auto"/>
            <w:vAlign w:val="center"/>
          </w:tcPr>
          <w:p w14:paraId="75957BDA"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GGT</w:t>
            </w:r>
          </w:p>
        </w:tc>
        <w:tc>
          <w:tcPr>
            <w:tcW w:w="685" w:type="pct"/>
            <w:shd w:val="clear" w:color="auto" w:fill="auto"/>
            <w:vAlign w:val="center"/>
          </w:tcPr>
          <w:p w14:paraId="02BD4A71"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U/L</w:t>
            </w:r>
          </w:p>
        </w:tc>
        <w:tc>
          <w:tcPr>
            <w:tcW w:w="1251" w:type="pct"/>
            <w:shd w:val="clear" w:color="auto" w:fill="auto"/>
            <w:vAlign w:val="center"/>
          </w:tcPr>
          <w:p w14:paraId="32DD93D0"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14B10F39" w14:textId="77777777" w:rsidTr="00F34034">
        <w:trPr>
          <w:trHeight w:val="295"/>
        </w:trPr>
        <w:tc>
          <w:tcPr>
            <w:tcW w:w="1982" w:type="pct"/>
            <w:shd w:val="clear" w:color="auto" w:fill="auto"/>
            <w:vAlign w:val="center"/>
          </w:tcPr>
          <w:p w14:paraId="346EBE92"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Aspartate amino transferase</w:t>
            </w:r>
          </w:p>
        </w:tc>
        <w:tc>
          <w:tcPr>
            <w:tcW w:w="1082" w:type="pct"/>
            <w:shd w:val="clear" w:color="auto" w:fill="auto"/>
            <w:vAlign w:val="center"/>
          </w:tcPr>
          <w:p w14:paraId="1791ABE7"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AST</w:t>
            </w:r>
          </w:p>
        </w:tc>
        <w:tc>
          <w:tcPr>
            <w:tcW w:w="685" w:type="pct"/>
            <w:shd w:val="clear" w:color="auto" w:fill="auto"/>
            <w:vAlign w:val="center"/>
          </w:tcPr>
          <w:p w14:paraId="4A7C6D9F"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U/L</w:t>
            </w:r>
          </w:p>
        </w:tc>
        <w:tc>
          <w:tcPr>
            <w:tcW w:w="1251" w:type="pct"/>
            <w:shd w:val="clear" w:color="auto" w:fill="auto"/>
            <w:vAlign w:val="center"/>
          </w:tcPr>
          <w:p w14:paraId="22864927"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63109289" w14:textId="77777777" w:rsidTr="00F34034">
        <w:trPr>
          <w:trHeight w:val="295"/>
        </w:trPr>
        <w:tc>
          <w:tcPr>
            <w:tcW w:w="1982" w:type="pct"/>
            <w:shd w:val="clear" w:color="auto" w:fill="auto"/>
            <w:vAlign w:val="center"/>
          </w:tcPr>
          <w:p w14:paraId="67A1BE11"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Glucose</w:t>
            </w:r>
          </w:p>
        </w:tc>
        <w:tc>
          <w:tcPr>
            <w:tcW w:w="1082" w:type="pct"/>
            <w:shd w:val="clear" w:color="auto" w:fill="auto"/>
            <w:vAlign w:val="center"/>
          </w:tcPr>
          <w:p w14:paraId="43059381"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GLUC</w:t>
            </w:r>
          </w:p>
        </w:tc>
        <w:tc>
          <w:tcPr>
            <w:tcW w:w="685" w:type="pct"/>
            <w:shd w:val="clear" w:color="auto" w:fill="auto"/>
            <w:vAlign w:val="center"/>
          </w:tcPr>
          <w:p w14:paraId="47F882F8"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23C54C65"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58382265" w14:textId="77777777" w:rsidTr="00F34034">
        <w:trPr>
          <w:trHeight w:val="295"/>
        </w:trPr>
        <w:tc>
          <w:tcPr>
            <w:tcW w:w="1982" w:type="pct"/>
            <w:shd w:val="clear" w:color="auto" w:fill="auto"/>
            <w:vAlign w:val="center"/>
          </w:tcPr>
          <w:p w14:paraId="0DD2756D"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Phosphate</w:t>
            </w:r>
          </w:p>
        </w:tc>
        <w:tc>
          <w:tcPr>
            <w:tcW w:w="1082" w:type="pct"/>
            <w:shd w:val="clear" w:color="auto" w:fill="auto"/>
            <w:vAlign w:val="center"/>
          </w:tcPr>
          <w:p w14:paraId="5DEFA067"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PHOS</w:t>
            </w:r>
          </w:p>
        </w:tc>
        <w:tc>
          <w:tcPr>
            <w:tcW w:w="685" w:type="pct"/>
            <w:shd w:val="clear" w:color="auto" w:fill="auto"/>
            <w:vAlign w:val="center"/>
          </w:tcPr>
          <w:p w14:paraId="4CE96609"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30FC4036"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47EF2220" w14:textId="77777777" w:rsidTr="00F34034">
        <w:trPr>
          <w:trHeight w:val="295"/>
        </w:trPr>
        <w:tc>
          <w:tcPr>
            <w:tcW w:w="1982" w:type="pct"/>
            <w:shd w:val="clear" w:color="auto" w:fill="auto"/>
            <w:vAlign w:val="center"/>
          </w:tcPr>
          <w:p w14:paraId="7C8C612B"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Total protein</w:t>
            </w:r>
          </w:p>
        </w:tc>
        <w:tc>
          <w:tcPr>
            <w:tcW w:w="1082" w:type="pct"/>
            <w:shd w:val="clear" w:color="auto" w:fill="auto"/>
            <w:vAlign w:val="center"/>
          </w:tcPr>
          <w:p w14:paraId="30789EB7"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TP</w:t>
            </w:r>
          </w:p>
        </w:tc>
        <w:tc>
          <w:tcPr>
            <w:tcW w:w="685" w:type="pct"/>
            <w:shd w:val="clear" w:color="auto" w:fill="auto"/>
            <w:vAlign w:val="center"/>
          </w:tcPr>
          <w:p w14:paraId="1E6DA222"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g/dL</w:t>
            </w:r>
          </w:p>
        </w:tc>
        <w:tc>
          <w:tcPr>
            <w:tcW w:w="1251" w:type="pct"/>
            <w:shd w:val="clear" w:color="auto" w:fill="auto"/>
            <w:vAlign w:val="center"/>
          </w:tcPr>
          <w:p w14:paraId="6EF1A90C"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226C77E8" w14:textId="77777777" w:rsidTr="00F34034">
        <w:trPr>
          <w:trHeight w:val="295"/>
        </w:trPr>
        <w:tc>
          <w:tcPr>
            <w:tcW w:w="1982" w:type="pct"/>
            <w:shd w:val="clear" w:color="auto" w:fill="auto"/>
            <w:vAlign w:val="center"/>
          </w:tcPr>
          <w:p w14:paraId="3BFD0DB3"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Alanine transaminase</w:t>
            </w:r>
          </w:p>
        </w:tc>
        <w:tc>
          <w:tcPr>
            <w:tcW w:w="1082" w:type="pct"/>
            <w:shd w:val="clear" w:color="auto" w:fill="auto"/>
            <w:vAlign w:val="center"/>
          </w:tcPr>
          <w:p w14:paraId="76037154"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ALT</w:t>
            </w:r>
          </w:p>
        </w:tc>
        <w:tc>
          <w:tcPr>
            <w:tcW w:w="685" w:type="pct"/>
            <w:shd w:val="clear" w:color="auto" w:fill="auto"/>
            <w:vAlign w:val="center"/>
          </w:tcPr>
          <w:p w14:paraId="7D1F9388"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U/L</w:t>
            </w:r>
          </w:p>
        </w:tc>
        <w:tc>
          <w:tcPr>
            <w:tcW w:w="1251" w:type="pct"/>
            <w:shd w:val="clear" w:color="auto" w:fill="auto"/>
            <w:vAlign w:val="center"/>
          </w:tcPr>
          <w:p w14:paraId="3F6BB786"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234F7F2C" w14:textId="77777777" w:rsidTr="00F34034">
        <w:trPr>
          <w:trHeight w:val="314"/>
        </w:trPr>
        <w:tc>
          <w:tcPr>
            <w:tcW w:w="1982" w:type="pct"/>
            <w:shd w:val="clear" w:color="auto" w:fill="auto"/>
            <w:vAlign w:val="center"/>
          </w:tcPr>
          <w:p w14:paraId="3640CC29"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Creatinine</w:t>
            </w:r>
          </w:p>
        </w:tc>
        <w:tc>
          <w:tcPr>
            <w:tcW w:w="1082" w:type="pct"/>
            <w:shd w:val="clear" w:color="auto" w:fill="auto"/>
            <w:vAlign w:val="center"/>
          </w:tcPr>
          <w:p w14:paraId="6EE5024E"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CREAT</w:t>
            </w:r>
          </w:p>
        </w:tc>
        <w:tc>
          <w:tcPr>
            <w:tcW w:w="685" w:type="pct"/>
            <w:shd w:val="clear" w:color="auto" w:fill="auto"/>
            <w:vAlign w:val="center"/>
          </w:tcPr>
          <w:p w14:paraId="62965A21"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3D0C7E21"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03C17271" w14:textId="77777777" w:rsidTr="00F34034">
        <w:trPr>
          <w:trHeight w:val="295"/>
        </w:trPr>
        <w:tc>
          <w:tcPr>
            <w:tcW w:w="1982" w:type="pct"/>
            <w:shd w:val="clear" w:color="auto" w:fill="auto"/>
            <w:vAlign w:val="center"/>
          </w:tcPr>
          <w:p w14:paraId="3BCE83E4"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Triglycerides</w:t>
            </w:r>
          </w:p>
        </w:tc>
        <w:tc>
          <w:tcPr>
            <w:tcW w:w="1082" w:type="pct"/>
            <w:shd w:val="clear" w:color="auto" w:fill="auto"/>
            <w:vAlign w:val="center"/>
          </w:tcPr>
          <w:p w14:paraId="7CA6918C"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TRIG</w:t>
            </w:r>
          </w:p>
        </w:tc>
        <w:tc>
          <w:tcPr>
            <w:tcW w:w="685" w:type="pct"/>
            <w:shd w:val="clear" w:color="auto" w:fill="auto"/>
            <w:vAlign w:val="center"/>
          </w:tcPr>
          <w:p w14:paraId="1D2AB241"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0A052DF9"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Plasma / serum</w:t>
            </w:r>
          </w:p>
        </w:tc>
      </w:tr>
      <w:tr w:rsidR="00787FB7" w:rsidRPr="00220667" w14:paraId="5BB58490" w14:textId="77777777" w:rsidTr="00F34034">
        <w:trPr>
          <w:trHeight w:val="295"/>
        </w:trPr>
        <w:tc>
          <w:tcPr>
            <w:tcW w:w="1982" w:type="pct"/>
            <w:shd w:val="clear" w:color="auto" w:fill="auto"/>
            <w:vAlign w:val="center"/>
          </w:tcPr>
          <w:p w14:paraId="2F500962"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Creatine kinase</w:t>
            </w:r>
          </w:p>
        </w:tc>
        <w:tc>
          <w:tcPr>
            <w:tcW w:w="1082" w:type="pct"/>
            <w:shd w:val="clear" w:color="auto" w:fill="auto"/>
            <w:vAlign w:val="center"/>
          </w:tcPr>
          <w:p w14:paraId="2C84AE26"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CK</w:t>
            </w:r>
          </w:p>
        </w:tc>
        <w:tc>
          <w:tcPr>
            <w:tcW w:w="685" w:type="pct"/>
            <w:shd w:val="clear" w:color="auto" w:fill="auto"/>
            <w:vAlign w:val="center"/>
          </w:tcPr>
          <w:p w14:paraId="7919AE75"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U/L</w:t>
            </w:r>
          </w:p>
        </w:tc>
        <w:tc>
          <w:tcPr>
            <w:tcW w:w="1251" w:type="pct"/>
            <w:shd w:val="clear" w:color="auto" w:fill="auto"/>
            <w:vAlign w:val="center"/>
          </w:tcPr>
          <w:p w14:paraId="6946C9B8"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Serum only</w:t>
            </w:r>
          </w:p>
        </w:tc>
      </w:tr>
      <w:tr w:rsidR="00787FB7" w:rsidRPr="00220667" w14:paraId="7C6E9470" w14:textId="77777777" w:rsidTr="00F34034">
        <w:trPr>
          <w:trHeight w:val="295"/>
        </w:trPr>
        <w:tc>
          <w:tcPr>
            <w:tcW w:w="1982" w:type="pct"/>
            <w:shd w:val="clear" w:color="auto" w:fill="auto"/>
            <w:vAlign w:val="center"/>
          </w:tcPr>
          <w:p w14:paraId="5DAB77A8"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Non-esterified fatty acids</w:t>
            </w:r>
          </w:p>
        </w:tc>
        <w:tc>
          <w:tcPr>
            <w:tcW w:w="1082" w:type="pct"/>
            <w:shd w:val="clear" w:color="auto" w:fill="auto"/>
            <w:vAlign w:val="center"/>
          </w:tcPr>
          <w:p w14:paraId="161A3EBA"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NEFA</w:t>
            </w:r>
          </w:p>
        </w:tc>
        <w:tc>
          <w:tcPr>
            <w:tcW w:w="685" w:type="pct"/>
            <w:shd w:val="clear" w:color="auto" w:fill="auto"/>
            <w:vAlign w:val="center"/>
          </w:tcPr>
          <w:p w14:paraId="07E51F1E"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proofErr w:type="spellStart"/>
            <w:r w:rsidRPr="00220667">
              <w:rPr>
                <w:rFonts w:ascii="Times New Roman" w:hAnsi="Times New Roman"/>
                <w:sz w:val="24"/>
                <w:szCs w:val="24"/>
              </w:rPr>
              <w:t>mEq</w:t>
            </w:r>
            <w:proofErr w:type="spellEnd"/>
            <w:r w:rsidRPr="00220667">
              <w:rPr>
                <w:rFonts w:ascii="Times New Roman" w:hAnsi="Times New Roman"/>
                <w:sz w:val="24"/>
                <w:szCs w:val="24"/>
              </w:rPr>
              <w:t>/L</w:t>
            </w:r>
          </w:p>
        </w:tc>
        <w:tc>
          <w:tcPr>
            <w:tcW w:w="1251" w:type="pct"/>
            <w:shd w:val="clear" w:color="auto" w:fill="auto"/>
            <w:vAlign w:val="center"/>
          </w:tcPr>
          <w:p w14:paraId="7BE7888D"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Serum only</w:t>
            </w:r>
          </w:p>
        </w:tc>
      </w:tr>
      <w:tr w:rsidR="00787FB7" w:rsidRPr="00220667" w14:paraId="74F9A519" w14:textId="77777777" w:rsidTr="00F34034">
        <w:trPr>
          <w:trHeight w:val="295"/>
        </w:trPr>
        <w:tc>
          <w:tcPr>
            <w:tcW w:w="1982" w:type="pct"/>
            <w:shd w:val="clear" w:color="auto" w:fill="auto"/>
            <w:vAlign w:val="center"/>
          </w:tcPr>
          <w:p w14:paraId="39417969"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Serum calcium</w:t>
            </w:r>
          </w:p>
        </w:tc>
        <w:tc>
          <w:tcPr>
            <w:tcW w:w="1082" w:type="pct"/>
            <w:shd w:val="clear" w:color="auto" w:fill="auto"/>
            <w:vAlign w:val="center"/>
          </w:tcPr>
          <w:p w14:paraId="1FDB7A34" w14:textId="77777777" w:rsidR="00787FB7" w:rsidRPr="00220667" w:rsidRDefault="00787FB7" w:rsidP="00FE46D9">
            <w:pPr>
              <w:pStyle w:val="MDPI42tablebody"/>
              <w:autoSpaceDE w:val="0"/>
              <w:autoSpaceDN w:val="0"/>
              <w:spacing w:line="360" w:lineRule="auto"/>
              <w:rPr>
                <w:rFonts w:ascii="Times New Roman" w:eastAsia="Calibri" w:hAnsi="Times New Roman"/>
                <w:sz w:val="24"/>
                <w:szCs w:val="24"/>
              </w:rPr>
            </w:pPr>
            <w:r w:rsidRPr="00220667">
              <w:rPr>
                <w:rFonts w:ascii="Times New Roman" w:eastAsia="Calibri" w:hAnsi="Times New Roman"/>
                <w:sz w:val="24"/>
                <w:szCs w:val="24"/>
              </w:rPr>
              <w:t>SCA</w:t>
            </w:r>
          </w:p>
        </w:tc>
        <w:tc>
          <w:tcPr>
            <w:tcW w:w="685" w:type="pct"/>
            <w:shd w:val="clear" w:color="auto" w:fill="auto"/>
            <w:vAlign w:val="center"/>
          </w:tcPr>
          <w:p w14:paraId="41EBD430"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mg/dL</w:t>
            </w:r>
          </w:p>
        </w:tc>
        <w:tc>
          <w:tcPr>
            <w:tcW w:w="1251" w:type="pct"/>
            <w:shd w:val="clear" w:color="auto" w:fill="auto"/>
            <w:vAlign w:val="center"/>
          </w:tcPr>
          <w:p w14:paraId="0F38113A" w14:textId="77777777" w:rsidR="00787FB7" w:rsidRPr="00220667" w:rsidRDefault="00787FB7" w:rsidP="00FE46D9">
            <w:pPr>
              <w:pStyle w:val="MDPI42tablebody"/>
              <w:autoSpaceDE w:val="0"/>
              <w:autoSpaceDN w:val="0"/>
              <w:spacing w:line="360" w:lineRule="auto"/>
              <w:rPr>
                <w:rFonts w:ascii="Times New Roman" w:hAnsi="Times New Roman"/>
                <w:sz w:val="24"/>
                <w:szCs w:val="24"/>
              </w:rPr>
            </w:pPr>
            <w:r w:rsidRPr="00220667">
              <w:rPr>
                <w:rFonts w:ascii="Times New Roman" w:hAnsi="Times New Roman"/>
                <w:sz w:val="24"/>
                <w:szCs w:val="24"/>
              </w:rPr>
              <w:t>Serum only</w:t>
            </w:r>
          </w:p>
        </w:tc>
      </w:tr>
    </w:tbl>
    <w:p w14:paraId="7012C4C4" w14:textId="2310FD24" w:rsidR="004F2CE2" w:rsidRDefault="00787FB7" w:rsidP="004F2CE2">
      <w:pPr>
        <w:pStyle w:val="Caption"/>
        <w:rPr>
          <w:rFonts w:eastAsia="SimSun" w:cs="Times New Roman"/>
          <w:snapToGrid w:val="0"/>
          <w:color w:val="000000"/>
          <w:lang w:eastAsia="de-DE" w:bidi="en-US"/>
        </w:rPr>
      </w:pPr>
      <w:bookmarkStart w:id="17" w:name="_Toc151459311"/>
      <w:r>
        <w:t xml:space="preserve">Table </w:t>
      </w:r>
      <w:fldSimple w:instr=" SEQ Table \* ARABIC ">
        <w:r>
          <w:rPr>
            <w:noProof/>
          </w:rPr>
          <w:t>3</w:t>
        </w:r>
      </w:fldSimple>
      <w:r>
        <w:t xml:space="preserve">. </w:t>
      </w:r>
      <w:r w:rsidRPr="00220667">
        <w:t>Measured parameters for blood plasma and serum.</w:t>
      </w:r>
      <w:bookmarkEnd w:id="17"/>
      <w:r w:rsidR="004F2CE2">
        <w:rPr>
          <w:rFonts w:eastAsia="SimSun"/>
          <w:snapToGrid w:val="0"/>
          <w:color w:val="000000"/>
          <w:lang w:eastAsia="de-DE" w:bidi="en-US"/>
        </w:rPr>
        <w:br w:type="page"/>
      </w:r>
    </w:p>
    <w:p w14:paraId="23D2BAC9" w14:textId="77777777" w:rsidR="00AA7CD5" w:rsidRPr="005D503B" w:rsidRDefault="00AA7CD5" w:rsidP="008A6B75">
      <w:pPr>
        <w:pStyle w:val="Heading3"/>
        <w:spacing w:line="360" w:lineRule="auto"/>
        <w:rPr>
          <w:rFonts w:ascii="Times New Roman" w:hAnsi="Times New Roman" w:cs="Times New Roman"/>
          <w:iCs/>
        </w:rPr>
      </w:pPr>
      <w:bookmarkStart w:id="18" w:name="_Toc151023672"/>
      <w:r w:rsidRPr="005D503B">
        <w:rPr>
          <w:rFonts w:ascii="Times New Roman" w:hAnsi="Times New Roman" w:cs="Times New Roman"/>
        </w:rPr>
        <w:lastRenderedPageBreak/>
        <w:t>Metabolomics Extractions</w:t>
      </w:r>
      <w:bookmarkEnd w:id="18"/>
    </w:p>
    <w:p w14:paraId="66548430" w14:textId="77777777" w:rsidR="00AA7CD5" w:rsidRDefault="00AA7CD5" w:rsidP="008A6B75">
      <w:pPr>
        <w:pStyle w:val="NormalWeb"/>
        <w:spacing w:line="360" w:lineRule="auto"/>
        <w:jc w:val="both"/>
      </w:pPr>
      <w:r w:rsidRPr="00F0245E">
        <w:t xml:space="preserve">The metabolomics extraction procedure was adapted from Rabinowitz and Kimball (Rabinowitz and Kimball 2007). Briefly, 100 µL of plasma was mixed with 1.3 mL of chilled extraction solvent (4:4:2 </w:t>
      </w:r>
      <w:proofErr w:type="spellStart"/>
      <w:r w:rsidRPr="00F0245E">
        <w:t>acetonitrile:methanol:water</w:t>
      </w:r>
      <w:proofErr w:type="spellEnd"/>
      <w:r w:rsidRPr="00F0245E">
        <w:t xml:space="preserve"> with 0.1% formic acid) in an Eppendorf tube and allowed to extract for 20 minutes at -20°C. Samples were centrifuged and the supernatant was pooled into a separate glass vial. To the solution remaining in the Eppendorf tube, 200 µL of extraction solvent was added, the mixture was vortexed, and allowed to extract for 20 minutes at -20°C. Samples were then centrifuged, and the supernatant was pooled into the glass vial with the supernatant from the first extraction. Pooled samples were dried under nitrogen and resuspended in 300 µL of water prior to mass spectrometric analysis.</w:t>
      </w:r>
    </w:p>
    <w:p w14:paraId="5360171A" w14:textId="77777777" w:rsidR="00AA7CD5" w:rsidRPr="005D503B" w:rsidRDefault="00AA7CD5" w:rsidP="008A6B75">
      <w:pPr>
        <w:pStyle w:val="Heading3"/>
        <w:spacing w:line="360" w:lineRule="auto"/>
        <w:rPr>
          <w:rFonts w:ascii="Times New Roman" w:hAnsi="Times New Roman" w:cs="Times New Roman"/>
        </w:rPr>
      </w:pPr>
      <w:bookmarkStart w:id="19" w:name="_Toc151023673"/>
      <w:r w:rsidRPr="005D503B">
        <w:rPr>
          <w:rFonts w:ascii="Times New Roman" w:hAnsi="Times New Roman" w:cs="Times New Roman"/>
        </w:rPr>
        <w:t>Ultrahigh Performance Liquid Chromatography Mass Spectrometry High Resolution Mass Spectrometry (UHPLC-HRMS)</w:t>
      </w:r>
      <w:bookmarkEnd w:id="19"/>
      <w:r w:rsidRPr="005D503B">
        <w:rPr>
          <w:rFonts w:ascii="Times New Roman" w:hAnsi="Times New Roman" w:cs="Times New Roman"/>
        </w:rPr>
        <w:t xml:space="preserve"> </w:t>
      </w:r>
    </w:p>
    <w:p w14:paraId="052BC87A" w14:textId="77777777" w:rsidR="004F2CE2" w:rsidRDefault="00AA7CD5" w:rsidP="004F2CE2">
      <w:pPr>
        <w:pStyle w:val="NormalWeb"/>
        <w:spacing w:line="360" w:lineRule="auto"/>
        <w:jc w:val="both"/>
        <w:rPr>
          <w:b/>
          <w:bCs/>
        </w:rPr>
      </w:pPr>
      <w:r w:rsidRPr="00F0245E">
        <w:t xml:space="preserve">The metabolomics analyses were conducted at the Biological and Small Molecule Mass Spectrometry Core at the University of Tennessee Knoxville (Knoxville, TN, USA). The sample extractions, chromatographic separations, and mass spectral analyses were performed according to an established method using UHPLC-HRMS (Bazurto et al. 2017). The collected metabolomes were stored at 4°C in an </w:t>
      </w:r>
      <w:proofErr w:type="spellStart"/>
      <w:r w:rsidRPr="00F0245E">
        <w:t>UltiMate</w:t>
      </w:r>
      <w:proofErr w:type="spellEnd"/>
      <w:r w:rsidRPr="00F0245E">
        <w:t xml:space="preserve"> 3000 RS autosampler (</w:t>
      </w:r>
      <w:proofErr w:type="spellStart"/>
      <w:r w:rsidRPr="00F0245E">
        <w:t>Dionex</w:t>
      </w:r>
      <w:proofErr w:type="spellEnd"/>
      <w:r w:rsidRPr="00F0245E">
        <w:t xml:space="preserve">, Sunnyvale, CA, USA) until analyses were performed. All chromatographic solvents used were HPLC grade (Fisher Scientific, Hampton, NH, USA). Reverse phase separations were carried out using a </w:t>
      </w:r>
      <w:proofErr w:type="spellStart"/>
      <w:r w:rsidRPr="00F0245E">
        <w:t>Synergi</w:t>
      </w:r>
      <w:proofErr w:type="spellEnd"/>
      <w:r w:rsidRPr="00F0245E">
        <w:t xml:space="preserve"> 2.6 µm Hydro RP column (100 mm x 2.1 mm, 100 Å; Phenomenex, Torrance, CA, USA) and an </w:t>
      </w:r>
      <w:proofErr w:type="spellStart"/>
      <w:r w:rsidRPr="00F0245E">
        <w:t>UltiMate</w:t>
      </w:r>
      <w:proofErr w:type="spellEnd"/>
      <w:r w:rsidRPr="00F0245E">
        <w:t xml:space="preserve"> 3000 pump (</w:t>
      </w:r>
      <w:proofErr w:type="spellStart"/>
      <w:r w:rsidRPr="00F0245E">
        <w:t>Dionex</w:t>
      </w:r>
      <w:proofErr w:type="spellEnd"/>
      <w:r w:rsidRPr="00F0245E">
        <w:t xml:space="preserve">, Sunnyvale, CA, USA). The chromatography utilized a 25 minute binary gradient elution using a 97:3 </w:t>
      </w:r>
      <w:proofErr w:type="spellStart"/>
      <w:r w:rsidRPr="00F0245E">
        <w:t>water:methanol</w:t>
      </w:r>
      <w:proofErr w:type="spellEnd"/>
      <w:r w:rsidRPr="00F0245E">
        <w:t xml:space="preserve"> mixture with added 10mM tributylamine and 15 mM acetic acid (mobile phase A) and 100% methanol (mobile phase B). The flow was set to 0.200 mL/min, and the gradient was as follows: 20% B at 5 minutes, 55% B at 13 minutes, 95% B at 15.5 minutes, 0% B from 19 to 25 minutes. The separated metabolites were ionized via negative mode electrospray ionization prior to analysis on an </w:t>
      </w:r>
      <w:proofErr w:type="spellStart"/>
      <w:r w:rsidRPr="00F0245E">
        <w:t>Exactive</w:t>
      </w:r>
      <w:proofErr w:type="spellEnd"/>
      <w:r w:rsidRPr="00F0245E">
        <w:t xml:space="preserve"> Plus Orbitrap MS (</w:t>
      </w:r>
      <w:proofErr w:type="spellStart"/>
      <w:r w:rsidRPr="00F0245E">
        <w:t>Thermo</w:t>
      </w:r>
      <w:proofErr w:type="spellEnd"/>
      <w:r w:rsidRPr="00F0245E">
        <w:t xml:space="preserve"> Scientific, San Jose, CA, USA). The resolution of the mass spectrometer was set to 140,000 with an automatic gain control setting of 5e5 and injection time of 100 milliseconds. The sheath, auxiliary, and sweep </w:t>
      </w:r>
      <w:r w:rsidRPr="00F0245E">
        <w:lastRenderedPageBreak/>
        <w:t>gases were set to 25, 8, and 3 arbitrary units, the spray voltage was 3.5 kV, and the capillary temperature was 320°C.</w:t>
      </w:r>
    </w:p>
    <w:p w14:paraId="03D57B52" w14:textId="66CDEDE1" w:rsidR="00AA7CD5" w:rsidRPr="004F2CE2" w:rsidRDefault="00AA7CD5" w:rsidP="004F2CE2">
      <w:pPr>
        <w:pStyle w:val="Heading3"/>
        <w:rPr>
          <w:rFonts w:ascii="Times New Roman" w:hAnsi="Times New Roman" w:cs="Times New Roman"/>
        </w:rPr>
      </w:pPr>
      <w:bookmarkStart w:id="20" w:name="_Toc151023674"/>
      <w:r w:rsidRPr="004F2CE2">
        <w:rPr>
          <w:rFonts w:ascii="Times New Roman" w:hAnsi="Times New Roman" w:cs="Times New Roman"/>
        </w:rPr>
        <w:t>Data Analysis</w:t>
      </w:r>
      <w:bookmarkEnd w:id="20"/>
    </w:p>
    <w:p w14:paraId="2FE89E41" w14:textId="77777777" w:rsidR="00AA7CD5" w:rsidRDefault="00AA7CD5" w:rsidP="008A6B75">
      <w:pPr>
        <w:pStyle w:val="NormalWeb"/>
        <w:spacing w:line="360" w:lineRule="auto"/>
      </w:pPr>
      <w:r>
        <w:t xml:space="preserve">Descriptive statistics for refeeding parameters were assessed using STATA SE (version 16.1, </w:t>
      </w:r>
      <w:proofErr w:type="spellStart"/>
      <w:r>
        <w:t>StataCorp</w:t>
      </w:r>
      <w:proofErr w:type="spellEnd"/>
      <w:r>
        <w:t xml:space="preserve">, College Station, TX). </w:t>
      </w:r>
    </w:p>
    <w:p w14:paraId="199D0551" w14:textId="77777777" w:rsidR="004F2CE2" w:rsidRDefault="00AA7CD5" w:rsidP="008A6B75">
      <w:pPr>
        <w:pStyle w:val="NormalWeb"/>
        <w:spacing w:line="360" w:lineRule="auto"/>
      </w:pPr>
      <w:r>
        <w:t>To evaluate the known metabolites, raw data collected by the instrument were converted to .</w:t>
      </w:r>
      <w:proofErr w:type="spellStart"/>
      <w:r>
        <w:t>mzML</w:t>
      </w:r>
      <w:proofErr w:type="spellEnd"/>
      <w:r>
        <w:t xml:space="preserve"> files via </w:t>
      </w:r>
      <w:proofErr w:type="spellStart"/>
      <w:r>
        <w:t>MSConvert</w:t>
      </w:r>
      <w:proofErr w:type="spellEnd"/>
      <w:r>
        <w:t xml:space="preserve"> (</w:t>
      </w:r>
      <w:proofErr w:type="spellStart"/>
      <w:r>
        <w:t>ProteoWizard</w:t>
      </w:r>
      <w:proofErr w:type="spellEnd"/>
      <w:r>
        <w:t xml:space="preserve">). Features were then picked using an in-house library in EL-MAVEN based on exact mass (5 ppm) and retention time (± 0.5 minutes). Unidentified features were evaluated via </w:t>
      </w:r>
      <w:proofErr w:type="spellStart"/>
      <w:r>
        <w:t>Metaboanalyst</w:t>
      </w:r>
      <w:proofErr w:type="spellEnd"/>
      <w:r>
        <w:t xml:space="preserve"> 5.0 (Pang et al. 2021). Spectra in the form of .</w:t>
      </w:r>
      <w:proofErr w:type="spellStart"/>
      <w:r>
        <w:t>mzML</w:t>
      </w:r>
      <w:proofErr w:type="spellEnd"/>
      <w:r>
        <w:t xml:space="preserve"> files were compressed, uploaded to </w:t>
      </w:r>
      <w:proofErr w:type="spellStart"/>
      <w:r>
        <w:t>Metaboanalyst</w:t>
      </w:r>
      <w:proofErr w:type="spellEnd"/>
      <w:r>
        <w:t xml:space="preserve">, and processed using the Auto-optimized feature in the LC-MS Spectra Processing module. As some batch effects were observed, features that were found to significantly vary (p value &lt; 0.05) between batches based on an analysis of variance (ANOVA) were removed to lessen the chance of false statistical assumptions; this resulted in analysis of 26 known metabolites and 459 unidentified features. Heatmaps were generated using R with a custom script. Known and unidentified features were uploaded to </w:t>
      </w:r>
      <w:proofErr w:type="spellStart"/>
      <w:r>
        <w:t>Metaboanalyst</w:t>
      </w:r>
      <w:proofErr w:type="spellEnd"/>
      <w:r>
        <w:t xml:space="preserve"> for statistical analyses and visualization using the following parameters: features with missing values (&lt; 25%) replaced by one-fifth of the minimum positive value, normalized by sum, and log transformed. All other statistical analyses (e.g., partial least squares discriminant analyses or PLS-DAs) were performed using </w:t>
      </w:r>
      <w:proofErr w:type="spellStart"/>
      <w:r>
        <w:t>Metaboanalyst</w:t>
      </w:r>
      <w:proofErr w:type="spellEnd"/>
      <w:r>
        <w:t xml:space="preserve">. Venn Diagrams were created using an in-house Python script. </w:t>
      </w:r>
    </w:p>
    <w:p w14:paraId="07FEA8B7" w14:textId="7EB5A58D" w:rsidR="00AA7CD5" w:rsidRDefault="00AA7CD5" w:rsidP="008A6B75">
      <w:pPr>
        <w:pStyle w:val="NormalWeb"/>
        <w:spacing w:line="360" w:lineRule="auto"/>
      </w:pPr>
      <w:r>
        <w:t xml:space="preserve">Equine bloodwork was statistically evaluated in </w:t>
      </w:r>
      <w:proofErr w:type="spellStart"/>
      <w:r>
        <w:t>Metaboanalyst</w:t>
      </w:r>
      <w:proofErr w:type="spellEnd"/>
      <w:r>
        <w:t xml:space="preserve"> by performing 2-sample unpaired, equal group variance T-Tests between various groupings (CCP vs RP, diet, sex, and age group) using the same normalization and transformation procedure as metabolomics data. Box plots were generated using an in-house Python script.</w:t>
      </w:r>
    </w:p>
    <w:p w14:paraId="0D9AFC37" w14:textId="50B2892A" w:rsidR="00AA7CD5" w:rsidRPr="00220667" w:rsidRDefault="00AA7CD5" w:rsidP="008A6B75">
      <w:pPr>
        <w:pStyle w:val="NormalWeb"/>
        <w:spacing w:line="360" w:lineRule="auto"/>
      </w:pPr>
      <w:r>
        <w:t>Statistical conclusions based on p values were categorized as follows: p values of ≤ 0.01, ≤ 0.05, and ≤ 0.1 reflect statistical assumptions made with confidence intervals of 99%, 95%, and 90%, respectively.</w:t>
      </w:r>
    </w:p>
    <w:p w14:paraId="2CAEBE01" w14:textId="30042FE3" w:rsidR="00AA7CD5" w:rsidRPr="004F2CE2" w:rsidRDefault="00AA7CD5" w:rsidP="004F2CE2">
      <w:pPr>
        <w:pStyle w:val="Heading2"/>
        <w:rPr>
          <w:rFonts w:ascii="Times New Roman" w:hAnsi="Times New Roman" w:cs="Times New Roman"/>
        </w:rPr>
      </w:pPr>
      <w:bookmarkStart w:id="21" w:name="_Toc151023675"/>
      <w:r w:rsidRPr="004F2CE2">
        <w:rPr>
          <w:rFonts w:ascii="Times New Roman" w:hAnsi="Times New Roman" w:cs="Times New Roman"/>
        </w:rPr>
        <w:lastRenderedPageBreak/>
        <w:t>Results</w:t>
      </w:r>
      <w:bookmarkEnd w:id="21"/>
    </w:p>
    <w:p w14:paraId="46BBFA5D" w14:textId="77777777" w:rsidR="00AA7CD5" w:rsidRDefault="00AA7CD5" w:rsidP="008A6B75">
      <w:pPr>
        <w:spacing w:line="360" w:lineRule="auto"/>
      </w:pPr>
    </w:p>
    <w:p w14:paraId="34809EFF" w14:textId="77777777" w:rsidR="00AA7CD5" w:rsidRPr="005D503B" w:rsidRDefault="00AA7CD5" w:rsidP="008A6B75">
      <w:pPr>
        <w:pStyle w:val="Heading3"/>
        <w:spacing w:line="360" w:lineRule="auto"/>
        <w:rPr>
          <w:rFonts w:ascii="Times New Roman" w:hAnsi="Times New Roman" w:cs="Times New Roman"/>
        </w:rPr>
      </w:pPr>
      <w:bookmarkStart w:id="22" w:name="_Toc151023676"/>
      <w:r w:rsidRPr="005D503B">
        <w:rPr>
          <w:rFonts w:ascii="Times New Roman" w:hAnsi="Times New Roman" w:cs="Times New Roman"/>
        </w:rPr>
        <w:t>Equine Refeeding Outcomes</w:t>
      </w:r>
      <w:bookmarkEnd w:id="22"/>
    </w:p>
    <w:p w14:paraId="456074FA" w14:textId="77777777" w:rsidR="00AA7CD5" w:rsidRPr="0074423A" w:rsidRDefault="00AA7CD5" w:rsidP="008A6B75">
      <w:pPr>
        <w:pStyle w:val="NormalWeb"/>
        <w:spacing w:line="360" w:lineRule="auto"/>
      </w:pPr>
      <w:r w:rsidRPr="0074423A">
        <w:t xml:space="preserve">Originally, ten equids with a BCS of 2 or less were enrolled into the project; however, due to health circumstances, four horses were not able to complete the refeeding process. Specifically, the following situations occurred for each horse removed from the project (termed “Did not complete” in Table </w:t>
      </w:r>
      <w:r w:rsidRPr="000C3D5E">
        <w:rPr>
          <w:color w:val="000000" w:themeColor="text1"/>
        </w:rPr>
        <w:t>4</w:t>
      </w:r>
      <w:r w:rsidRPr="0074423A">
        <w:t xml:space="preserve">): (1) impaction colic resulting in euthanasia on Day 6 of the CCP; (2) positive respiratory swab for Equine Herpes Virus 1, wild type (EHV-1), </w:t>
      </w:r>
      <w:r w:rsidRPr="0074423A">
        <w:rPr>
          <w:i/>
          <w:iCs/>
        </w:rPr>
        <w:t xml:space="preserve">Streptococcus </w:t>
      </w:r>
      <w:proofErr w:type="spellStart"/>
      <w:r w:rsidRPr="0074423A">
        <w:rPr>
          <w:i/>
          <w:iCs/>
        </w:rPr>
        <w:t>equi</w:t>
      </w:r>
      <w:proofErr w:type="spellEnd"/>
      <w:r w:rsidRPr="0074423A">
        <w:t xml:space="preserve">, and influenza type A virus, resulting in euthanasia on Day 8 of the CCP; (3) positive respiratory swab for EHV-1, resulting in euthanasia on Day 1 within the RP; and (4) positive respiratory swab for influenza virus type A resulting in subsequent pneumonia, and due to lack of body weight gain was disenrolled on Day 73 of the RP. The remaining six horses (C diet </w:t>
      </w:r>
      <w:r w:rsidRPr="0074423A">
        <w:rPr>
          <w:i/>
          <w:iCs/>
        </w:rPr>
        <w:t xml:space="preserve">n </w:t>
      </w:r>
      <w:r w:rsidRPr="0074423A">
        <w:t xml:space="preserve">= 3 and S diet </w:t>
      </w:r>
      <w:r w:rsidRPr="0074423A">
        <w:rPr>
          <w:i/>
          <w:iCs/>
        </w:rPr>
        <w:t xml:space="preserve">n </w:t>
      </w:r>
      <w:r w:rsidRPr="0074423A">
        <w:t>= 3) were refed successfully to either a BCS of 3.5 or 4 (termed “Completed” in Table</w:t>
      </w:r>
      <w:r w:rsidRPr="000C3D5E">
        <w:rPr>
          <w:color w:val="000000" w:themeColor="text1"/>
        </w:rPr>
        <w:t xml:space="preserve"> 4</w:t>
      </w:r>
      <w:r w:rsidRPr="0074423A">
        <w:t xml:space="preserve">). </w:t>
      </w:r>
    </w:p>
    <w:p w14:paraId="58495743" w14:textId="10B46D18" w:rsidR="004F2CE2" w:rsidRDefault="00AA7CD5" w:rsidP="004F2CE2">
      <w:pPr>
        <w:pStyle w:val="NormalWeb"/>
        <w:spacing w:line="360" w:lineRule="auto"/>
      </w:pPr>
      <w:r w:rsidRPr="0074423A">
        <w:t xml:space="preserve">Initial weight at enrollment was 368 ± 58 kg (mean ± standard deviation; </w:t>
      </w:r>
      <w:r w:rsidRPr="0074423A">
        <w:rPr>
          <w:i/>
          <w:iCs/>
        </w:rPr>
        <w:t xml:space="preserve">n </w:t>
      </w:r>
      <w:r w:rsidRPr="0074423A">
        <w:t>= 10) and final weight after refeeding was 426 ± 54 kg (</w:t>
      </w:r>
      <w:r w:rsidRPr="0074423A">
        <w:rPr>
          <w:i/>
          <w:iCs/>
        </w:rPr>
        <w:t xml:space="preserve">n </w:t>
      </w:r>
      <w:r w:rsidRPr="0074423A">
        <w:t xml:space="preserve">= 6). Of the six horses that completed the project, the entire refeeding process from enrollment to successful disenrollment lasted 129 ± 28 days. </w:t>
      </w:r>
    </w:p>
    <w:p w14:paraId="10A59596" w14:textId="77777777" w:rsidR="00AA7CD5" w:rsidRPr="005D503B" w:rsidRDefault="00AA7CD5" w:rsidP="008A6B75">
      <w:pPr>
        <w:pStyle w:val="Heading3"/>
        <w:spacing w:line="360" w:lineRule="auto"/>
        <w:rPr>
          <w:rFonts w:ascii="Times New Roman" w:hAnsi="Times New Roman" w:cs="Times New Roman"/>
        </w:rPr>
      </w:pPr>
      <w:bookmarkStart w:id="23" w:name="_Toc151023677"/>
      <w:r w:rsidRPr="005D503B">
        <w:rPr>
          <w:rFonts w:ascii="Times New Roman" w:hAnsi="Times New Roman" w:cs="Times New Roman"/>
        </w:rPr>
        <w:t>Analysis of Blood Chemistry Panels</w:t>
      </w:r>
      <w:bookmarkEnd w:id="23"/>
    </w:p>
    <w:p w14:paraId="39900D9A" w14:textId="5FE22B2C" w:rsidR="004D0248" w:rsidRDefault="00AA7CD5" w:rsidP="00787FB7">
      <w:pPr>
        <w:pStyle w:val="NormalWeb"/>
        <w:spacing w:line="360" w:lineRule="auto"/>
      </w:pPr>
      <w:r w:rsidRPr="00C97FCF">
        <w:t>Box plots were created to display differences in blood chemistry analyte levels between the CCP and RP (Figure</w:t>
      </w:r>
      <w:r w:rsidRPr="000C3D5E">
        <w:rPr>
          <w:color w:val="000000" w:themeColor="text1"/>
        </w:rPr>
        <w:t xml:space="preserve"> 1</w:t>
      </w:r>
      <w:r w:rsidRPr="00C97FCF">
        <w:t xml:space="preserve">). Results indicated statistical significance in analytes present in blood plasma samples (Supplementary Table S1). LDH, ALB, AST, and CREAT levels were all statistically increased during the RP compared to the CCP. Evaluation of blood serum corroborated a significant change in LDH, ALB, and CREAT (Supplementary Figure S1). Non-esterified fatty acids were also shown to significantly decrease in serum during the RP. Statistical differences </w:t>
      </w:r>
    </w:p>
    <w:tbl>
      <w:tblPr>
        <w:tblStyle w:val="TableGrid"/>
        <w:tblpPr w:leftFromText="180" w:rightFromText="180" w:vertAnchor="page" w:horzAnchor="margin" w:tblpY="1876"/>
        <w:tblW w:w="5000" w:type="pct"/>
        <w:tblBorders>
          <w:top w:val="single" w:sz="8" w:space="0" w:color="auto"/>
          <w:left w:val="none" w:sz="0" w:space="0" w:color="auto"/>
          <w:bottom w:val="single" w:sz="8" w:space="0" w:color="auto"/>
          <w:right w:val="none" w:sz="0" w:space="0" w:color="auto"/>
          <w:insideV w:val="none" w:sz="0" w:space="0" w:color="auto"/>
        </w:tblBorders>
        <w:tblLook w:val="06A0" w:firstRow="1" w:lastRow="0" w:firstColumn="1" w:lastColumn="0" w:noHBand="1" w:noVBand="1"/>
      </w:tblPr>
      <w:tblGrid>
        <w:gridCol w:w="2949"/>
        <w:gridCol w:w="2922"/>
        <w:gridCol w:w="1780"/>
        <w:gridCol w:w="69"/>
        <w:gridCol w:w="1640"/>
      </w:tblGrid>
      <w:tr w:rsidR="00552465" w:rsidRPr="0074423A" w14:paraId="677E55D6" w14:textId="77777777" w:rsidTr="00F34034">
        <w:trPr>
          <w:trHeight w:val="118"/>
        </w:trPr>
        <w:tc>
          <w:tcPr>
            <w:tcW w:w="1575" w:type="pct"/>
            <w:vMerge w:val="restart"/>
            <w:tcBorders>
              <w:top w:val="single" w:sz="8" w:space="0" w:color="auto"/>
            </w:tcBorders>
            <w:shd w:val="clear" w:color="auto" w:fill="auto"/>
            <w:vAlign w:val="center"/>
          </w:tcPr>
          <w:p w14:paraId="2AE5D2C0" w14:textId="77777777" w:rsidR="00552465" w:rsidRPr="0074423A" w:rsidRDefault="00552465" w:rsidP="00552465">
            <w:pPr>
              <w:pStyle w:val="MDPI42tablebody"/>
              <w:spacing w:line="360" w:lineRule="auto"/>
              <w:rPr>
                <w:rFonts w:ascii="Times New Roman" w:eastAsia="Calibri" w:hAnsi="Times New Roman"/>
                <w:b/>
                <w:bCs/>
                <w:sz w:val="24"/>
                <w:szCs w:val="24"/>
              </w:rPr>
            </w:pPr>
            <w:r w:rsidRPr="0074423A">
              <w:rPr>
                <w:rFonts w:ascii="Times New Roman" w:hAnsi="Times New Roman"/>
                <w:b/>
                <w:bCs/>
                <w:sz w:val="24"/>
                <w:szCs w:val="24"/>
              </w:rPr>
              <w:lastRenderedPageBreak/>
              <w:t>Subject Identifier</w:t>
            </w:r>
          </w:p>
        </w:tc>
        <w:tc>
          <w:tcPr>
            <w:tcW w:w="1561" w:type="pct"/>
            <w:vMerge w:val="restart"/>
            <w:tcBorders>
              <w:top w:val="single" w:sz="8" w:space="0" w:color="auto"/>
            </w:tcBorders>
            <w:shd w:val="clear" w:color="auto" w:fill="auto"/>
            <w:vAlign w:val="center"/>
          </w:tcPr>
          <w:p w14:paraId="4DD2E7F1" w14:textId="77777777" w:rsidR="00552465" w:rsidRPr="0074423A" w:rsidRDefault="00552465" w:rsidP="00552465">
            <w:pPr>
              <w:pStyle w:val="MDPI42tablebody"/>
              <w:spacing w:line="360" w:lineRule="auto"/>
              <w:rPr>
                <w:rFonts w:ascii="Times New Roman" w:eastAsia="Calibri" w:hAnsi="Times New Roman"/>
                <w:b/>
                <w:bCs/>
                <w:sz w:val="24"/>
                <w:szCs w:val="24"/>
              </w:rPr>
            </w:pPr>
            <w:r w:rsidRPr="0074423A">
              <w:rPr>
                <w:rFonts w:ascii="Times New Roman" w:eastAsia="Calibri" w:hAnsi="Times New Roman"/>
                <w:b/>
                <w:bCs/>
                <w:sz w:val="24"/>
                <w:szCs w:val="24"/>
              </w:rPr>
              <w:t>Program Outcome</w:t>
            </w:r>
          </w:p>
        </w:tc>
        <w:tc>
          <w:tcPr>
            <w:tcW w:w="1864" w:type="pct"/>
            <w:gridSpan w:val="3"/>
            <w:tcBorders>
              <w:top w:val="single" w:sz="8" w:space="0" w:color="auto"/>
              <w:bottom w:val="single" w:sz="4" w:space="0" w:color="auto"/>
            </w:tcBorders>
            <w:shd w:val="clear" w:color="auto" w:fill="auto"/>
            <w:vAlign w:val="center"/>
          </w:tcPr>
          <w:p w14:paraId="2F18DA60" w14:textId="77777777" w:rsidR="00552465" w:rsidRPr="0074423A" w:rsidRDefault="00552465" w:rsidP="00552465">
            <w:pPr>
              <w:pStyle w:val="MDPI42tablebody"/>
              <w:spacing w:line="360" w:lineRule="auto"/>
              <w:rPr>
                <w:rFonts w:ascii="Times New Roman" w:eastAsia="Calibri" w:hAnsi="Times New Roman"/>
                <w:b/>
                <w:bCs/>
                <w:sz w:val="24"/>
                <w:szCs w:val="24"/>
              </w:rPr>
            </w:pPr>
            <w:r w:rsidRPr="0074423A">
              <w:rPr>
                <w:rFonts w:ascii="Times New Roman" w:eastAsia="Calibri" w:hAnsi="Times New Roman"/>
                <w:b/>
                <w:bCs/>
                <w:sz w:val="24"/>
                <w:szCs w:val="24"/>
              </w:rPr>
              <w:t>Samples Taken</w:t>
            </w:r>
          </w:p>
        </w:tc>
      </w:tr>
      <w:tr w:rsidR="00552465" w:rsidRPr="0074423A" w14:paraId="47C07D60" w14:textId="77777777" w:rsidTr="00F34034">
        <w:trPr>
          <w:trHeight w:val="117"/>
        </w:trPr>
        <w:tc>
          <w:tcPr>
            <w:tcW w:w="1575" w:type="pct"/>
            <w:vMerge/>
          </w:tcPr>
          <w:p w14:paraId="74AFDF16" w14:textId="77777777" w:rsidR="00552465" w:rsidRPr="0074423A" w:rsidRDefault="00552465" w:rsidP="00552465">
            <w:pPr>
              <w:spacing w:line="360" w:lineRule="auto"/>
              <w:rPr>
                <w:rFonts w:ascii="Times New Roman" w:hAnsi="Times New Roman" w:cs="Times New Roman"/>
              </w:rPr>
            </w:pPr>
          </w:p>
        </w:tc>
        <w:tc>
          <w:tcPr>
            <w:tcW w:w="1561" w:type="pct"/>
            <w:vMerge/>
          </w:tcPr>
          <w:p w14:paraId="1A0E41DC" w14:textId="77777777" w:rsidR="00552465" w:rsidRPr="0074423A" w:rsidRDefault="00552465" w:rsidP="00552465">
            <w:pPr>
              <w:spacing w:line="360" w:lineRule="auto"/>
              <w:rPr>
                <w:rFonts w:ascii="Times New Roman" w:hAnsi="Times New Roman" w:cs="Times New Roman"/>
              </w:rPr>
            </w:pPr>
          </w:p>
        </w:tc>
        <w:tc>
          <w:tcPr>
            <w:tcW w:w="951" w:type="pct"/>
            <w:tcBorders>
              <w:top w:val="single" w:sz="8" w:space="0" w:color="auto"/>
              <w:bottom w:val="single" w:sz="4" w:space="0" w:color="auto"/>
            </w:tcBorders>
            <w:shd w:val="clear" w:color="auto" w:fill="auto"/>
            <w:vAlign w:val="center"/>
          </w:tcPr>
          <w:p w14:paraId="300159EF" w14:textId="77777777" w:rsidR="00552465" w:rsidRPr="0074423A" w:rsidRDefault="00552465" w:rsidP="00552465">
            <w:pPr>
              <w:pStyle w:val="MDPI42tablebody"/>
              <w:spacing w:line="360" w:lineRule="auto"/>
              <w:rPr>
                <w:rFonts w:ascii="Times New Roman" w:eastAsia="Calibri" w:hAnsi="Times New Roman"/>
                <w:b/>
                <w:bCs/>
                <w:i/>
                <w:iCs/>
                <w:sz w:val="24"/>
                <w:szCs w:val="24"/>
              </w:rPr>
            </w:pPr>
            <w:r w:rsidRPr="0074423A">
              <w:rPr>
                <w:rFonts w:ascii="Times New Roman" w:eastAsia="Calibri" w:hAnsi="Times New Roman"/>
                <w:b/>
                <w:bCs/>
                <w:i/>
                <w:iCs/>
                <w:sz w:val="24"/>
                <w:szCs w:val="24"/>
              </w:rPr>
              <w:t>CCP</w:t>
            </w:r>
          </w:p>
        </w:tc>
        <w:tc>
          <w:tcPr>
            <w:tcW w:w="913" w:type="pct"/>
            <w:gridSpan w:val="2"/>
            <w:tcBorders>
              <w:top w:val="single" w:sz="8" w:space="0" w:color="auto"/>
              <w:bottom w:val="single" w:sz="4" w:space="0" w:color="auto"/>
            </w:tcBorders>
            <w:shd w:val="clear" w:color="auto" w:fill="auto"/>
            <w:vAlign w:val="center"/>
          </w:tcPr>
          <w:p w14:paraId="3EE3E477" w14:textId="77777777" w:rsidR="00552465" w:rsidRPr="0074423A" w:rsidRDefault="00552465" w:rsidP="00552465">
            <w:pPr>
              <w:pStyle w:val="MDPI42tablebody"/>
              <w:spacing w:line="360" w:lineRule="auto"/>
              <w:rPr>
                <w:rFonts w:ascii="Times New Roman" w:eastAsia="Calibri" w:hAnsi="Times New Roman"/>
                <w:b/>
                <w:bCs/>
                <w:i/>
                <w:iCs/>
                <w:sz w:val="24"/>
                <w:szCs w:val="24"/>
              </w:rPr>
            </w:pPr>
            <w:r w:rsidRPr="0074423A">
              <w:rPr>
                <w:rFonts w:ascii="Times New Roman" w:eastAsia="Calibri" w:hAnsi="Times New Roman"/>
                <w:b/>
                <w:bCs/>
                <w:i/>
                <w:iCs/>
                <w:sz w:val="24"/>
                <w:szCs w:val="24"/>
              </w:rPr>
              <w:t>RP</w:t>
            </w:r>
          </w:p>
        </w:tc>
      </w:tr>
      <w:tr w:rsidR="00552465" w:rsidRPr="0074423A" w14:paraId="54B6A7C7" w14:textId="77777777" w:rsidTr="00F34034">
        <w:trPr>
          <w:trHeight w:val="329"/>
        </w:trPr>
        <w:tc>
          <w:tcPr>
            <w:tcW w:w="1575" w:type="pct"/>
            <w:tcBorders>
              <w:top w:val="single" w:sz="4" w:space="0" w:color="auto"/>
            </w:tcBorders>
            <w:shd w:val="clear" w:color="auto" w:fill="auto"/>
            <w:vAlign w:val="center"/>
          </w:tcPr>
          <w:p w14:paraId="3E96A50A"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A</w:t>
            </w:r>
          </w:p>
        </w:tc>
        <w:tc>
          <w:tcPr>
            <w:tcW w:w="1561" w:type="pct"/>
            <w:tcBorders>
              <w:top w:val="single" w:sz="4" w:space="0" w:color="auto"/>
            </w:tcBorders>
            <w:shd w:val="clear" w:color="auto" w:fill="auto"/>
            <w:vAlign w:val="center"/>
          </w:tcPr>
          <w:p w14:paraId="34465051"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Did not complete</w:t>
            </w:r>
          </w:p>
        </w:tc>
        <w:tc>
          <w:tcPr>
            <w:tcW w:w="988" w:type="pct"/>
            <w:gridSpan w:val="2"/>
            <w:tcBorders>
              <w:top w:val="single" w:sz="4" w:space="0" w:color="auto"/>
            </w:tcBorders>
            <w:shd w:val="clear" w:color="auto" w:fill="auto"/>
            <w:vAlign w:val="center"/>
          </w:tcPr>
          <w:p w14:paraId="08840B8C"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5</w:t>
            </w:r>
          </w:p>
        </w:tc>
        <w:tc>
          <w:tcPr>
            <w:tcW w:w="876" w:type="pct"/>
            <w:tcBorders>
              <w:top w:val="single" w:sz="4" w:space="0" w:color="auto"/>
            </w:tcBorders>
            <w:shd w:val="clear" w:color="auto" w:fill="auto"/>
            <w:vAlign w:val="center"/>
          </w:tcPr>
          <w:p w14:paraId="4CBB9E59"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NA</w:t>
            </w:r>
          </w:p>
        </w:tc>
      </w:tr>
      <w:tr w:rsidR="00552465" w:rsidRPr="0074423A" w14:paraId="1474B6C2" w14:textId="77777777" w:rsidTr="00F34034">
        <w:trPr>
          <w:trHeight w:val="329"/>
        </w:trPr>
        <w:tc>
          <w:tcPr>
            <w:tcW w:w="1575" w:type="pct"/>
            <w:shd w:val="clear" w:color="auto" w:fill="auto"/>
            <w:vAlign w:val="center"/>
          </w:tcPr>
          <w:p w14:paraId="7E4F6943"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A2</w:t>
            </w:r>
          </w:p>
        </w:tc>
        <w:tc>
          <w:tcPr>
            <w:tcW w:w="1561" w:type="pct"/>
            <w:shd w:val="clear" w:color="auto" w:fill="auto"/>
            <w:vAlign w:val="center"/>
          </w:tcPr>
          <w:p w14:paraId="478625BA"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Did not complete</w:t>
            </w:r>
          </w:p>
        </w:tc>
        <w:tc>
          <w:tcPr>
            <w:tcW w:w="988" w:type="pct"/>
            <w:gridSpan w:val="2"/>
            <w:shd w:val="clear" w:color="auto" w:fill="auto"/>
            <w:vAlign w:val="center"/>
          </w:tcPr>
          <w:p w14:paraId="00622A1D"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50F65055"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NA</w:t>
            </w:r>
          </w:p>
        </w:tc>
      </w:tr>
      <w:tr w:rsidR="00552465" w:rsidRPr="0074423A" w14:paraId="7EF6E22C" w14:textId="77777777" w:rsidTr="00F34034">
        <w:trPr>
          <w:trHeight w:val="329"/>
        </w:trPr>
        <w:tc>
          <w:tcPr>
            <w:tcW w:w="1575" w:type="pct"/>
            <w:shd w:val="clear" w:color="auto" w:fill="auto"/>
            <w:vAlign w:val="center"/>
          </w:tcPr>
          <w:p w14:paraId="5C93E53A"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B</w:t>
            </w:r>
          </w:p>
        </w:tc>
        <w:tc>
          <w:tcPr>
            <w:tcW w:w="1561" w:type="pct"/>
            <w:shd w:val="clear" w:color="auto" w:fill="auto"/>
            <w:vAlign w:val="center"/>
          </w:tcPr>
          <w:p w14:paraId="30CDB71D"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Did not complete</w:t>
            </w:r>
          </w:p>
        </w:tc>
        <w:tc>
          <w:tcPr>
            <w:tcW w:w="988" w:type="pct"/>
            <w:gridSpan w:val="2"/>
            <w:shd w:val="clear" w:color="auto" w:fill="auto"/>
            <w:vAlign w:val="center"/>
          </w:tcPr>
          <w:p w14:paraId="5EF6B397"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7</w:t>
            </w:r>
          </w:p>
        </w:tc>
        <w:tc>
          <w:tcPr>
            <w:tcW w:w="876" w:type="pct"/>
            <w:shd w:val="clear" w:color="auto" w:fill="auto"/>
            <w:vAlign w:val="center"/>
          </w:tcPr>
          <w:p w14:paraId="3954A2D0"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NA</w:t>
            </w:r>
          </w:p>
        </w:tc>
      </w:tr>
      <w:tr w:rsidR="00552465" w:rsidRPr="0074423A" w14:paraId="2D0E671A" w14:textId="77777777" w:rsidTr="00F34034">
        <w:trPr>
          <w:trHeight w:val="329"/>
        </w:trPr>
        <w:tc>
          <w:tcPr>
            <w:tcW w:w="1575" w:type="pct"/>
            <w:shd w:val="clear" w:color="auto" w:fill="auto"/>
            <w:vAlign w:val="center"/>
          </w:tcPr>
          <w:p w14:paraId="604F9F4E"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C</w:t>
            </w:r>
          </w:p>
        </w:tc>
        <w:tc>
          <w:tcPr>
            <w:tcW w:w="1561" w:type="pct"/>
            <w:shd w:val="clear" w:color="auto" w:fill="auto"/>
            <w:vAlign w:val="center"/>
          </w:tcPr>
          <w:p w14:paraId="699F4DC6"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1F7787FD"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47A8AD55"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4</w:t>
            </w:r>
          </w:p>
        </w:tc>
      </w:tr>
      <w:tr w:rsidR="00552465" w:rsidRPr="0074423A" w14:paraId="4EE4741B" w14:textId="77777777" w:rsidTr="00F34034">
        <w:trPr>
          <w:trHeight w:val="329"/>
        </w:trPr>
        <w:tc>
          <w:tcPr>
            <w:tcW w:w="1575" w:type="pct"/>
            <w:shd w:val="clear" w:color="auto" w:fill="auto"/>
            <w:vAlign w:val="center"/>
          </w:tcPr>
          <w:p w14:paraId="1C962664"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D</w:t>
            </w:r>
          </w:p>
        </w:tc>
        <w:tc>
          <w:tcPr>
            <w:tcW w:w="1561" w:type="pct"/>
            <w:shd w:val="clear" w:color="auto" w:fill="auto"/>
            <w:vAlign w:val="center"/>
          </w:tcPr>
          <w:p w14:paraId="474B8AEB"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Did not complete</w:t>
            </w:r>
          </w:p>
        </w:tc>
        <w:tc>
          <w:tcPr>
            <w:tcW w:w="988" w:type="pct"/>
            <w:gridSpan w:val="2"/>
            <w:shd w:val="clear" w:color="auto" w:fill="auto"/>
            <w:vAlign w:val="center"/>
          </w:tcPr>
          <w:p w14:paraId="381D22E0"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50CFCC7B"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1</w:t>
            </w:r>
          </w:p>
        </w:tc>
      </w:tr>
      <w:tr w:rsidR="00552465" w:rsidRPr="0074423A" w14:paraId="4CC9C999" w14:textId="77777777" w:rsidTr="00F34034">
        <w:trPr>
          <w:trHeight w:val="329"/>
        </w:trPr>
        <w:tc>
          <w:tcPr>
            <w:tcW w:w="1575" w:type="pct"/>
            <w:shd w:val="clear" w:color="auto" w:fill="auto"/>
            <w:vAlign w:val="center"/>
          </w:tcPr>
          <w:p w14:paraId="2D471F74"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E</w:t>
            </w:r>
          </w:p>
        </w:tc>
        <w:tc>
          <w:tcPr>
            <w:tcW w:w="1561" w:type="pct"/>
            <w:shd w:val="clear" w:color="auto" w:fill="auto"/>
          </w:tcPr>
          <w:p w14:paraId="1C8E7158"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1F9F0C65"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33AB46D9"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4</w:t>
            </w:r>
          </w:p>
        </w:tc>
      </w:tr>
      <w:tr w:rsidR="00552465" w:rsidRPr="0074423A" w14:paraId="57040913" w14:textId="77777777" w:rsidTr="00F34034">
        <w:trPr>
          <w:trHeight w:val="329"/>
        </w:trPr>
        <w:tc>
          <w:tcPr>
            <w:tcW w:w="1575" w:type="pct"/>
            <w:shd w:val="clear" w:color="auto" w:fill="auto"/>
            <w:vAlign w:val="center"/>
          </w:tcPr>
          <w:p w14:paraId="7447D975"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F</w:t>
            </w:r>
          </w:p>
        </w:tc>
        <w:tc>
          <w:tcPr>
            <w:tcW w:w="1561" w:type="pct"/>
            <w:shd w:val="clear" w:color="auto" w:fill="auto"/>
          </w:tcPr>
          <w:p w14:paraId="036E4668"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388FC2A6"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7E2B1CFD"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3</w:t>
            </w:r>
          </w:p>
        </w:tc>
      </w:tr>
      <w:tr w:rsidR="00552465" w:rsidRPr="0074423A" w14:paraId="22371781" w14:textId="77777777" w:rsidTr="00F34034">
        <w:trPr>
          <w:trHeight w:val="329"/>
        </w:trPr>
        <w:tc>
          <w:tcPr>
            <w:tcW w:w="1575" w:type="pct"/>
            <w:shd w:val="clear" w:color="auto" w:fill="auto"/>
            <w:vAlign w:val="center"/>
          </w:tcPr>
          <w:p w14:paraId="50DCFEC9"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G</w:t>
            </w:r>
          </w:p>
        </w:tc>
        <w:tc>
          <w:tcPr>
            <w:tcW w:w="1561" w:type="pct"/>
            <w:shd w:val="clear" w:color="auto" w:fill="auto"/>
          </w:tcPr>
          <w:p w14:paraId="4927398A"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00D738C8"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5BA9F55F"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3</w:t>
            </w:r>
          </w:p>
        </w:tc>
      </w:tr>
      <w:tr w:rsidR="00552465" w:rsidRPr="0074423A" w14:paraId="3F9EC88A" w14:textId="77777777" w:rsidTr="00F34034">
        <w:trPr>
          <w:trHeight w:val="329"/>
        </w:trPr>
        <w:tc>
          <w:tcPr>
            <w:tcW w:w="1575" w:type="pct"/>
            <w:shd w:val="clear" w:color="auto" w:fill="auto"/>
            <w:vAlign w:val="center"/>
          </w:tcPr>
          <w:p w14:paraId="368D7493"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H</w:t>
            </w:r>
          </w:p>
        </w:tc>
        <w:tc>
          <w:tcPr>
            <w:tcW w:w="1561" w:type="pct"/>
            <w:shd w:val="clear" w:color="auto" w:fill="auto"/>
          </w:tcPr>
          <w:p w14:paraId="6BBDF488"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715AEA08"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47D13303"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3</w:t>
            </w:r>
          </w:p>
        </w:tc>
      </w:tr>
      <w:tr w:rsidR="00552465" w:rsidRPr="0074423A" w14:paraId="6415368F" w14:textId="77777777" w:rsidTr="00F34034">
        <w:trPr>
          <w:trHeight w:val="329"/>
        </w:trPr>
        <w:tc>
          <w:tcPr>
            <w:tcW w:w="1575" w:type="pct"/>
            <w:shd w:val="clear" w:color="auto" w:fill="auto"/>
            <w:vAlign w:val="center"/>
          </w:tcPr>
          <w:p w14:paraId="498036CA"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hAnsi="Times New Roman"/>
                <w:sz w:val="24"/>
                <w:szCs w:val="24"/>
              </w:rPr>
              <w:t>I</w:t>
            </w:r>
          </w:p>
        </w:tc>
        <w:tc>
          <w:tcPr>
            <w:tcW w:w="1561" w:type="pct"/>
            <w:shd w:val="clear" w:color="auto" w:fill="auto"/>
          </w:tcPr>
          <w:p w14:paraId="56C2C95C"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Completed</w:t>
            </w:r>
          </w:p>
        </w:tc>
        <w:tc>
          <w:tcPr>
            <w:tcW w:w="988" w:type="pct"/>
            <w:gridSpan w:val="2"/>
            <w:shd w:val="clear" w:color="auto" w:fill="auto"/>
            <w:vAlign w:val="center"/>
          </w:tcPr>
          <w:p w14:paraId="09B3B06F" w14:textId="77777777" w:rsidR="00552465" w:rsidRPr="0074423A" w:rsidRDefault="00552465" w:rsidP="00552465">
            <w:pPr>
              <w:pStyle w:val="MDPI42tablebody"/>
              <w:spacing w:line="360" w:lineRule="auto"/>
              <w:rPr>
                <w:rFonts w:ascii="Times New Roman" w:eastAsia="Calibri" w:hAnsi="Times New Roman"/>
                <w:sz w:val="24"/>
                <w:szCs w:val="24"/>
              </w:rPr>
            </w:pPr>
            <w:r w:rsidRPr="0074423A">
              <w:rPr>
                <w:rFonts w:ascii="Times New Roman" w:eastAsia="Calibri" w:hAnsi="Times New Roman"/>
                <w:sz w:val="24"/>
                <w:szCs w:val="24"/>
              </w:rPr>
              <w:t>7</w:t>
            </w:r>
          </w:p>
        </w:tc>
        <w:tc>
          <w:tcPr>
            <w:tcW w:w="876" w:type="pct"/>
            <w:shd w:val="clear" w:color="auto" w:fill="auto"/>
            <w:vAlign w:val="center"/>
          </w:tcPr>
          <w:p w14:paraId="4D8435EA" w14:textId="77777777" w:rsidR="00552465" w:rsidRPr="0074423A" w:rsidRDefault="00552465" w:rsidP="00552465">
            <w:pPr>
              <w:pStyle w:val="MDPI42tablebody"/>
              <w:spacing w:line="360" w:lineRule="auto"/>
              <w:rPr>
                <w:rFonts w:ascii="Times New Roman" w:hAnsi="Times New Roman"/>
                <w:sz w:val="24"/>
                <w:szCs w:val="24"/>
              </w:rPr>
            </w:pPr>
            <w:r w:rsidRPr="0074423A">
              <w:rPr>
                <w:rFonts w:ascii="Times New Roman" w:hAnsi="Times New Roman"/>
                <w:sz w:val="24"/>
                <w:szCs w:val="24"/>
              </w:rPr>
              <w:t>2</w:t>
            </w:r>
          </w:p>
        </w:tc>
      </w:tr>
    </w:tbl>
    <w:p w14:paraId="1FEE5DA5" w14:textId="77777777" w:rsidR="00787FB7" w:rsidRPr="0074423A" w:rsidRDefault="00787FB7" w:rsidP="00787FB7">
      <w:pPr>
        <w:pStyle w:val="Caption"/>
        <w:spacing w:line="360" w:lineRule="auto"/>
      </w:pPr>
      <w:bookmarkStart w:id="24" w:name="_Toc151459312"/>
      <w:r>
        <w:t xml:space="preserve">Table </w:t>
      </w:r>
      <w:fldSimple w:instr=" SEQ Table \* ARABIC ">
        <w:r>
          <w:rPr>
            <w:noProof/>
          </w:rPr>
          <w:t>4</w:t>
        </w:r>
      </w:fldSimple>
      <w:r>
        <w:t xml:space="preserve">. </w:t>
      </w:r>
      <w:r w:rsidRPr="0074423A">
        <w:t>Outcomes for equine enrolled in the refeeding program.</w:t>
      </w:r>
      <w:bookmarkEnd w:id="24"/>
    </w:p>
    <w:p w14:paraId="0653FAE4" w14:textId="3293FD7F" w:rsidR="004D0248" w:rsidRPr="00787FB7" w:rsidRDefault="004D0248" w:rsidP="00787FB7">
      <w:pPr>
        <w:pStyle w:val="Caption"/>
        <w:rPr>
          <w:rFonts w:ascii="Arial" w:hAnsi="Arial"/>
        </w:rPr>
      </w:pPr>
      <w:r>
        <w:br w:type="page"/>
      </w:r>
      <w:bookmarkStart w:id="25" w:name="_Toc151022970"/>
      <w:r w:rsidRPr="00BF178C">
        <w:rPr>
          <w:noProof/>
        </w:rPr>
        <w:lastRenderedPageBreak/>
        <w:drawing>
          <wp:anchor distT="0" distB="0" distL="114300" distR="114300" simplePos="0" relativeHeight="251677696" behindDoc="0" locked="0" layoutInCell="1" allowOverlap="1" wp14:anchorId="0BC8E893" wp14:editId="0EB02592">
            <wp:simplePos x="0" y="0"/>
            <wp:positionH relativeFrom="column">
              <wp:posOffset>488950</wp:posOffset>
            </wp:positionH>
            <wp:positionV relativeFrom="paragraph">
              <wp:posOffset>0</wp:posOffset>
            </wp:positionV>
            <wp:extent cx="4220845" cy="5264785"/>
            <wp:effectExtent l="0" t="0" r="0" b="5715"/>
            <wp:wrapTopAndBottom/>
            <wp:docPr id="226721079" name="Picture 226721079" descr="A screenshot of a 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55268" name="Picture 1" descr="A screenshot of a chart&#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220845" cy="5264785"/>
                    </a:xfrm>
                    <a:prstGeom prst="rect">
                      <a:avLst/>
                    </a:prstGeom>
                  </pic:spPr>
                </pic:pic>
              </a:graphicData>
            </a:graphic>
            <wp14:sizeRelH relativeFrom="page">
              <wp14:pctWidth>0</wp14:pctWidth>
            </wp14:sizeRelH>
            <wp14:sizeRelV relativeFrom="page">
              <wp14:pctHeight>0</wp14:pctHeight>
            </wp14:sizeRelV>
          </wp:anchor>
        </w:drawing>
      </w:r>
      <w:r w:rsidR="00787FB7">
        <w:t xml:space="preserve">Figure </w:t>
      </w:r>
      <w:fldSimple w:instr=" SEQ Figure \* ARABIC ">
        <w:r w:rsidR="00787FB7">
          <w:rPr>
            <w:noProof/>
          </w:rPr>
          <w:t>1</w:t>
        </w:r>
      </w:fldSimple>
      <w:r w:rsidR="00787FB7">
        <w:t>.</w:t>
      </w:r>
      <w:r w:rsidR="00787FB7" w:rsidRPr="00CA3E16">
        <w:t xml:space="preserve"> Box plots of blood plasma data conveying the differences between blood during the CCP (</w:t>
      </w:r>
      <w:r w:rsidR="00787FB7" w:rsidRPr="00A44EFF">
        <w:t xml:space="preserve">n </w:t>
      </w:r>
      <w:r w:rsidR="00787FB7" w:rsidRPr="00CA3E16">
        <w:t>= 68) and the RP (</w:t>
      </w:r>
      <w:r w:rsidR="00787FB7" w:rsidRPr="00A44EFF">
        <w:t xml:space="preserve">n </w:t>
      </w:r>
      <w:r w:rsidR="00787FB7" w:rsidRPr="00CA3E16">
        <w:t>= 15). Asterisks represent statistical significance (</w:t>
      </w:r>
      <w:r w:rsidR="00787FB7" w:rsidRPr="00A44EFF">
        <w:t xml:space="preserve">p </w:t>
      </w:r>
      <w:r w:rsidR="00787FB7" w:rsidRPr="00CA3E16">
        <w:t xml:space="preserve">value ≤ 0.1 = *; </w:t>
      </w:r>
      <w:r w:rsidR="00787FB7" w:rsidRPr="00A44EFF">
        <w:t xml:space="preserve">p </w:t>
      </w:r>
      <w:r w:rsidR="00787FB7" w:rsidRPr="00CA3E16">
        <w:t>value ≤ 0.05 = **). LDH: lactate dehydrogenase (</w:t>
      </w:r>
      <w:r w:rsidR="00787FB7" w:rsidRPr="00A44EFF">
        <w:t xml:space="preserve">p </w:t>
      </w:r>
      <w:r w:rsidR="00787FB7" w:rsidRPr="00CA3E16">
        <w:t>value 0.06), U/L; ALP: alkaline phosphatase, U/L; ALB: albumin (</w:t>
      </w:r>
      <w:r w:rsidR="00787FB7" w:rsidRPr="00A44EFF">
        <w:t xml:space="preserve">p </w:t>
      </w:r>
      <w:r w:rsidR="00787FB7" w:rsidRPr="00CA3E16">
        <w:t>value 0.04), g/dL; BUN: blood urea nitrogen, mg/dL; GGT: gamma-glutamyl transferase, U/L; mg/dL; TRIG: triglycerides, mg/dL; AST: aspartate amino transferase (</w:t>
      </w:r>
      <w:r w:rsidR="00787FB7" w:rsidRPr="00A44EFF">
        <w:t xml:space="preserve">p </w:t>
      </w:r>
      <w:r w:rsidR="00787FB7" w:rsidRPr="00CA3E16">
        <w:t>value 0.09), U/L; TP: total protein, g/dL; GLUC: glucose, mg/dL; Phos: phosphate, mg/dL; ALT: alanine transaminase, U/L; CREAT: creatinine (</w:t>
      </w:r>
      <w:r w:rsidR="00787FB7" w:rsidRPr="00A44EFF">
        <w:t xml:space="preserve">p </w:t>
      </w:r>
      <w:r w:rsidR="00787FB7" w:rsidRPr="00CA3E16">
        <w:t>value 0.04)</w:t>
      </w:r>
      <w:r w:rsidR="00787FB7" w:rsidRPr="00CA3E16">
        <w:rPr>
          <w:rFonts w:cs="Times New Roman"/>
        </w:rPr>
        <w:t>.</w:t>
      </w:r>
      <w:bookmarkEnd w:id="25"/>
    </w:p>
    <w:p w14:paraId="698C6E0C" w14:textId="77777777" w:rsidR="00787FB7" w:rsidRDefault="00787FB7" w:rsidP="008A6B75">
      <w:pPr>
        <w:pStyle w:val="NormalWeb"/>
        <w:spacing w:line="360" w:lineRule="auto"/>
      </w:pPr>
    </w:p>
    <w:p w14:paraId="6D0ADBC7" w14:textId="77777777" w:rsidR="00787FB7" w:rsidRDefault="00787FB7" w:rsidP="008A6B75">
      <w:pPr>
        <w:pStyle w:val="NormalWeb"/>
        <w:spacing w:line="360" w:lineRule="auto"/>
      </w:pPr>
    </w:p>
    <w:p w14:paraId="52BDC1A5" w14:textId="4FFE6238" w:rsidR="004F2CE2" w:rsidRDefault="00AA7CD5" w:rsidP="008A6B75">
      <w:pPr>
        <w:pStyle w:val="NormalWeb"/>
        <w:spacing w:line="360" w:lineRule="auto"/>
      </w:pPr>
      <w:r w:rsidRPr="00C97FCF">
        <w:lastRenderedPageBreak/>
        <w:t xml:space="preserve">were also detected when comparing diet, sex, and age group in blood plasma and serum samples (Supplementary Tables S2–S7). </w:t>
      </w:r>
    </w:p>
    <w:p w14:paraId="6A11C62F" w14:textId="553231E6" w:rsidR="00AA7CD5" w:rsidRPr="004F2CE2" w:rsidRDefault="00AA7CD5" w:rsidP="004F2CE2">
      <w:pPr>
        <w:pStyle w:val="Heading3"/>
        <w:rPr>
          <w:rFonts w:ascii="Times New Roman" w:hAnsi="Times New Roman" w:cs="Times New Roman"/>
        </w:rPr>
      </w:pPr>
      <w:bookmarkStart w:id="26" w:name="_Toc151023678"/>
      <w:r w:rsidRPr="004F2CE2">
        <w:rPr>
          <w:rFonts w:ascii="Times New Roman" w:hAnsi="Times New Roman" w:cs="Times New Roman"/>
        </w:rPr>
        <w:t>Fold Change Analysis of Metabolites Detected in Equine Subjects during the CCP and RPs</w:t>
      </w:r>
      <w:bookmarkEnd w:id="26"/>
      <w:r w:rsidRPr="004F2CE2">
        <w:rPr>
          <w:rFonts w:ascii="Times New Roman" w:hAnsi="Times New Roman" w:cs="Times New Roman"/>
        </w:rPr>
        <w:t xml:space="preserve"> </w:t>
      </w:r>
    </w:p>
    <w:p w14:paraId="46ECF5E8" w14:textId="77777777" w:rsidR="00AA7CD5" w:rsidRDefault="00AA7CD5" w:rsidP="008A6B75">
      <w:pPr>
        <w:pStyle w:val="NormalWeb"/>
        <w:spacing w:line="360" w:lineRule="auto"/>
      </w:pPr>
      <w:r w:rsidRPr="00C97FCF">
        <w:t>Fold changes (i.e., comparisons of metabolite abundance between sample types) were calculated for metabolites present in blood plasma. Of the metabolites detected, those classified as amino acids (amino acids, precursors, derivatives, and metabolism byproducts) showed the most perturbations (Figure</w:t>
      </w:r>
      <w:r w:rsidRPr="000C3D5E">
        <w:rPr>
          <w:color w:val="000000" w:themeColor="text1"/>
        </w:rPr>
        <w:t xml:space="preserve"> 2</w:t>
      </w:r>
      <w:r w:rsidRPr="00C97FCF">
        <w:t xml:space="preserve">). Overall, amino acid related metabolites such as glutamine, methionine, phenylalanine, alanine/sarcosine, and creatine showed statistically significant decreases during the RP compared to the CCP; however, </w:t>
      </w:r>
      <w:r w:rsidRPr="00C97FCF">
        <w:rPr>
          <w:i/>
          <w:iCs/>
        </w:rPr>
        <w:t>N</w:t>
      </w:r>
      <w:r w:rsidRPr="00C97FCF">
        <w:t xml:space="preserve">-acetylornithine showed a significant increase in abundance during the RP. Additionally, metabolites such as uridine, allantoin, and uric acid showed significant decreases. With the exception of </w:t>
      </w:r>
      <w:r w:rsidRPr="00C97FCF">
        <w:rPr>
          <w:i/>
          <w:iCs/>
        </w:rPr>
        <w:t>N</w:t>
      </w:r>
      <w:r w:rsidRPr="00C97FCF">
        <w:t xml:space="preserve">-acetylornithine, metabolites showing significant fold changes exhibited an overall decreased abundance during the RP compared to the CCP (Supplementary Table S8). </w:t>
      </w:r>
    </w:p>
    <w:p w14:paraId="0BA2904A" w14:textId="77777777" w:rsidR="00AA7CD5" w:rsidRPr="009E5AA1" w:rsidRDefault="00AA7CD5" w:rsidP="008A6B75">
      <w:pPr>
        <w:pStyle w:val="Heading3"/>
        <w:spacing w:line="360" w:lineRule="auto"/>
        <w:rPr>
          <w:rFonts w:ascii="Times New Roman" w:hAnsi="Times New Roman" w:cs="Times New Roman"/>
        </w:rPr>
      </w:pPr>
      <w:bookmarkStart w:id="27" w:name="_Toc151023679"/>
      <w:r w:rsidRPr="009E5AA1">
        <w:rPr>
          <w:rFonts w:ascii="Times New Roman" w:hAnsi="Times New Roman" w:cs="Times New Roman"/>
        </w:rPr>
        <w:t>Differences of the Metabolic Profiles of Equine Subjects in the CCP vs. the RP</w:t>
      </w:r>
      <w:bookmarkEnd w:id="27"/>
      <w:r w:rsidRPr="009E5AA1">
        <w:rPr>
          <w:rFonts w:ascii="Times New Roman" w:hAnsi="Times New Roman" w:cs="Times New Roman"/>
        </w:rPr>
        <w:t xml:space="preserve"> </w:t>
      </w:r>
    </w:p>
    <w:p w14:paraId="76861389" w14:textId="7E6EDFAD" w:rsidR="004D0248" w:rsidRDefault="00AA7CD5" w:rsidP="008A6B75">
      <w:pPr>
        <w:spacing w:line="360" w:lineRule="auto"/>
        <w:rPr>
          <w:rFonts w:ascii="Times New Roman" w:hAnsi="Times New Roman" w:cs="Times New Roman"/>
        </w:rPr>
      </w:pPr>
      <w:r w:rsidRPr="00C82216">
        <w:rPr>
          <w:rFonts w:ascii="Times New Roman" w:hAnsi="Times New Roman" w:cs="Times New Roman"/>
        </w:rPr>
        <w:t>PLS-DA multivariate analyses allow complex data (i.e., metabolomics data) to be reduced to a simple three-dimensional scores plot, which clusters data based on variability between the samples (Worley, Halouska, and Powers 2013; Council 2007). Using these plots, one can generate hypotheses as to potential differences in metabolomic profiles between groupings, as well as investigate the metabolites that drive those differences. A PLS-DA was performed on the metabolomics data (known metabolites and unidentified features) to investigate potential differences in metabolomic profiles between equine in the CCP vs. the RP. Comparison of features unique to these groups resulted in a clear separation (Figure 3). As the known metabolites represent only a small portion of the data presented here, unidentified features were included in this analysis as these features provide insight into metabolic processes that have not yet been well described and contribute to a global view of all characteristic data points in a sample, serving as an important component of metabolic profile. Data from these analyses, combined with statistical fold change analysis, suggest that differences in the metabolome can be observed for equine subjects in the CCP vs. those in the RP undergoing the refeeding process.</w:t>
      </w:r>
    </w:p>
    <w:p w14:paraId="684C0AC6" w14:textId="2023E69C" w:rsidR="006011EB" w:rsidRDefault="00787FB7" w:rsidP="004D0248">
      <w:pPr>
        <w:pStyle w:val="Caption"/>
        <w:spacing w:line="360" w:lineRule="auto"/>
      </w:pPr>
      <w:bookmarkStart w:id="28" w:name="_Toc151022971"/>
      <w:r>
        <w:rPr>
          <w:rFonts w:cs="Times New Roman"/>
          <w:b w:val="0"/>
          <w:bCs w:val="0"/>
          <w:iCs/>
          <w:noProof/>
          <w:sz w:val="28"/>
          <w:szCs w:val="28"/>
        </w:rPr>
        <w:lastRenderedPageBreak/>
        <w:drawing>
          <wp:anchor distT="0" distB="0" distL="114300" distR="114300" simplePos="0" relativeHeight="251679744" behindDoc="0" locked="0" layoutInCell="1" allowOverlap="1" wp14:anchorId="48450D28" wp14:editId="207E16EE">
            <wp:simplePos x="0" y="0"/>
            <wp:positionH relativeFrom="column">
              <wp:posOffset>1009650</wp:posOffset>
            </wp:positionH>
            <wp:positionV relativeFrom="paragraph">
              <wp:posOffset>0</wp:posOffset>
            </wp:positionV>
            <wp:extent cx="3646805" cy="6434455"/>
            <wp:effectExtent l="0" t="0" r="0" b="4445"/>
            <wp:wrapTopAndBottom/>
            <wp:docPr id="858480624" name="Picture 858480624" descr="A picture containing text, screenshot,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51389" name="Picture 2" descr="A picture containing text, screenshot, desig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46805" cy="6434455"/>
                    </a:xfrm>
                    <a:prstGeom prst="rect">
                      <a:avLst/>
                    </a:prstGeom>
                  </pic:spPr>
                </pic:pic>
              </a:graphicData>
            </a:graphic>
            <wp14:sizeRelH relativeFrom="page">
              <wp14:pctWidth>0</wp14:pctWidth>
            </wp14:sizeRelH>
            <wp14:sizeRelV relativeFrom="page">
              <wp14:pctHeight>0</wp14:pctHeight>
            </wp14:sizeRelV>
          </wp:anchor>
        </w:drawing>
      </w:r>
      <w:r w:rsidR="004D0248">
        <w:t xml:space="preserve">Figure </w:t>
      </w:r>
      <w:fldSimple w:instr=" SEQ Figure \* ARABIC ">
        <w:r w:rsidR="004D0248">
          <w:rPr>
            <w:noProof/>
          </w:rPr>
          <w:t>2</w:t>
        </w:r>
      </w:fldSimple>
      <w:r w:rsidR="004D0248">
        <w:t xml:space="preserve">. </w:t>
      </w:r>
      <w:r w:rsidR="004D0248" w:rsidRPr="00C97FCF">
        <w:t>Heatmap showing increased or decreased abundance of detected metabolites organized by compound class between the RP (</w:t>
      </w:r>
      <w:r w:rsidR="004D0248" w:rsidRPr="00C97FCF">
        <w:rPr>
          <w:i/>
          <w:iCs/>
        </w:rPr>
        <w:t xml:space="preserve">n </w:t>
      </w:r>
      <w:r w:rsidR="004D0248" w:rsidRPr="00C97FCF">
        <w:t>= 20) and the CCP (</w:t>
      </w:r>
      <w:r w:rsidR="004D0248" w:rsidRPr="00C97FCF">
        <w:rPr>
          <w:i/>
          <w:iCs/>
        </w:rPr>
        <w:t xml:space="preserve">n </w:t>
      </w:r>
      <w:r w:rsidR="004D0248" w:rsidRPr="00C97FCF">
        <w:t>= 68; fold change of RP/CCP). Eight compounds exhibited significantly lower</w:t>
      </w:r>
      <w:r w:rsidR="004D0248">
        <w:t xml:space="preserve"> </w:t>
      </w:r>
      <w:r w:rsidR="004D0248" w:rsidRPr="00C97FCF">
        <w:t>abundance while one compound showed significantly higher abundance during the RP.</w:t>
      </w:r>
      <w:bookmarkEnd w:id="28"/>
      <w:r w:rsidR="004D0248" w:rsidRPr="00C97FCF">
        <w:t xml:space="preserve"> </w:t>
      </w:r>
    </w:p>
    <w:p w14:paraId="5737B5FA" w14:textId="4CCD9A45" w:rsidR="006011EB" w:rsidRDefault="006011EB">
      <w:pPr>
        <w:rPr>
          <w:rFonts w:ascii="Times New Roman" w:hAnsi="Times New Roman"/>
          <w:b/>
          <w:bCs/>
        </w:rPr>
      </w:pPr>
      <w:r>
        <w:br w:type="page"/>
      </w:r>
    </w:p>
    <w:p w14:paraId="3093F7DE" w14:textId="77777777" w:rsidR="006011EB" w:rsidRPr="00D0495E" w:rsidRDefault="006011EB" w:rsidP="006011EB">
      <w:pPr>
        <w:pStyle w:val="Caption"/>
        <w:spacing w:line="360" w:lineRule="auto"/>
      </w:pPr>
      <w:bookmarkStart w:id="29" w:name="_Toc151022972"/>
      <w:r>
        <w:rPr>
          <w:noProof/>
        </w:rPr>
        <w:lastRenderedPageBreak/>
        <w:drawing>
          <wp:anchor distT="0" distB="0" distL="114300" distR="114300" simplePos="0" relativeHeight="251681792" behindDoc="0" locked="0" layoutInCell="1" allowOverlap="1" wp14:anchorId="3798C64F" wp14:editId="471E273C">
            <wp:simplePos x="0" y="0"/>
            <wp:positionH relativeFrom="column">
              <wp:posOffset>-190795</wp:posOffset>
            </wp:positionH>
            <wp:positionV relativeFrom="paragraph">
              <wp:posOffset>222</wp:posOffset>
            </wp:positionV>
            <wp:extent cx="5858510" cy="5901690"/>
            <wp:effectExtent l="0" t="0" r="0" b="0"/>
            <wp:wrapTopAndBottom/>
            <wp:docPr id="2125475555" name="Picture 2125475555" descr="A picture containing diagram, tex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249" name="Picture 3" descr="A picture containing diagram, text, plo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858510" cy="5901690"/>
                    </a:xfrm>
                    <a:prstGeom prst="rect">
                      <a:avLst/>
                    </a:prstGeom>
                  </pic:spPr>
                </pic:pic>
              </a:graphicData>
            </a:graphic>
            <wp14:sizeRelH relativeFrom="page">
              <wp14:pctWidth>0</wp14:pctWidth>
            </wp14:sizeRelH>
            <wp14:sizeRelV relativeFrom="page">
              <wp14:pctHeight>0</wp14:pctHeight>
            </wp14:sizeRelV>
          </wp:anchor>
        </w:drawing>
      </w:r>
      <w:r>
        <w:t xml:space="preserve">Figure </w:t>
      </w:r>
      <w:fldSimple w:instr=" SEQ Figure \* ARABIC ">
        <w:r>
          <w:rPr>
            <w:noProof/>
          </w:rPr>
          <w:t>3</w:t>
        </w:r>
      </w:fldSimple>
      <w:r>
        <w:t xml:space="preserve">. </w:t>
      </w:r>
      <w:r w:rsidRPr="00D0495E">
        <w:t>PLS-DA containing known metabolites and unidentified features detected during the CCP (n = 68) and RP (n = 20). The resulting plot shows separation between the groupings, indicating differences in the equine metabolomic profile during the CCP and the RP.</w:t>
      </w:r>
      <w:bookmarkEnd w:id="29"/>
    </w:p>
    <w:p w14:paraId="6ACA3CB5" w14:textId="77777777" w:rsidR="004D0248" w:rsidRDefault="004D0248" w:rsidP="004D0248">
      <w:pPr>
        <w:pStyle w:val="Caption"/>
        <w:spacing w:line="360" w:lineRule="auto"/>
      </w:pPr>
    </w:p>
    <w:p w14:paraId="5EA86D1D" w14:textId="3429E0E9" w:rsidR="00AA7CD5" w:rsidRPr="004D0248" w:rsidRDefault="004D0248" w:rsidP="008A6B75">
      <w:pPr>
        <w:spacing w:line="360" w:lineRule="auto"/>
        <w:rPr>
          <w:rFonts w:ascii="Times New Roman" w:hAnsi="Times New Roman" w:cs="Times New Roman"/>
          <w:b/>
          <w:bCs/>
          <w:iCs/>
          <w:sz w:val="28"/>
          <w:szCs w:val="28"/>
        </w:rPr>
      </w:pPr>
      <w:r>
        <w:rPr>
          <w:rFonts w:ascii="Times New Roman" w:hAnsi="Times New Roman" w:cs="Times New Roman"/>
        </w:rPr>
        <w:br w:type="page"/>
      </w:r>
    </w:p>
    <w:p w14:paraId="10A878DE" w14:textId="77777777" w:rsidR="00AA7CD5" w:rsidRPr="009E5AA1" w:rsidRDefault="00AA7CD5" w:rsidP="008A6B75">
      <w:pPr>
        <w:pStyle w:val="Heading3"/>
        <w:spacing w:line="360" w:lineRule="auto"/>
        <w:rPr>
          <w:rFonts w:ascii="Times New Roman" w:hAnsi="Times New Roman" w:cs="Times New Roman"/>
        </w:rPr>
      </w:pPr>
      <w:bookmarkStart w:id="30" w:name="_Toc151023680"/>
      <w:r w:rsidRPr="009E5AA1">
        <w:rPr>
          <w:rFonts w:ascii="Times New Roman" w:hAnsi="Times New Roman" w:cs="Times New Roman"/>
        </w:rPr>
        <w:lastRenderedPageBreak/>
        <w:t>Effects of Subject-Specific Attributes on the Metabolome</w:t>
      </w:r>
      <w:bookmarkEnd w:id="30"/>
      <w:r w:rsidRPr="009E5AA1">
        <w:rPr>
          <w:rFonts w:ascii="Times New Roman" w:hAnsi="Times New Roman" w:cs="Times New Roman"/>
        </w:rPr>
        <w:t xml:space="preserve"> </w:t>
      </w:r>
    </w:p>
    <w:p w14:paraId="2A318722" w14:textId="77777777" w:rsidR="00AA7CD5" w:rsidRPr="000C3D5E" w:rsidRDefault="00AA7CD5" w:rsidP="008A6B75">
      <w:pPr>
        <w:pStyle w:val="NormalWeb"/>
        <w:spacing w:line="360" w:lineRule="auto"/>
      </w:pPr>
      <w:r w:rsidRPr="000C3D5E">
        <w:t xml:space="preserve">Metabolic profiles (including known metabolites and unidentified features) were compared using the variety of metadata provided within the study: diet (C vs. S), sex (mare vs. gelding), and age group (below 20 years old vs. 20 years old and above). Analysis on breed specifications were not conducted due to low replicates (e.g., only one equine subject was of the Standardbred breed). PLS-DAs comparing diet, sex, and age group showed distinct groupings (Figure </w:t>
      </w:r>
      <w:r w:rsidRPr="000C3D5E">
        <w:rPr>
          <w:color w:val="000000" w:themeColor="text1"/>
        </w:rPr>
        <w:t>4</w:t>
      </w:r>
      <w:r w:rsidRPr="000C3D5E">
        <w:t xml:space="preserve">). Features were evaluated using a </w:t>
      </w:r>
      <w:r w:rsidRPr="000C3D5E">
        <w:rPr>
          <w:i/>
          <w:iCs/>
        </w:rPr>
        <w:t>t</w:t>
      </w:r>
      <w:r w:rsidRPr="000C3D5E">
        <w:t>-test and yielded 127, 157, and 40 statistically significant compounds (</w:t>
      </w:r>
      <w:r w:rsidRPr="000C3D5E">
        <w:rPr>
          <w:i/>
          <w:iCs/>
        </w:rPr>
        <w:t xml:space="preserve">p </w:t>
      </w:r>
      <w:r w:rsidRPr="000C3D5E">
        <w:t xml:space="preserve">value ≤ 0.1) for diet, sex, and age comparisons, respectively (Supplementary Tables S9–S11). </w:t>
      </w:r>
    </w:p>
    <w:p w14:paraId="4919FCD1" w14:textId="7F2B2B9B" w:rsidR="004D0248" w:rsidRDefault="00AA7CD5" w:rsidP="008A6B75">
      <w:pPr>
        <w:pStyle w:val="NormalWeb"/>
        <w:spacing w:line="360" w:lineRule="auto"/>
      </w:pPr>
      <w:r w:rsidRPr="000C3D5E">
        <w:t xml:space="preserve">Components that drive separation in the PLS-DA are characterized by a higher variable importance projection (VIP) score (i.e., VIP scores greater than 1; Supplementary Tables S12–S14). A Venn Diagram was used (Figure </w:t>
      </w:r>
      <w:r w:rsidRPr="000C3D5E">
        <w:rPr>
          <w:color w:val="000000" w:themeColor="text1"/>
        </w:rPr>
        <w:t>4</w:t>
      </w:r>
      <w:r w:rsidRPr="000C3D5E">
        <w:t xml:space="preserve">) to gauge feature-based similarities and differences between subject-specific attributes. Overall, 33 features (including known metabolites and unidentified features) were common to all three groups evaluated, suggesting these features are common across the equine used in this study. Features that were unique to each group were much higher for sex and diet (22 and 28, respectively) than that of age group, which possessed eight unique features. </w:t>
      </w:r>
    </w:p>
    <w:p w14:paraId="0504B320" w14:textId="13C26719" w:rsidR="00AA7CD5" w:rsidRPr="009E5AA1" w:rsidRDefault="00AA7CD5" w:rsidP="008A6B75">
      <w:pPr>
        <w:pStyle w:val="Heading3"/>
        <w:spacing w:line="360" w:lineRule="auto"/>
        <w:rPr>
          <w:rFonts w:ascii="Times New Roman" w:hAnsi="Times New Roman" w:cs="Times New Roman"/>
        </w:rPr>
      </w:pPr>
      <w:bookmarkStart w:id="31" w:name="_Toc151023681"/>
      <w:r w:rsidRPr="009E5AA1">
        <w:rPr>
          <w:rFonts w:ascii="Times New Roman" w:hAnsi="Times New Roman" w:cs="Times New Roman"/>
        </w:rPr>
        <w:t xml:space="preserve">Effects of Subject-Specific Attributes </w:t>
      </w:r>
      <w:r w:rsidR="006011EB">
        <w:rPr>
          <w:rFonts w:ascii="Times New Roman" w:hAnsi="Times New Roman" w:cs="Times New Roman"/>
        </w:rPr>
        <w:t xml:space="preserve">on </w:t>
      </w:r>
      <w:r w:rsidRPr="009E5AA1">
        <w:rPr>
          <w:rFonts w:ascii="Times New Roman" w:hAnsi="Times New Roman" w:cs="Times New Roman"/>
        </w:rPr>
        <w:t>the Metabolome</w:t>
      </w:r>
      <w:bookmarkEnd w:id="31"/>
      <w:r w:rsidRPr="009E5AA1">
        <w:rPr>
          <w:rFonts w:ascii="Times New Roman" w:hAnsi="Times New Roman" w:cs="Times New Roman"/>
        </w:rPr>
        <w:t xml:space="preserve"> </w:t>
      </w:r>
    </w:p>
    <w:p w14:paraId="205873E5" w14:textId="77777777" w:rsidR="00AA7CD5" w:rsidRPr="000C3D5E" w:rsidRDefault="00AA7CD5" w:rsidP="008A6B75">
      <w:pPr>
        <w:pStyle w:val="NormalWeb"/>
        <w:spacing w:line="360" w:lineRule="auto"/>
      </w:pPr>
      <w:r w:rsidRPr="000C3D5E">
        <w:t xml:space="preserve">Metabolic profiles (including known metabolites and unidentified features) were compared using the variety of metadata provided within the study: diet (C vs. S), sex (mare vs. gelding), and age group (below 20 years old vs. 20 years old and above). Analysis on breed specifications were not conducted due to low replicates (e.g., only one equine subject was of the Standardbred breed). PLS-DAs comparing diet, sex, and age group showed distinct groupings (Figure </w:t>
      </w:r>
      <w:r w:rsidRPr="000C3D5E">
        <w:rPr>
          <w:color w:val="000000" w:themeColor="text1"/>
        </w:rPr>
        <w:t>4</w:t>
      </w:r>
      <w:r w:rsidRPr="000C3D5E">
        <w:t xml:space="preserve">). Features were evaluated using a </w:t>
      </w:r>
      <w:r w:rsidRPr="000C3D5E">
        <w:rPr>
          <w:i/>
          <w:iCs/>
        </w:rPr>
        <w:t>t</w:t>
      </w:r>
      <w:r w:rsidRPr="000C3D5E">
        <w:t>-test and yielded 127, 157, and 40 statistically significant compounds (</w:t>
      </w:r>
      <w:r w:rsidRPr="000C3D5E">
        <w:rPr>
          <w:i/>
          <w:iCs/>
        </w:rPr>
        <w:t xml:space="preserve">p </w:t>
      </w:r>
      <w:r w:rsidRPr="000C3D5E">
        <w:t xml:space="preserve">value ≤ 0.1) for diet, sex, and age comparisons, respectively (Supplementary Tables S9–S11). </w:t>
      </w:r>
    </w:p>
    <w:p w14:paraId="56DC90AE" w14:textId="77777777" w:rsidR="006011EB" w:rsidRDefault="00AA7CD5" w:rsidP="004D0248">
      <w:pPr>
        <w:pStyle w:val="NormalWeb"/>
        <w:spacing w:line="360" w:lineRule="auto"/>
      </w:pPr>
      <w:r w:rsidRPr="000C3D5E">
        <w:t>Components that drive separation in the PLS-DA are characterized by a higher variable importance projection (VIP) score (i.e., VIP scores greater than 1; Supplementary Tables S12–</w:t>
      </w:r>
    </w:p>
    <w:p w14:paraId="4E51955D" w14:textId="77777777" w:rsidR="006011EB" w:rsidRPr="000C3D5E" w:rsidRDefault="006011EB" w:rsidP="006011EB">
      <w:pPr>
        <w:pStyle w:val="Caption"/>
        <w:spacing w:line="360" w:lineRule="auto"/>
      </w:pPr>
      <w:bookmarkStart w:id="32" w:name="_Toc151022973"/>
      <w:r w:rsidRPr="00BF178C">
        <w:rPr>
          <w:noProof/>
        </w:rPr>
        <w:lastRenderedPageBreak/>
        <w:drawing>
          <wp:anchor distT="0" distB="0" distL="114300" distR="114300" simplePos="0" relativeHeight="251683840" behindDoc="0" locked="0" layoutInCell="1" allowOverlap="1" wp14:anchorId="014D0B0D" wp14:editId="3B86680A">
            <wp:simplePos x="0" y="0"/>
            <wp:positionH relativeFrom="column">
              <wp:posOffset>424844</wp:posOffset>
            </wp:positionH>
            <wp:positionV relativeFrom="paragraph">
              <wp:posOffset>458</wp:posOffset>
            </wp:positionV>
            <wp:extent cx="4861560" cy="5727700"/>
            <wp:effectExtent l="0" t="0" r="2540" b="0"/>
            <wp:wrapTopAndBottom/>
            <wp:docPr id="1508052977" name="Picture 1508052977" descr="A screenshot of a cell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40131" name="Picture 4" descr="A screenshot of a cell phon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4861560" cy="5727700"/>
                    </a:xfrm>
                    <a:prstGeom prst="rect">
                      <a:avLst/>
                    </a:prstGeom>
                  </pic:spPr>
                </pic:pic>
              </a:graphicData>
            </a:graphic>
            <wp14:sizeRelH relativeFrom="page">
              <wp14:pctWidth>0</wp14:pctWidth>
            </wp14:sizeRelH>
            <wp14:sizeRelV relativeFrom="page">
              <wp14:pctHeight>0</wp14:pctHeight>
            </wp14:sizeRelV>
          </wp:anchor>
        </w:drawing>
      </w:r>
      <w:r>
        <w:t xml:space="preserve">Figure </w:t>
      </w:r>
      <w:fldSimple w:instr=" SEQ Figure \* ARABIC ">
        <w:r>
          <w:rPr>
            <w:noProof/>
          </w:rPr>
          <w:t>4</w:t>
        </w:r>
      </w:fldSimple>
      <w:r>
        <w:t xml:space="preserve">. </w:t>
      </w:r>
      <w:r w:rsidRPr="00CA3E16">
        <w:t>PLS-DAs (left) of known metabolites and unidentified features detected in the metabolomes of all horses that were enrolled in the refeeding program grouped by diet (C vs. S), sex (mare vs. gelding), and age group (below 20 and 20 and above). Sample sizes used for PLS-DAs were as follows C: n = 52; S: n = 36; mare: n = 59; gelding: n = 29; below 20: n = 45; 20 and above: n = 43. Venn Diagram (right) displaying similarities and differences between features in each grouping</w:t>
      </w:r>
      <w:r w:rsidRPr="000C3D5E">
        <w:t>.</w:t>
      </w:r>
      <w:bookmarkEnd w:id="32"/>
      <w:r w:rsidRPr="000C3D5E">
        <w:t xml:space="preserve"> </w:t>
      </w:r>
    </w:p>
    <w:p w14:paraId="2ADBE887" w14:textId="77777777" w:rsidR="006011EB" w:rsidRDefault="006011EB" w:rsidP="006011EB">
      <w:pPr>
        <w:rPr>
          <w:rFonts w:ascii="Times New Roman" w:hAnsi="Times New Roman" w:cs="Times New Roman"/>
        </w:rPr>
      </w:pPr>
    </w:p>
    <w:p w14:paraId="386252F5" w14:textId="77777777" w:rsidR="006011EB" w:rsidRDefault="006011EB">
      <w:pPr>
        <w:rPr>
          <w:rFonts w:ascii="Times New Roman" w:hAnsi="Times New Roman" w:cs="Times New Roman"/>
        </w:rPr>
      </w:pPr>
      <w:r>
        <w:br w:type="page"/>
      </w:r>
    </w:p>
    <w:p w14:paraId="33264716" w14:textId="66A739D3" w:rsidR="00AA7CD5" w:rsidRPr="004D0248" w:rsidRDefault="00AA7CD5" w:rsidP="004D0248">
      <w:pPr>
        <w:pStyle w:val="NormalWeb"/>
        <w:spacing w:line="360" w:lineRule="auto"/>
      </w:pPr>
      <w:r w:rsidRPr="000C3D5E">
        <w:lastRenderedPageBreak/>
        <w:t xml:space="preserve">S14). A Venn Diagram was used (Figure </w:t>
      </w:r>
      <w:r w:rsidRPr="000C3D5E">
        <w:rPr>
          <w:color w:val="000000" w:themeColor="text1"/>
        </w:rPr>
        <w:t>4</w:t>
      </w:r>
      <w:r w:rsidRPr="000C3D5E">
        <w:t xml:space="preserve">) to gauge feature-based similarities and differences between subject-specific attributes. Overall, 33 features (including known metabolites and unidentified features) were common to all three groups evaluated, suggesting these features are common across the equine used in this study. Features that were unique to each group were much higher for sex and diet (22 and 28, respectively) than that of age group, which possessed eight unique features. </w:t>
      </w:r>
    </w:p>
    <w:p w14:paraId="5E81EB0F" w14:textId="77777777" w:rsidR="00AA7CD5" w:rsidRPr="009E5AA1" w:rsidRDefault="00AA7CD5" w:rsidP="008A6B75">
      <w:pPr>
        <w:pStyle w:val="Heading2"/>
        <w:spacing w:line="360" w:lineRule="auto"/>
        <w:rPr>
          <w:rFonts w:ascii="Times New Roman" w:hAnsi="Times New Roman" w:cs="Times New Roman"/>
          <w:sz w:val="24"/>
          <w:szCs w:val="24"/>
        </w:rPr>
      </w:pPr>
      <w:bookmarkStart w:id="33" w:name="_Toc151023682"/>
      <w:r w:rsidRPr="009E5AA1">
        <w:rPr>
          <w:rFonts w:ascii="Times New Roman" w:hAnsi="Times New Roman" w:cs="Times New Roman"/>
          <w:sz w:val="24"/>
          <w:szCs w:val="24"/>
        </w:rPr>
        <w:t>Discussion</w:t>
      </w:r>
      <w:bookmarkEnd w:id="33"/>
    </w:p>
    <w:p w14:paraId="39239702" w14:textId="77777777" w:rsidR="00AA7CD5" w:rsidRDefault="00AA7CD5" w:rsidP="008A6B75">
      <w:pPr>
        <w:spacing w:line="360" w:lineRule="auto"/>
        <w:jc w:val="center"/>
        <w:rPr>
          <w:rFonts w:ascii="Times New Roman" w:hAnsi="Times New Roman" w:cs="Times New Roman"/>
          <w:b/>
          <w:bCs/>
        </w:rPr>
      </w:pPr>
    </w:p>
    <w:p w14:paraId="25650B88" w14:textId="77777777" w:rsidR="00AA7CD5" w:rsidRPr="009E5AA1" w:rsidRDefault="00AA7CD5" w:rsidP="008A6B75">
      <w:pPr>
        <w:pStyle w:val="Heading3"/>
        <w:spacing w:line="360" w:lineRule="auto"/>
        <w:rPr>
          <w:rFonts w:ascii="Times New Roman" w:hAnsi="Times New Roman" w:cs="Times New Roman"/>
        </w:rPr>
      </w:pPr>
      <w:bookmarkStart w:id="34" w:name="_Toc151023683"/>
      <w:r w:rsidRPr="009E5AA1">
        <w:rPr>
          <w:rFonts w:ascii="Times New Roman" w:hAnsi="Times New Roman" w:cs="Times New Roman"/>
        </w:rPr>
        <w:t>Animal Origin and Source</w:t>
      </w:r>
      <w:bookmarkEnd w:id="34"/>
      <w:r w:rsidRPr="009E5AA1">
        <w:rPr>
          <w:rFonts w:ascii="Times New Roman" w:hAnsi="Times New Roman" w:cs="Times New Roman"/>
        </w:rPr>
        <w:t xml:space="preserve"> </w:t>
      </w:r>
    </w:p>
    <w:p w14:paraId="30783826" w14:textId="77777777" w:rsidR="00AA7CD5" w:rsidRPr="0099764F" w:rsidRDefault="00AA7CD5" w:rsidP="008A6B75">
      <w:pPr>
        <w:pStyle w:val="MDPI31text"/>
        <w:spacing w:line="360" w:lineRule="auto"/>
        <w:ind w:left="0" w:firstLine="0"/>
        <w:rPr>
          <w:rFonts w:ascii="Times New Roman" w:hAnsi="Times New Roman"/>
          <w:sz w:val="24"/>
          <w:szCs w:val="24"/>
        </w:rPr>
      </w:pPr>
      <w:r w:rsidRPr="0099764F">
        <w:rPr>
          <w:rFonts w:ascii="Times New Roman" w:hAnsi="Times New Roman"/>
          <w:sz w:val="24"/>
          <w:szCs w:val="24"/>
        </w:rPr>
        <w:t xml:space="preserve">Large animal nutrition studies create unique opportunities and challenges due to management, availability, and cost for such trials. Within our study, emaciated animal availability that met the enrollment criteria were difficult to source during the recruitment period. Extensive respiratory disease was prevalent in many potential animals that met the desired BCS (1 or 2). During the enrollment process an additional 12 horses were assessed for respiratory disease and all were positive EHV-1. Given the risk of transmission and morbidity rate for infectious respiratory diseases, alongside physiologic changes present during starvation, the pool of horses available to utilize for the project was limited </w:t>
      </w:r>
      <w:r w:rsidRPr="0099764F">
        <w:rPr>
          <w:rFonts w:ascii="Times New Roman" w:hAnsi="Times New Roman"/>
          <w:sz w:val="24"/>
          <w:szCs w:val="24"/>
        </w:rPr>
        <w:fldChar w:fldCharType="begin"/>
      </w:r>
      <w:r>
        <w:rPr>
          <w:rFonts w:ascii="Times New Roman" w:hAnsi="Times New Roman"/>
          <w:sz w:val="24"/>
          <w:szCs w:val="24"/>
        </w:rPr>
        <w:instrText xml:space="preserve"> ADDIN EN.CITE &lt;EndNote&gt;&lt;Cite&gt;&lt;Author&gt;Pusterla&lt;/Author&gt;&lt;Year&gt;2021&lt;/Year&gt;&lt;RecNum&gt;91&lt;/RecNum&gt;&lt;DisplayText&gt;(Pusterla et al., 2021)&lt;/DisplayText&gt;&lt;record&gt;&lt;rec-number&gt;91&lt;/rec-number&gt;&lt;foreign-keys&gt;&lt;key app="EN" db-id="ed2rxt290xprxmed0abvaa9tvaxadtv5ddsz" timestamp="1663165440" guid="780b8d4c-ffc5-4ed4-8eb9-ffdd1dc86385"&gt;91&lt;/key&gt;&lt;/foreign-keys&gt;&lt;ref-type name="Journal Article"&gt;17&lt;/ref-type&gt;&lt;contributors&gt;&lt;authors&gt;&lt;author&gt;Pusterla, Nicola&lt;/author&gt;&lt;author&gt;Barnum, Samantha&lt;/author&gt;&lt;author&gt;Miller, Julia&lt;/author&gt;&lt;author&gt;Varnell, Sarah&lt;/author&gt;&lt;author&gt;Dallap-Schaer, Barbara&lt;/author&gt;&lt;author&gt;Aceto, Helen&lt;/author&gt;&lt;author&gt;Simeone, Aliza&lt;/author&gt;&lt;/authors&gt;&lt;/contributors&gt;&lt;titles&gt;&lt;title&gt;Investigation of an EHV-1 Outbreak in the United States Caused by a New H752 Genotype&lt;/title&gt;&lt;secondary-title&gt;Pathogens&lt;/secondary-title&gt;&lt;/titles&gt;&lt;periodical&gt;&lt;full-title&gt;Pathogens&lt;/full-title&gt;&lt;/periodical&gt;&lt;pages&gt;747&lt;/pages&gt;&lt;volume&gt;10&lt;/volume&gt;&lt;number&gt;6&lt;/number&gt;&lt;dates&gt;&lt;year&gt;2021&lt;/year&gt;&lt;/dates&gt;&lt;publisher&gt;MDPI AG&lt;/publisher&gt;&lt;isbn&gt;2076-0817&lt;/isbn&gt;&lt;urls&gt;&lt;related-urls&gt;&lt;url&gt;https://dx.doi.org/10.3390/pathogens10060747&lt;/url&gt;&lt;/related-urls&gt;&lt;/urls&gt;&lt;electronic-resource-num&gt;10.3390/pathogens10060747&lt;/electronic-resource-num&gt;&lt;/record&gt;&lt;/Cite&gt;&lt;/EndNote&gt;</w:instrText>
      </w:r>
      <w:r w:rsidRPr="0099764F">
        <w:rPr>
          <w:rFonts w:ascii="Times New Roman" w:hAnsi="Times New Roman"/>
          <w:sz w:val="24"/>
          <w:szCs w:val="24"/>
        </w:rPr>
        <w:fldChar w:fldCharType="separate"/>
      </w:r>
      <w:r>
        <w:rPr>
          <w:rFonts w:ascii="Times New Roman" w:hAnsi="Times New Roman"/>
          <w:noProof/>
          <w:sz w:val="24"/>
          <w:szCs w:val="24"/>
        </w:rPr>
        <w:t>(Pusterla et al., 2021)</w:t>
      </w:r>
      <w:r w:rsidRPr="0099764F">
        <w:rPr>
          <w:rFonts w:ascii="Times New Roman" w:hAnsi="Times New Roman"/>
          <w:sz w:val="24"/>
          <w:szCs w:val="24"/>
        </w:rPr>
        <w:fldChar w:fldCharType="end"/>
      </w:r>
      <w:r w:rsidRPr="0099764F">
        <w:rPr>
          <w:rFonts w:ascii="Times New Roman" w:hAnsi="Times New Roman"/>
          <w:sz w:val="24"/>
          <w:szCs w:val="24"/>
        </w:rPr>
        <w:t xml:space="preserve">. </w:t>
      </w:r>
    </w:p>
    <w:p w14:paraId="0F0ED82F" w14:textId="77777777" w:rsidR="00AA7CD5" w:rsidRPr="0099764F" w:rsidRDefault="00AA7CD5" w:rsidP="008A6B75">
      <w:pPr>
        <w:pStyle w:val="MDPI31text"/>
        <w:spacing w:line="360" w:lineRule="auto"/>
        <w:ind w:left="0" w:firstLine="0"/>
        <w:rPr>
          <w:rFonts w:ascii="Times New Roman" w:hAnsi="Times New Roman"/>
          <w:sz w:val="24"/>
          <w:szCs w:val="24"/>
        </w:rPr>
      </w:pPr>
    </w:p>
    <w:p w14:paraId="47883666" w14:textId="77777777" w:rsidR="00AA7CD5" w:rsidRPr="0099764F" w:rsidRDefault="00AA7CD5" w:rsidP="008A6B75">
      <w:pPr>
        <w:pStyle w:val="MDPI31text"/>
        <w:spacing w:line="360" w:lineRule="auto"/>
        <w:ind w:left="0" w:firstLine="0"/>
        <w:rPr>
          <w:rFonts w:ascii="Times New Roman" w:hAnsi="Times New Roman"/>
          <w:sz w:val="24"/>
          <w:szCs w:val="24"/>
        </w:rPr>
      </w:pPr>
      <w:r w:rsidRPr="0099764F">
        <w:rPr>
          <w:rFonts w:ascii="Times New Roman" w:hAnsi="Times New Roman"/>
          <w:sz w:val="24"/>
          <w:szCs w:val="24"/>
        </w:rPr>
        <w:t xml:space="preserve">Despite low sample numbers, power analysis prior to study approval and commencement indicated that animal numbers utilized in this study are adequate to detect statistical significance between treatment groups. Additionally, equine nutrition studies utilizing low animal numbers have been successfully completed and contribute meaningful information to the existing literature to advance clinical and management level decisions </w:t>
      </w:r>
      <w:r w:rsidRPr="0099764F">
        <w:rPr>
          <w:rFonts w:ascii="Times New Roman" w:hAnsi="Times New Roman"/>
          <w:sz w:val="24"/>
          <w:szCs w:val="24"/>
        </w:rPr>
        <w:fldChar w:fldCharType="begin">
          <w:fldData xml:space="preserve">PEVuZE5vdGU+PENpdGU+PEF1dGhvcj5GbGV1cmFuY2U8L0F1dGhvcj48WWVhcj4yMDAxPC9ZZWFy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PEVuZE5vdGU+PENpdGU+PEF1dGhvcj5GbGV1cmFuY2U8L0F1dGhvcj48WWVhcj4yMDAxPC9ZZWFy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99764F">
        <w:rPr>
          <w:rFonts w:ascii="Times New Roman" w:hAnsi="Times New Roman"/>
          <w:sz w:val="24"/>
          <w:szCs w:val="24"/>
        </w:rPr>
      </w:r>
      <w:r w:rsidRPr="0099764F">
        <w:rPr>
          <w:rFonts w:ascii="Times New Roman" w:hAnsi="Times New Roman"/>
          <w:sz w:val="24"/>
          <w:szCs w:val="24"/>
        </w:rPr>
        <w:fldChar w:fldCharType="separate"/>
      </w:r>
      <w:r>
        <w:rPr>
          <w:rFonts w:ascii="Times New Roman" w:hAnsi="Times New Roman"/>
          <w:noProof/>
          <w:sz w:val="24"/>
          <w:szCs w:val="24"/>
        </w:rPr>
        <w:t>(Fleurance et al., 2001; O'Connor et al., 2008; Saastamoinen et al., 2021)</w:t>
      </w:r>
      <w:r w:rsidRPr="0099764F">
        <w:rPr>
          <w:rFonts w:ascii="Times New Roman" w:hAnsi="Times New Roman"/>
          <w:sz w:val="24"/>
          <w:szCs w:val="24"/>
        </w:rPr>
        <w:fldChar w:fldCharType="end"/>
      </w:r>
      <w:r w:rsidRPr="0099764F">
        <w:rPr>
          <w:rFonts w:ascii="Times New Roman" w:hAnsi="Times New Roman"/>
          <w:sz w:val="24"/>
          <w:szCs w:val="24"/>
        </w:rPr>
        <w:t xml:space="preserve">. </w:t>
      </w:r>
    </w:p>
    <w:p w14:paraId="4F9BD127" w14:textId="77777777" w:rsidR="00AA7CD5" w:rsidRPr="0099764F" w:rsidRDefault="00AA7CD5" w:rsidP="008A6B75">
      <w:pPr>
        <w:pStyle w:val="MDPI31text"/>
        <w:spacing w:line="360" w:lineRule="auto"/>
        <w:ind w:left="0" w:firstLine="0"/>
        <w:rPr>
          <w:rFonts w:ascii="Times New Roman" w:hAnsi="Times New Roman"/>
          <w:sz w:val="24"/>
          <w:szCs w:val="24"/>
        </w:rPr>
      </w:pPr>
    </w:p>
    <w:p w14:paraId="27B3A6CD" w14:textId="77777777" w:rsidR="00AA7CD5" w:rsidRDefault="00AA7CD5" w:rsidP="008A6B75">
      <w:pPr>
        <w:pStyle w:val="MDPI31text"/>
        <w:spacing w:line="360" w:lineRule="auto"/>
        <w:ind w:left="0" w:firstLine="0"/>
        <w:rPr>
          <w:rFonts w:ascii="Times New Roman" w:hAnsi="Times New Roman"/>
          <w:sz w:val="24"/>
          <w:szCs w:val="24"/>
        </w:rPr>
      </w:pPr>
      <w:r w:rsidRPr="0099764F">
        <w:rPr>
          <w:rFonts w:ascii="Times New Roman" w:hAnsi="Times New Roman"/>
          <w:sz w:val="24"/>
          <w:szCs w:val="24"/>
        </w:rPr>
        <w:t xml:space="preserve">It is important to note that the backgrounds and histories of the horses enrolled in this study were largely unknown due to the variance in origin and ownership of the equine subjects. For this reason, it was not possible to consider factors that may influence the metabolome, such as diet history and </w:t>
      </w:r>
      <w:r w:rsidRPr="0099764F">
        <w:rPr>
          <w:rFonts w:ascii="Times New Roman" w:hAnsi="Times New Roman"/>
          <w:sz w:val="24"/>
          <w:szCs w:val="24"/>
        </w:rPr>
        <w:lastRenderedPageBreak/>
        <w:t>the presence of past or current parasites, comorbidities, and disease. Perhaps these factors should not be considered as no two subjects will present with identical histories and such diversity contributes to a better overall understanding of rehabilitating emaciated horses. Despite these unknown variables, statistical analyses conducted on the refeeding process indicate a distinct difference between the equine metabolome during the CCP vs. the RP. This study supports the necessity of the refeeding process for the malnourished horse via blood chemistry and metabolomics analyses, despite its history and individual attributes.</w:t>
      </w:r>
    </w:p>
    <w:p w14:paraId="3212D3F3" w14:textId="77777777" w:rsidR="00AA7CD5" w:rsidRPr="0099764F" w:rsidRDefault="00AA7CD5" w:rsidP="008A6B75">
      <w:pPr>
        <w:pStyle w:val="MDPI31text"/>
        <w:spacing w:line="360" w:lineRule="auto"/>
        <w:ind w:left="0" w:firstLine="0"/>
        <w:rPr>
          <w:rFonts w:ascii="Times New Roman" w:hAnsi="Times New Roman"/>
          <w:sz w:val="24"/>
          <w:szCs w:val="24"/>
        </w:rPr>
      </w:pPr>
    </w:p>
    <w:p w14:paraId="1759E413" w14:textId="77777777" w:rsidR="00AA7CD5" w:rsidRPr="009E5AA1" w:rsidRDefault="00AA7CD5" w:rsidP="008A6B75">
      <w:pPr>
        <w:pStyle w:val="Heading3"/>
        <w:spacing w:line="360" w:lineRule="auto"/>
        <w:rPr>
          <w:rFonts w:ascii="Times New Roman" w:hAnsi="Times New Roman" w:cs="Times New Roman"/>
        </w:rPr>
      </w:pPr>
      <w:bookmarkStart w:id="35" w:name="_Toc151023684"/>
      <w:r w:rsidRPr="009E5AA1">
        <w:rPr>
          <w:rFonts w:ascii="Times New Roman" w:hAnsi="Times New Roman" w:cs="Times New Roman"/>
        </w:rPr>
        <w:t>Blood Chemistry Analysis Suggests Improved Biological Function during the RP</w:t>
      </w:r>
      <w:bookmarkEnd w:id="35"/>
      <w:r w:rsidRPr="009E5AA1">
        <w:rPr>
          <w:rFonts w:ascii="Times New Roman" w:hAnsi="Times New Roman" w:cs="Times New Roman"/>
        </w:rPr>
        <w:t xml:space="preserve"> </w:t>
      </w:r>
    </w:p>
    <w:p w14:paraId="6E8F7BB9"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Statistical analysis of each subject’s blood chemistry during the refeeding process yielded significant changes in albumin, lactose dehydrogenase, aspartate amino transferase, creatinine, and non-esterified fatty acid levels between the CCP and RP. Albumin, a family of proteins primarily synthesized by the liver, was detected at lower levels during the CCP compared to the RP (Parraga, Carlson, and Thurmond 1995). Low albumin levels in equine were previously thought to be associated with liver disease and/or liver failure, but a retrospective study of literature data concluded that consistently low albumin levels (hypoalbuminemia) reported were not directly associated with severe liver disease (Parraga, Carlson, and Thurmond 1995). This finding does not dismiss the possibility that low albumin levels can be associated with improper hepatic function due to insufficient biological resources, such as those unobtainable during starvation. </w:t>
      </w:r>
    </w:p>
    <w:p w14:paraId="118A6BB6"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Creatinine, a small molecule prominently present in plasma, was significantly altered between the CCP vs. RP. This nitrogenous molecule (Urayama et al. 2018; Hollis, Boston, and Corley 2007) used to evaluate renal function and overall muscle mass was found to be lower during the CCP than that of the RP (Toribio 2007). This compound is consistently produced in equine as a function of their muscle mass and body weight, dependent on proper renal function (Toribio 2007). This finding directly correlates to increasing BCS scores during the refeeding process; as the malnourished horse undergoes the refeeding process and their BCS score increases, a positive </w:t>
      </w:r>
      <w:r w:rsidRPr="00F0245E">
        <w:rPr>
          <w:color w:val="000000" w:themeColor="text1"/>
        </w:rPr>
        <w:lastRenderedPageBreak/>
        <w:t>correlation with increasing creatinine levels is observed, most likely due to a gain in muscle mass and body weight.</w:t>
      </w:r>
    </w:p>
    <w:p w14:paraId="0652D034"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Levels of non-esterified fatty acids, compounds directly related to metabolic energy, were considerably lower during the RP. A lack of resources utilized for energy production (i.e., nutrient consumption) combined with consistent energy demands results in an overall negative energy balance (Doll et al. 2022). Increased levels of non-esterified fatty acids have been positively correlated with an overall negative energy balance in many fasted mammals, including equine, as body fat is broken down (into non-esterified fatty acids) and utilized as an energy resource as a last resort (Farhana and Lappin 2022; </w:t>
      </w:r>
      <w:proofErr w:type="spellStart"/>
      <w:r w:rsidRPr="00F0245E">
        <w:rPr>
          <w:color w:val="000000" w:themeColor="text1"/>
        </w:rPr>
        <w:t>Zoppini</w:t>
      </w:r>
      <w:proofErr w:type="spellEnd"/>
      <w:r w:rsidRPr="00F0245E">
        <w:rPr>
          <w:color w:val="000000" w:themeColor="text1"/>
        </w:rPr>
        <w:t xml:space="preserve"> et al. 2016). The study of starved horses supports this finding as higher levels of these compounds were observed during a state of malnourishment (i.e., the CCP) and decreased during the RP, suggesting that the energy balance was restored once the horse was provided with proper nutrients. </w:t>
      </w:r>
    </w:p>
    <w:p w14:paraId="320A1F60"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Lactate dehydrogenase and aspartate aminotransferase are two enzymes that serve essential roles in anaerobic and aerobic metabolic pathways, respectively, with important emphasis in hepatic, renal, and skeletal muscular metabolism (Klein et al. 2020; </w:t>
      </w:r>
      <w:proofErr w:type="spellStart"/>
      <w:r w:rsidRPr="00F0245E">
        <w:rPr>
          <w:color w:val="000000" w:themeColor="text1"/>
        </w:rPr>
        <w:t>Zoppini</w:t>
      </w:r>
      <w:proofErr w:type="spellEnd"/>
      <w:r w:rsidRPr="00F0245E">
        <w:rPr>
          <w:color w:val="000000" w:themeColor="text1"/>
        </w:rPr>
        <w:t xml:space="preserve"> et al. 2016). Interestingly, these enzymes serve as non-specific, clinical biomarkers of disease as their high-level presence is associated with cellular death (Farhana and Lappin 2022; </w:t>
      </w:r>
      <w:proofErr w:type="spellStart"/>
      <w:r w:rsidRPr="00F0245E">
        <w:rPr>
          <w:color w:val="000000" w:themeColor="text1"/>
        </w:rPr>
        <w:t>Zoppini</w:t>
      </w:r>
      <w:proofErr w:type="spellEnd"/>
      <w:r w:rsidRPr="00F0245E">
        <w:rPr>
          <w:color w:val="000000" w:themeColor="text1"/>
        </w:rPr>
        <w:t xml:space="preserve"> et al. 2016). In the present study, levels of these enzymes were statistically higher in equine during the RP than the CCP, which was an unanticipated observation as horses are not likely to experience as much cellular death during the RP compared to the CCP. Interestingly, increased levels of lactate dehydrogenase and aspartate aminotransferase have also been observed in a Japanese breed of equine that was fed a roughage-based diet; it was theorized that these enzymes were primarily higher due to diet (Ono et al. 2019). Despite statistical increases observed in the present study, the average levels of these enzymes were within reference ranges for equine in both the CCP and RP, suggesting an increase not necessarily indicative of disease (FIELDER 2015). </w:t>
      </w:r>
    </w:p>
    <w:p w14:paraId="49628077" w14:textId="77777777" w:rsidR="00AA7CD5" w:rsidRDefault="00AA7CD5" w:rsidP="008A6B75">
      <w:pPr>
        <w:pStyle w:val="NormalWeb"/>
        <w:spacing w:line="360" w:lineRule="auto"/>
        <w:rPr>
          <w:color w:val="000000" w:themeColor="text1"/>
        </w:rPr>
      </w:pPr>
      <w:r w:rsidRPr="00F0245E">
        <w:rPr>
          <w:color w:val="000000" w:themeColor="text1"/>
        </w:rPr>
        <w:t xml:space="preserve">Blood chemistry panels are an efficient way to measure overall health and function of major organs, such as the liver and kidneys. However, these panels are limited in the amount of information attainable due to the sensitivity of methods and instrumentation. This problem of </w:t>
      </w:r>
      <w:r w:rsidRPr="00F0245E">
        <w:rPr>
          <w:color w:val="000000" w:themeColor="text1"/>
        </w:rPr>
        <w:lastRenderedPageBreak/>
        <w:t xml:space="preserve">sensitivity is solved when characterizing blood (i.e., plasma) via metabolomics methods, which provide a vast array of quantitative information on the complexities of numerous metabolic pathways. Though metabolomics methods only measure small molecules (unlike blood chemistries which can detect small molecules, proteins, and enzymes), the variety of metabolites detected and low concentrations at which these compounds can be measured provide more global information on the metabolic processes, without the need for separate protein or enzyme analysis. Therefore, blood chemistries were used herein as a supplement to the more globally informative metabolomics analysis. </w:t>
      </w:r>
      <w:r w:rsidRPr="0099764F">
        <w:rPr>
          <w:color w:val="000000" w:themeColor="text1"/>
        </w:rPr>
        <w:t xml:space="preserve"> </w:t>
      </w:r>
    </w:p>
    <w:p w14:paraId="62E71FDB" w14:textId="77777777" w:rsidR="00AA7CD5" w:rsidRPr="009E5AA1" w:rsidRDefault="00AA7CD5" w:rsidP="008A6B75">
      <w:pPr>
        <w:pStyle w:val="Heading3"/>
        <w:spacing w:line="360" w:lineRule="auto"/>
        <w:rPr>
          <w:rFonts w:ascii="Times New Roman" w:hAnsi="Times New Roman" w:cs="Times New Roman"/>
        </w:rPr>
      </w:pPr>
      <w:bookmarkStart w:id="36" w:name="_Toc151023685"/>
      <w:r w:rsidRPr="009E5AA1">
        <w:rPr>
          <w:rFonts w:ascii="Times New Roman" w:hAnsi="Times New Roman" w:cs="Times New Roman"/>
        </w:rPr>
        <w:t>Potentially Toxic Metabolites and Indicators of Oxidative Stress Were in Lower Abundance during the RP</w:t>
      </w:r>
      <w:bookmarkEnd w:id="36"/>
      <w:r w:rsidRPr="009E5AA1">
        <w:rPr>
          <w:rFonts w:ascii="Times New Roman" w:hAnsi="Times New Roman" w:cs="Times New Roman"/>
        </w:rPr>
        <w:t xml:space="preserve"> </w:t>
      </w:r>
    </w:p>
    <w:p w14:paraId="57BE1177" w14:textId="6FE0CF0A" w:rsidR="00AA7CD5" w:rsidRPr="00F0245E" w:rsidRDefault="00AA7CD5" w:rsidP="008A6B75">
      <w:pPr>
        <w:pStyle w:val="NormalWeb"/>
        <w:spacing w:line="360" w:lineRule="auto"/>
        <w:rPr>
          <w:color w:val="000000" w:themeColor="text1"/>
        </w:rPr>
      </w:pPr>
      <w:r w:rsidRPr="00F0245E">
        <w:rPr>
          <w:color w:val="000000" w:themeColor="text1"/>
        </w:rPr>
        <w:t>Fold change analysis of metabolites detected during the RP compared to the CCP showed perturbations in metabolites with varying biological activity (Table 5).</w:t>
      </w:r>
      <w:r w:rsidR="006011EB">
        <w:rPr>
          <w:color w:val="000000" w:themeColor="text1"/>
        </w:rPr>
        <w:t xml:space="preserve"> </w:t>
      </w:r>
      <w:r w:rsidRPr="00F0245E">
        <w:rPr>
          <w:color w:val="000000" w:themeColor="text1"/>
        </w:rPr>
        <w:t>It is important to note that fold change analyses of global metabolomics data may show in-creases or decreases in overall abundance but cannot discern the ultimate metabolic fate of a particular metabolite. For example, if a metabolite is found in higher abundance, it is possible that this compound is produced by the biological system at a higher rate resulting in higher abundance; alternatively, this compound may be utilized by the system at a lower rate that also results in a higher concentration. To determine which of these scenarios is actually occurring, studies utilizing stable-isotope labeled metabolite tracers would be required to measure the fluxes of the metabolites of interest and ascertain the activity of pathways utilizing these molecules (Jang, Chen, and Rabinowitz 2018). Nonetheless, one can often infer whether metabolites are being actively metabolized by looking at changes in several or all molecules in pathways in the context of the system state instead of analyzing data for individual molecules.</w:t>
      </w:r>
    </w:p>
    <w:p w14:paraId="3929AFBF" w14:textId="6E4B71B9" w:rsidR="006011EB" w:rsidRDefault="00AA7CD5" w:rsidP="00787FB7">
      <w:pPr>
        <w:pStyle w:val="NormalWeb"/>
        <w:spacing w:line="360" w:lineRule="auto"/>
        <w:rPr>
          <w:color w:val="000000" w:themeColor="text1"/>
        </w:rPr>
      </w:pPr>
      <w:r w:rsidRPr="00F0245E">
        <w:rPr>
          <w:color w:val="000000" w:themeColor="text1"/>
        </w:rPr>
        <w:t xml:space="preserve">During the study, it was observed that metabolites shown to exhibit toxicity when found in high concentrations were found in lower abundance during the RP. In particular, allantoin, phenylalanine, and methionine were found to be significantly decreased in horses with higher BCS scores. Allantoin and methionine are both small molecules that are often considered indicators of oxidative stress, a condition marked by increased levels of free radical species that </w:t>
      </w:r>
    </w:p>
    <w:p w14:paraId="15D8EC23" w14:textId="77777777" w:rsidR="006B0F11" w:rsidRPr="0099764F" w:rsidRDefault="006B0F11" w:rsidP="006B0F11">
      <w:pPr>
        <w:pStyle w:val="Caption"/>
        <w:spacing w:line="360" w:lineRule="auto"/>
      </w:pPr>
      <w:bookmarkStart w:id="37" w:name="_Toc151459313"/>
      <w:r>
        <w:lastRenderedPageBreak/>
        <w:t xml:space="preserve">Table </w:t>
      </w:r>
      <w:fldSimple w:instr=" SEQ Table \* ARABIC ">
        <w:r>
          <w:rPr>
            <w:noProof/>
          </w:rPr>
          <w:t>5</w:t>
        </w:r>
      </w:fldSimple>
      <w:r>
        <w:t xml:space="preserve">. </w:t>
      </w:r>
      <w:r w:rsidRPr="0099764F">
        <w:t>Biological significance of metabolites observed to have significantly increased or decreased between the RP and the CCP.</w:t>
      </w:r>
      <w:bookmarkEnd w:id="37"/>
    </w:p>
    <w:tbl>
      <w:tblPr>
        <w:tblStyle w:val="TableGrid"/>
        <w:tblpPr w:leftFromText="180" w:rightFromText="180" w:vertAnchor="page" w:horzAnchor="margin" w:tblpXSpec="center" w:tblpY="2413"/>
        <w:tblW w:w="4837" w:type="pct"/>
        <w:tblBorders>
          <w:top w:val="single" w:sz="8" w:space="0" w:color="auto"/>
          <w:left w:val="none" w:sz="0" w:space="0" w:color="auto"/>
          <w:bottom w:val="single" w:sz="8" w:space="0" w:color="auto"/>
          <w:right w:val="none" w:sz="0" w:space="0" w:color="auto"/>
          <w:insideV w:val="none" w:sz="0" w:space="0" w:color="auto"/>
        </w:tblBorders>
        <w:tblCellMar>
          <w:left w:w="0" w:type="dxa"/>
          <w:right w:w="0" w:type="dxa"/>
        </w:tblCellMar>
        <w:tblLook w:val="0420" w:firstRow="1" w:lastRow="0" w:firstColumn="0" w:lastColumn="0" w:noHBand="0" w:noVBand="1"/>
      </w:tblPr>
      <w:tblGrid>
        <w:gridCol w:w="1442"/>
        <w:gridCol w:w="1972"/>
        <w:gridCol w:w="1787"/>
        <w:gridCol w:w="3854"/>
      </w:tblGrid>
      <w:tr w:rsidR="0060224B" w:rsidRPr="00A44E3C" w14:paraId="31896B2E" w14:textId="77777777" w:rsidTr="00F34034">
        <w:trPr>
          <w:trHeight w:val="529"/>
        </w:trPr>
        <w:tc>
          <w:tcPr>
            <w:tcW w:w="796" w:type="pct"/>
            <w:tcBorders>
              <w:top w:val="single" w:sz="8" w:space="0" w:color="auto"/>
              <w:bottom w:val="single" w:sz="4" w:space="0" w:color="auto"/>
            </w:tcBorders>
            <w:shd w:val="clear" w:color="auto" w:fill="auto"/>
            <w:vAlign w:val="center"/>
            <w:hideMark/>
          </w:tcPr>
          <w:p w14:paraId="0B5CAA8D" w14:textId="77777777" w:rsidR="0060224B" w:rsidRPr="00A44E3C" w:rsidRDefault="0060224B" w:rsidP="0060224B">
            <w:pPr>
              <w:pStyle w:val="MDPI42tablebody"/>
              <w:autoSpaceDE w:val="0"/>
              <w:autoSpaceDN w:val="0"/>
              <w:spacing w:line="360" w:lineRule="auto"/>
              <w:rPr>
                <w:b/>
                <w:bCs/>
              </w:rPr>
            </w:pPr>
            <w:r w:rsidRPr="00A44E3C">
              <w:rPr>
                <w:b/>
                <w:bCs/>
              </w:rPr>
              <w:t>Metabolite Class</w:t>
            </w:r>
          </w:p>
        </w:tc>
        <w:tc>
          <w:tcPr>
            <w:tcW w:w="1089" w:type="pct"/>
            <w:tcBorders>
              <w:top w:val="single" w:sz="8" w:space="0" w:color="auto"/>
              <w:bottom w:val="single" w:sz="4" w:space="0" w:color="auto"/>
            </w:tcBorders>
            <w:shd w:val="clear" w:color="auto" w:fill="auto"/>
            <w:vAlign w:val="center"/>
            <w:hideMark/>
          </w:tcPr>
          <w:p w14:paraId="7D0798F1" w14:textId="77777777" w:rsidR="0060224B" w:rsidRPr="00A44E3C" w:rsidRDefault="0060224B" w:rsidP="0060224B">
            <w:pPr>
              <w:pStyle w:val="MDPI42tablebody"/>
              <w:autoSpaceDE w:val="0"/>
              <w:autoSpaceDN w:val="0"/>
              <w:spacing w:line="360" w:lineRule="auto"/>
              <w:rPr>
                <w:b/>
                <w:bCs/>
              </w:rPr>
            </w:pPr>
            <w:r w:rsidRPr="00A44E3C">
              <w:rPr>
                <w:b/>
                <w:bCs/>
              </w:rPr>
              <w:t>Significantly Increased or Decreased (RP/CCP)</w:t>
            </w:r>
          </w:p>
        </w:tc>
        <w:tc>
          <w:tcPr>
            <w:tcW w:w="987" w:type="pct"/>
            <w:tcBorders>
              <w:top w:val="single" w:sz="8" w:space="0" w:color="auto"/>
              <w:bottom w:val="single" w:sz="4" w:space="0" w:color="auto"/>
            </w:tcBorders>
            <w:shd w:val="clear" w:color="auto" w:fill="auto"/>
            <w:vAlign w:val="center"/>
            <w:hideMark/>
          </w:tcPr>
          <w:p w14:paraId="27835ED2" w14:textId="77777777" w:rsidR="0060224B" w:rsidRPr="00A44E3C" w:rsidRDefault="0060224B" w:rsidP="0060224B">
            <w:pPr>
              <w:pStyle w:val="MDPI42tablebody"/>
              <w:autoSpaceDE w:val="0"/>
              <w:autoSpaceDN w:val="0"/>
              <w:spacing w:line="360" w:lineRule="auto"/>
              <w:rPr>
                <w:b/>
                <w:bCs/>
              </w:rPr>
            </w:pPr>
            <w:r w:rsidRPr="00A44E3C">
              <w:rPr>
                <w:b/>
                <w:bCs/>
              </w:rPr>
              <w:t>Metabolite</w:t>
            </w:r>
          </w:p>
        </w:tc>
        <w:tc>
          <w:tcPr>
            <w:tcW w:w="2128" w:type="pct"/>
            <w:tcBorders>
              <w:top w:val="single" w:sz="8" w:space="0" w:color="auto"/>
              <w:bottom w:val="single" w:sz="4" w:space="0" w:color="auto"/>
            </w:tcBorders>
            <w:shd w:val="clear" w:color="auto" w:fill="auto"/>
            <w:vAlign w:val="center"/>
            <w:hideMark/>
          </w:tcPr>
          <w:p w14:paraId="75D96F22" w14:textId="77777777" w:rsidR="0060224B" w:rsidRPr="00A44E3C" w:rsidRDefault="0060224B" w:rsidP="0060224B">
            <w:pPr>
              <w:pStyle w:val="MDPI42tablebody"/>
              <w:autoSpaceDE w:val="0"/>
              <w:autoSpaceDN w:val="0"/>
              <w:spacing w:line="360" w:lineRule="auto"/>
              <w:ind w:left="270" w:hanging="270"/>
              <w:jc w:val="left"/>
              <w:rPr>
                <w:b/>
                <w:bCs/>
              </w:rPr>
            </w:pPr>
            <w:r w:rsidRPr="14599B40">
              <w:rPr>
                <w:b/>
                <w:bCs/>
              </w:rPr>
              <w:t>Biological Significance</w:t>
            </w:r>
            <w:r w:rsidRPr="14599B40">
              <w:rPr>
                <w:b/>
                <w:bCs/>
                <w:vertAlign w:val="superscript"/>
              </w:rPr>
              <w:t>1</w:t>
            </w:r>
          </w:p>
        </w:tc>
      </w:tr>
      <w:tr w:rsidR="0060224B" w:rsidRPr="00A44E3C" w14:paraId="62654E8F" w14:textId="77777777" w:rsidTr="00F34034">
        <w:trPr>
          <w:trHeight w:val="529"/>
        </w:trPr>
        <w:tc>
          <w:tcPr>
            <w:tcW w:w="796" w:type="pct"/>
            <w:vMerge w:val="restart"/>
            <w:tcBorders>
              <w:top w:val="single" w:sz="4" w:space="0" w:color="auto"/>
            </w:tcBorders>
            <w:shd w:val="clear" w:color="auto" w:fill="auto"/>
            <w:vAlign w:val="center"/>
            <w:hideMark/>
          </w:tcPr>
          <w:p w14:paraId="7FE1990D" w14:textId="77777777" w:rsidR="0060224B" w:rsidRPr="00A44E3C" w:rsidRDefault="0060224B" w:rsidP="0060224B">
            <w:pPr>
              <w:pStyle w:val="MDPI42tablebody"/>
              <w:autoSpaceDE w:val="0"/>
              <w:autoSpaceDN w:val="0"/>
              <w:spacing w:line="360" w:lineRule="auto"/>
            </w:pPr>
            <w:r w:rsidRPr="00A44E3C">
              <w:t>Amino acids (metabolism, precursors, derivatives)</w:t>
            </w:r>
          </w:p>
        </w:tc>
        <w:tc>
          <w:tcPr>
            <w:tcW w:w="1089" w:type="pct"/>
            <w:tcBorders>
              <w:top w:val="single" w:sz="4" w:space="0" w:color="auto"/>
            </w:tcBorders>
            <w:shd w:val="clear" w:color="auto" w:fill="auto"/>
            <w:vAlign w:val="center"/>
            <w:hideMark/>
          </w:tcPr>
          <w:p w14:paraId="0CB983A8" w14:textId="77777777" w:rsidR="0060224B" w:rsidRPr="00A44E3C" w:rsidRDefault="0060224B" w:rsidP="0060224B">
            <w:pPr>
              <w:pStyle w:val="MDPI42tablebody"/>
              <w:autoSpaceDE w:val="0"/>
              <w:autoSpaceDN w:val="0"/>
              <w:spacing w:line="360" w:lineRule="auto"/>
            </w:pPr>
            <w:r w:rsidRPr="00A44E3C">
              <w:t>Decreased</w:t>
            </w:r>
          </w:p>
        </w:tc>
        <w:tc>
          <w:tcPr>
            <w:tcW w:w="987" w:type="pct"/>
            <w:tcBorders>
              <w:top w:val="single" w:sz="4" w:space="0" w:color="auto"/>
            </w:tcBorders>
            <w:shd w:val="clear" w:color="auto" w:fill="auto"/>
            <w:vAlign w:val="center"/>
            <w:hideMark/>
          </w:tcPr>
          <w:p w14:paraId="43FC884A" w14:textId="77777777" w:rsidR="0060224B" w:rsidRPr="00A44E3C" w:rsidRDefault="0060224B" w:rsidP="0060224B">
            <w:pPr>
              <w:pStyle w:val="MDPI42tablebody"/>
              <w:autoSpaceDE w:val="0"/>
              <w:autoSpaceDN w:val="0"/>
              <w:spacing w:line="360" w:lineRule="auto"/>
            </w:pPr>
            <w:r w:rsidRPr="00A44E3C">
              <w:t>Glutamine</w:t>
            </w:r>
          </w:p>
        </w:tc>
        <w:tc>
          <w:tcPr>
            <w:tcW w:w="2128" w:type="pct"/>
            <w:tcBorders>
              <w:top w:val="single" w:sz="4" w:space="0" w:color="auto"/>
            </w:tcBorders>
            <w:shd w:val="clear" w:color="auto" w:fill="auto"/>
            <w:vAlign w:val="center"/>
            <w:hideMark/>
          </w:tcPr>
          <w:p w14:paraId="4A056AEE" w14:textId="77777777" w:rsidR="0060224B" w:rsidRPr="00A44E3C" w:rsidRDefault="0060224B" w:rsidP="0060224B">
            <w:pPr>
              <w:pStyle w:val="MDPI42tablebody"/>
              <w:numPr>
                <w:ilvl w:val="0"/>
                <w:numId w:val="1"/>
              </w:numPr>
              <w:autoSpaceDE w:val="0"/>
              <w:autoSpaceDN w:val="0"/>
              <w:spacing w:line="360" w:lineRule="auto"/>
              <w:ind w:left="270" w:hanging="270"/>
              <w:jc w:val="left"/>
            </w:pPr>
            <w:r>
              <w:t>Important non-essential amino acid</w:t>
            </w:r>
          </w:p>
          <w:p w14:paraId="4CE40374" w14:textId="77777777" w:rsidR="0060224B" w:rsidRPr="00A44E3C" w:rsidRDefault="0060224B" w:rsidP="0060224B">
            <w:pPr>
              <w:pStyle w:val="MDPI42tablebody"/>
              <w:numPr>
                <w:ilvl w:val="0"/>
                <w:numId w:val="1"/>
              </w:numPr>
              <w:autoSpaceDE w:val="0"/>
              <w:autoSpaceDN w:val="0"/>
              <w:spacing w:line="360" w:lineRule="auto"/>
              <w:ind w:left="270" w:hanging="270"/>
              <w:jc w:val="left"/>
            </w:pPr>
            <w:r>
              <w:t>Synthesized by skeletal muscle</w:t>
            </w:r>
          </w:p>
        </w:tc>
      </w:tr>
      <w:tr w:rsidR="0060224B" w:rsidRPr="00A44E3C" w14:paraId="5022AFE5" w14:textId="77777777" w:rsidTr="00F34034">
        <w:trPr>
          <w:trHeight w:val="140"/>
        </w:trPr>
        <w:tc>
          <w:tcPr>
            <w:tcW w:w="796" w:type="pct"/>
            <w:vMerge/>
            <w:vAlign w:val="center"/>
            <w:hideMark/>
          </w:tcPr>
          <w:p w14:paraId="6383A07C" w14:textId="77777777" w:rsidR="0060224B" w:rsidRPr="00A44E3C" w:rsidRDefault="0060224B" w:rsidP="0060224B">
            <w:pPr>
              <w:pStyle w:val="MDPI42tablebody"/>
              <w:autoSpaceDE w:val="0"/>
              <w:autoSpaceDN w:val="0"/>
              <w:spacing w:line="360" w:lineRule="auto"/>
            </w:pPr>
          </w:p>
        </w:tc>
        <w:tc>
          <w:tcPr>
            <w:tcW w:w="1089" w:type="pct"/>
            <w:shd w:val="clear" w:color="auto" w:fill="auto"/>
            <w:vAlign w:val="center"/>
            <w:hideMark/>
          </w:tcPr>
          <w:p w14:paraId="4BB09B66"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5146768A" w14:textId="77777777" w:rsidR="0060224B" w:rsidRPr="00A44E3C" w:rsidRDefault="0060224B" w:rsidP="0060224B">
            <w:pPr>
              <w:pStyle w:val="MDPI42tablebody"/>
              <w:autoSpaceDE w:val="0"/>
              <w:autoSpaceDN w:val="0"/>
              <w:spacing w:line="360" w:lineRule="auto"/>
            </w:pPr>
            <w:r w:rsidRPr="00A44E3C">
              <w:t>Methionine</w:t>
            </w:r>
          </w:p>
        </w:tc>
        <w:tc>
          <w:tcPr>
            <w:tcW w:w="2128" w:type="pct"/>
            <w:shd w:val="clear" w:color="auto" w:fill="auto"/>
            <w:vAlign w:val="center"/>
            <w:hideMark/>
          </w:tcPr>
          <w:p w14:paraId="173E67D9" w14:textId="77777777" w:rsidR="0060224B" w:rsidRPr="00A44E3C" w:rsidRDefault="0060224B" w:rsidP="0060224B">
            <w:pPr>
              <w:pStyle w:val="MDPI42tablebody"/>
              <w:numPr>
                <w:ilvl w:val="0"/>
                <w:numId w:val="1"/>
              </w:numPr>
              <w:autoSpaceDE w:val="0"/>
              <w:autoSpaceDN w:val="0"/>
              <w:spacing w:line="360" w:lineRule="auto"/>
              <w:ind w:left="270" w:hanging="270"/>
              <w:jc w:val="left"/>
            </w:pPr>
            <w:r>
              <w:t>Sulfur-containing amino acid indicative of oxidative stress at high concentrations</w:t>
            </w:r>
          </w:p>
        </w:tc>
      </w:tr>
      <w:tr w:rsidR="0060224B" w:rsidRPr="00A44E3C" w14:paraId="359124C8" w14:textId="77777777" w:rsidTr="00F34034">
        <w:trPr>
          <w:trHeight w:val="140"/>
        </w:trPr>
        <w:tc>
          <w:tcPr>
            <w:tcW w:w="796" w:type="pct"/>
            <w:vMerge/>
            <w:vAlign w:val="center"/>
            <w:hideMark/>
          </w:tcPr>
          <w:p w14:paraId="5DC2C9A5" w14:textId="77777777" w:rsidR="0060224B" w:rsidRPr="00A44E3C" w:rsidRDefault="0060224B" w:rsidP="0060224B">
            <w:pPr>
              <w:pStyle w:val="MDPI42tablebody"/>
              <w:autoSpaceDE w:val="0"/>
              <w:autoSpaceDN w:val="0"/>
              <w:spacing w:line="360" w:lineRule="auto"/>
            </w:pPr>
          </w:p>
        </w:tc>
        <w:tc>
          <w:tcPr>
            <w:tcW w:w="1089" w:type="pct"/>
            <w:shd w:val="clear" w:color="auto" w:fill="auto"/>
            <w:vAlign w:val="center"/>
            <w:hideMark/>
          </w:tcPr>
          <w:p w14:paraId="14BE9689" w14:textId="77777777" w:rsidR="0060224B" w:rsidRPr="00A44E3C" w:rsidRDefault="0060224B" w:rsidP="0060224B">
            <w:pPr>
              <w:pStyle w:val="MDPI42tablebody"/>
              <w:autoSpaceDE w:val="0"/>
              <w:autoSpaceDN w:val="0"/>
              <w:spacing w:line="360" w:lineRule="auto"/>
            </w:pPr>
            <w:r w:rsidRPr="00A44E3C">
              <w:t>Increased</w:t>
            </w:r>
          </w:p>
        </w:tc>
        <w:tc>
          <w:tcPr>
            <w:tcW w:w="987" w:type="pct"/>
            <w:shd w:val="clear" w:color="auto" w:fill="auto"/>
            <w:vAlign w:val="center"/>
            <w:hideMark/>
          </w:tcPr>
          <w:p w14:paraId="6EA1C635" w14:textId="77777777" w:rsidR="0060224B" w:rsidRPr="00A44E3C" w:rsidRDefault="0060224B" w:rsidP="0060224B">
            <w:pPr>
              <w:pStyle w:val="MDPI42tablebody"/>
              <w:autoSpaceDE w:val="0"/>
              <w:autoSpaceDN w:val="0"/>
              <w:spacing w:line="360" w:lineRule="auto"/>
            </w:pPr>
            <w:r w:rsidRPr="00A44E3C">
              <w:rPr>
                <w:i/>
                <w:iCs/>
              </w:rPr>
              <w:t>N</w:t>
            </w:r>
            <w:r w:rsidRPr="00A44E3C">
              <w:t>-acetylornithine</w:t>
            </w:r>
          </w:p>
        </w:tc>
        <w:tc>
          <w:tcPr>
            <w:tcW w:w="2128" w:type="pct"/>
            <w:shd w:val="clear" w:color="auto" w:fill="auto"/>
            <w:vAlign w:val="center"/>
            <w:hideMark/>
          </w:tcPr>
          <w:p w14:paraId="4F3DC12F" w14:textId="77777777" w:rsidR="0060224B" w:rsidRPr="00A44E3C" w:rsidRDefault="0060224B" w:rsidP="0060224B">
            <w:pPr>
              <w:pStyle w:val="MDPI42tablebody"/>
              <w:numPr>
                <w:ilvl w:val="0"/>
                <w:numId w:val="1"/>
              </w:numPr>
              <w:autoSpaceDE w:val="0"/>
              <w:autoSpaceDN w:val="0"/>
              <w:spacing w:line="360" w:lineRule="auto"/>
              <w:ind w:left="270" w:hanging="270"/>
              <w:jc w:val="left"/>
            </w:pPr>
            <w:r>
              <w:t>Primary metabolite commonly found in food sources (e.g., wheat)</w:t>
            </w:r>
          </w:p>
          <w:p w14:paraId="0F291180" w14:textId="77777777" w:rsidR="0060224B" w:rsidRPr="00A44E3C" w:rsidRDefault="0060224B" w:rsidP="0060224B">
            <w:pPr>
              <w:pStyle w:val="MDPI42tablebody"/>
              <w:numPr>
                <w:ilvl w:val="0"/>
                <w:numId w:val="1"/>
              </w:numPr>
              <w:autoSpaceDE w:val="0"/>
              <w:autoSpaceDN w:val="0"/>
              <w:spacing w:line="360" w:lineRule="auto"/>
              <w:ind w:left="270" w:hanging="270"/>
              <w:jc w:val="left"/>
            </w:pPr>
            <w:r>
              <w:t>Precursor to the urea cycle</w:t>
            </w:r>
          </w:p>
        </w:tc>
      </w:tr>
      <w:tr w:rsidR="0060224B" w:rsidRPr="00A44E3C" w14:paraId="2BA10B9C" w14:textId="77777777" w:rsidTr="00F34034">
        <w:trPr>
          <w:trHeight w:val="140"/>
        </w:trPr>
        <w:tc>
          <w:tcPr>
            <w:tcW w:w="796" w:type="pct"/>
            <w:vMerge/>
            <w:vAlign w:val="center"/>
            <w:hideMark/>
          </w:tcPr>
          <w:p w14:paraId="1C3CD8DC" w14:textId="77777777" w:rsidR="0060224B" w:rsidRPr="00A44E3C" w:rsidRDefault="0060224B" w:rsidP="0060224B">
            <w:pPr>
              <w:pStyle w:val="MDPI42tablebody"/>
              <w:autoSpaceDE w:val="0"/>
              <w:autoSpaceDN w:val="0"/>
              <w:spacing w:line="360" w:lineRule="auto"/>
            </w:pPr>
          </w:p>
        </w:tc>
        <w:tc>
          <w:tcPr>
            <w:tcW w:w="1089" w:type="pct"/>
            <w:shd w:val="clear" w:color="auto" w:fill="auto"/>
            <w:vAlign w:val="center"/>
            <w:hideMark/>
          </w:tcPr>
          <w:p w14:paraId="65583F58"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0583017E" w14:textId="77777777" w:rsidR="0060224B" w:rsidRPr="00A44E3C" w:rsidRDefault="0060224B" w:rsidP="0060224B">
            <w:pPr>
              <w:pStyle w:val="MDPI42tablebody"/>
              <w:autoSpaceDE w:val="0"/>
              <w:autoSpaceDN w:val="0"/>
              <w:spacing w:line="360" w:lineRule="auto"/>
            </w:pPr>
            <w:r w:rsidRPr="00A44E3C">
              <w:t>Phenylalanine</w:t>
            </w:r>
          </w:p>
        </w:tc>
        <w:tc>
          <w:tcPr>
            <w:tcW w:w="2128" w:type="pct"/>
            <w:shd w:val="clear" w:color="auto" w:fill="auto"/>
            <w:vAlign w:val="center"/>
            <w:hideMark/>
          </w:tcPr>
          <w:p w14:paraId="0DDCEF2E" w14:textId="77777777" w:rsidR="0060224B" w:rsidRPr="00A44E3C" w:rsidRDefault="0060224B" w:rsidP="0060224B">
            <w:pPr>
              <w:pStyle w:val="MDPI42tablebody"/>
              <w:numPr>
                <w:ilvl w:val="0"/>
                <w:numId w:val="1"/>
              </w:numPr>
              <w:autoSpaceDE w:val="0"/>
              <w:autoSpaceDN w:val="0"/>
              <w:spacing w:line="360" w:lineRule="auto"/>
              <w:ind w:left="270" w:hanging="270"/>
              <w:jc w:val="left"/>
            </w:pPr>
            <w:r>
              <w:t>Essential amino acid that acts as a toxin at high concentrations</w:t>
            </w:r>
          </w:p>
          <w:p w14:paraId="6FD07839" w14:textId="77777777" w:rsidR="0060224B" w:rsidRPr="00A44E3C" w:rsidRDefault="0060224B" w:rsidP="0060224B">
            <w:pPr>
              <w:pStyle w:val="MDPI42tablebody"/>
              <w:numPr>
                <w:ilvl w:val="0"/>
                <w:numId w:val="1"/>
              </w:numPr>
              <w:autoSpaceDE w:val="0"/>
              <w:autoSpaceDN w:val="0"/>
              <w:spacing w:line="360" w:lineRule="auto"/>
              <w:ind w:left="270" w:hanging="270"/>
              <w:jc w:val="left"/>
            </w:pPr>
            <w:r>
              <w:t>Used in the synthesis of proteins</w:t>
            </w:r>
          </w:p>
        </w:tc>
      </w:tr>
      <w:tr w:rsidR="0060224B" w:rsidRPr="00A44E3C" w14:paraId="23C450F7" w14:textId="77777777" w:rsidTr="00F34034">
        <w:trPr>
          <w:trHeight w:val="140"/>
        </w:trPr>
        <w:tc>
          <w:tcPr>
            <w:tcW w:w="796" w:type="pct"/>
            <w:vMerge/>
            <w:vAlign w:val="center"/>
            <w:hideMark/>
          </w:tcPr>
          <w:p w14:paraId="5C471E89" w14:textId="77777777" w:rsidR="0060224B" w:rsidRPr="00A44E3C" w:rsidRDefault="0060224B" w:rsidP="0060224B">
            <w:pPr>
              <w:pStyle w:val="MDPI42tablebody"/>
              <w:autoSpaceDE w:val="0"/>
              <w:autoSpaceDN w:val="0"/>
              <w:spacing w:line="360" w:lineRule="auto"/>
            </w:pPr>
          </w:p>
        </w:tc>
        <w:tc>
          <w:tcPr>
            <w:tcW w:w="1089" w:type="pct"/>
            <w:vMerge w:val="restart"/>
            <w:shd w:val="clear" w:color="auto" w:fill="auto"/>
            <w:vAlign w:val="center"/>
            <w:hideMark/>
          </w:tcPr>
          <w:p w14:paraId="2F6B56D2" w14:textId="77777777" w:rsidR="0060224B" w:rsidRPr="00A44E3C" w:rsidRDefault="0060224B" w:rsidP="0060224B">
            <w:pPr>
              <w:pStyle w:val="MDPI42tablebody"/>
              <w:autoSpaceDE w:val="0"/>
              <w:autoSpaceDN w:val="0"/>
              <w:spacing w:line="360" w:lineRule="auto"/>
            </w:pPr>
            <w:r w:rsidRPr="00A44E3C">
              <w:t>Decreased</w:t>
            </w:r>
            <w:r w:rsidRPr="00A44E3C">
              <w:rPr>
                <w:vertAlign w:val="superscript"/>
              </w:rPr>
              <w:t>2</w:t>
            </w:r>
          </w:p>
        </w:tc>
        <w:tc>
          <w:tcPr>
            <w:tcW w:w="987" w:type="pct"/>
            <w:shd w:val="clear" w:color="auto" w:fill="auto"/>
            <w:vAlign w:val="center"/>
            <w:hideMark/>
          </w:tcPr>
          <w:p w14:paraId="43EE8317" w14:textId="77777777" w:rsidR="0060224B" w:rsidRPr="00A44E3C" w:rsidRDefault="0060224B" w:rsidP="0060224B">
            <w:pPr>
              <w:pStyle w:val="MDPI42tablebody"/>
              <w:autoSpaceDE w:val="0"/>
              <w:autoSpaceDN w:val="0"/>
              <w:spacing w:line="360" w:lineRule="auto"/>
            </w:pPr>
            <w:r w:rsidRPr="00A44E3C">
              <w:t>Alanine</w:t>
            </w:r>
          </w:p>
        </w:tc>
        <w:tc>
          <w:tcPr>
            <w:tcW w:w="2128" w:type="pct"/>
            <w:shd w:val="clear" w:color="auto" w:fill="auto"/>
            <w:vAlign w:val="center"/>
            <w:hideMark/>
          </w:tcPr>
          <w:p w14:paraId="3027EA2A" w14:textId="77777777" w:rsidR="0060224B" w:rsidRPr="00A44E3C" w:rsidRDefault="0060224B" w:rsidP="0060224B">
            <w:pPr>
              <w:pStyle w:val="MDPI42tablebody"/>
              <w:numPr>
                <w:ilvl w:val="0"/>
                <w:numId w:val="1"/>
              </w:numPr>
              <w:autoSpaceDE w:val="0"/>
              <w:autoSpaceDN w:val="0"/>
              <w:spacing w:line="360" w:lineRule="auto"/>
              <w:ind w:left="270" w:hanging="270"/>
              <w:jc w:val="left"/>
            </w:pPr>
            <w:r>
              <w:t>Highly concentrated in muscle</w:t>
            </w:r>
          </w:p>
          <w:p w14:paraId="064F1AD0" w14:textId="77777777" w:rsidR="0060224B" w:rsidRPr="00A44E3C" w:rsidRDefault="0060224B" w:rsidP="0060224B">
            <w:pPr>
              <w:pStyle w:val="MDPI42tablebody"/>
              <w:numPr>
                <w:ilvl w:val="0"/>
                <w:numId w:val="1"/>
              </w:numPr>
              <w:autoSpaceDE w:val="0"/>
              <w:autoSpaceDN w:val="0"/>
              <w:spacing w:line="360" w:lineRule="auto"/>
              <w:ind w:left="270" w:hanging="270"/>
              <w:jc w:val="left"/>
            </w:pPr>
            <w:r>
              <w:t>Functions as a major energy source and regulator of glucose metabolism</w:t>
            </w:r>
          </w:p>
        </w:tc>
      </w:tr>
      <w:tr w:rsidR="0060224B" w:rsidRPr="00A44E3C" w14:paraId="42F45211" w14:textId="77777777" w:rsidTr="00F34034">
        <w:trPr>
          <w:trHeight w:val="140"/>
        </w:trPr>
        <w:tc>
          <w:tcPr>
            <w:tcW w:w="796" w:type="pct"/>
            <w:vMerge/>
            <w:vAlign w:val="center"/>
          </w:tcPr>
          <w:p w14:paraId="3D62DE6F" w14:textId="77777777" w:rsidR="0060224B" w:rsidRPr="00A44E3C" w:rsidRDefault="0060224B" w:rsidP="0060224B">
            <w:pPr>
              <w:pStyle w:val="MDPI42tablebody"/>
              <w:autoSpaceDE w:val="0"/>
              <w:autoSpaceDN w:val="0"/>
              <w:spacing w:line="360" w:lineRule="auto"/>
            </w:pPr>
          </w:p>
        </w:tc>
        <w:tc>
          <w:tcPr>
            <w:tcW w:w="1089" w:type="pct"/>
            <w:vMerge/>
            <w:vAlign w:val="center"/>
          </w:tcPr>
          <w:p w14:paraId="14FC25D6" w14:textId="77777777" w:rsidR="0060224B" w:rsidRPr="00A44E3C" w:rsidRDefault="0060224B" w:rsidP="0060224B">
            <w:pPr>
              <w:pStyle w:val="MDPI42tablebody"/>
              <w:autoSpaceDE w:val="0"/>
              <w:autoSpaceDN w:val="0"/>
              <w:spacing w:line="360" w:lineRule="auto"/>
            </w:pPr>
          </w:p>
        </w:tc>
        <w:tc>
          <w:tcPr>
            <w:tcW w:w="987" w:type="pct"/>
            <w:shd w:val="clear" w:color="auto" w:fill="auto"/>
            <w:vAlign w:val="center"/>
          </w:tcPr>
          <w:p w14:paraId="28445098" w14:textId="77777777" w:rsidR="0060224B" w:rsidRPr="00A44E3C" w:rsidRDefault="0060224B" w:rsidP="0060224B">
            <w:pPr>
              <w:pStyle w:val="MDPI42tablebody"/>
              <w:autoSpaceDE w:val="0"/>
              <w:autoSpaceDN w:val="0"/>
              <w:spacing w:line="360" w:lineRule="auto"/>
            </w:pPr>
            <w:r w:rsidRPr="00A44E3C">
              <w:t>Sarcosine</w:t>
            </w:r>
          </w:p>
        </w:tc>
        <w:tc>
          <w:tcPr>
            <w:tcW w:w="2128" w:type="pct"/>
            <w:shd w:val="clear" w:color="auto" w:fill="auto"/>
            <w:vAlign w:val="center"/>
          </w:tcPr>
          <w:p w14:paraId="5FD4A67E" w14:textId="77777777" w:rsidR="0060224B" w:rsidRPr="00A44E3C" w:rsidRDefault="0060224B" w:rsidP="0060224B">
            <w:pPr>
              <w:pStyle w:val="MDPI42tablebody"/>
              <w:numPr>
                <w:ilvl w:val="0"/>
                <w:numId w:val="1"/>
              </w:numPr>
              <w:autoSpaceDE w:val="0"/>
              <w:autoSpaceDN w:val="0"/>
              <w:spacing w:line="360" w:lineRule="auto"/>
              <w:ind w:left="270" w:hanging="270"/>
              <w:jc w:val="left"/>
            </w:pPr>
            <w:r>
              <w:t>Often detected in muscle</w:t>
            </w:r>
          </w:p>
          <w:p w14:paraId="7C04105A" w14:textId="77777777" w:rsidR="0060224B" w:rsidRPr="00A44E3C" w:rsidRDefault="0060224B" w:rsidP="0060224B">
            <w:pPr>
              <w:pStyle w:val="MDPI42tablebody"/>
              <w:numPr>
                <w:ilvl w:val="0"/>
                <w:numId w:val="1"/>
              </w:numPr>
              <w:autoSpaceDE w:val="0"/>
              <w:autoSpaceDN w:val="0"/>
              <w:spacing w:line="360" w:lineRule="auto"/>
              <w:ind w:left="270" w:hanging="270"/>
              <w:jc w:val="left"/>
            </w:pPr>
            <w:r>
              <w:t>Metabolic product of creatine</w:t>
            </w:r>
          </w:p>
        </w:tc>
      </w:tr>
      <w:tr w:rsidR="0060224B" w:rsidRPr="00A44E3C" w14:paraId="3FF1F1EA" w14:textId="77777777" w:rsidTr="00F34034">
        <w:trPr>
          <w:trHeight w:val="140"/>
        </w:trPr>
        <w:tc>
          <w:tcPr>
            <w:tcW w:w="796" w:type="pct"/>
            <w:vMerge/>
            <w:vAlign w:val="center"/>
            <w:hideMark/>
          </w:tcPr>
          <w:p w14:paraId="31FD3C4E" w14:textId="77777777" w:rsidR="0060224B" w:rsidRPr="00A44E3C" w:rsidRDefault="0060224B" w:rsidP="0060224B">
            <w:pPr>
              <w:pStyle w:val="MDPI42tablebody"/>
              <w:autoSpaceDE w:val="0"/>
              <w:autoSpaceDN w:val="0"/>
              <w:spacing w:line="360" w:lineRule="auto"/>
            </w:pPr>
          </w:p>
        </w:tc>
        <w:tc>
          <w:tcPr>
            <w:tcW w:w="1089" w:type="pct"/>
            <w:shd w:val="clear" w:color="auto" w:fill="auto"/>
            <w:vAlign w:val="center"/>
            <w:hideMark/>
          </w:tcPr>
          <w:p w14:paraId="5AFF45EA"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0E2A0A16" w14:textId="77777777" w:rsidR="0060224B" w:rsidRPr="00A44E3C" w:rsidRDefault="0060224B" w:rsidP="0060224B">
            <w:pPr>
              <w:pStyle w:val="MDPI42tablebody"/>
              <w:autoSpaceDE w:val="0"/>
              <w:autoSpaceDN w:val="0"/>
              <w:spacing w:line="360" w:lineRule="auto"/>
            </w:pPr>
            <w:r w:rsidRPr="00A44E3C">
              <w:t>Creatine</w:t>
            </w:r>
          </w:p>
        </w:tc>
        <w:tc>
          <w:tcPr>
            <w:tcW w:w="2128" w:type="pct"/>
            <w:shd w:val="clear" w:color="auto" w:fill="auto"/>
            <w:vAlign w:val="center"/>
            <w:hideMark/>
          </w:tcPr>
          <w:p w14:paraId="7DD1ACEE" w14:textId="77777777" w:rsidR="0060224B" w:rsidRPr="00A44E3C" w:rsidRDefault="0060224B" w:rsidP="0060224B">
            <w:pPr>
              <w:pStyle w:val="MDPI42tablebody"/>
              <w:numPr>
                <w:ilvl w:val="0"/>
                <w:numId w:val="1"/>
              </w:numPr>
              <w:autoSpaceDE w:val="0"/>
              <w:autoSpaceDN w:val="0"/>
              <w:spacing w:line="360" w:lineRule="auto"/>
              <w:ind w:left="270" w:hanging="270"/>
              <w:jc w:val="left"/>
            </w:pPr>
            <w:r>
              <w:t>Generally found in skeletal muscle</w:t>
            </w:r>
          </w:p>
          <w:p w14:paraId="6FE4167A" w14:textId="77777777" w:rsidR="0060224B" w:rsidRDefault="0060224B" w:rsidP="0060224B">
            <w:pPr>
              <w:pStyle w:val="MDPI42tablebody"/>
              <w:numPr>
                <w:ilvl w:val="0"/>
                <w:numId w:val="1"/>
              </w:numPr>
              <w:autoSpaceDE w:val="0"/>
              <w:autoSpaceDN w:val="0"/>
              <w:spacing w:line="360" w:lineRule="auto"/>
              <w:ind w:left="270" w:hanging="270"/>
              <w:jc w:val="left"/>
            </w:pPr>
            <w:r>
              <w:t xml:space="preserve">Needs </w:t>
            </w:r>
            <w:r w:rsidRPr="14599B40">
              <w:rPr>
                <w:i/>
                <w:iCs/>
              </w:rPr>
              <w:t>methionine</w:t>
            </w:r>
            <w:r>
              <w:t xml:space="preserve"> as a catalytic precursor</w:t>
            </w:r>
          </w:p>
          <w:p w14:paraId="1C3F3571" w14:textId="77777777" w:rsidR="0060224B" w:rsidRPr="00A44E3C" w:rsidRDefault="0060224B" w:rsidP="0060224B">
            <w:pPr>
              <w:pStyle w:val="MDPI42tablebody"/>
              <w:numPr>
                <w:ilvl w:val="0"/>
                <w:numId w:val="1"/>
              </w:numPr>
              <w:autoSpaceDE w:val="0"/>
              <w:autoSpaceDN w:val="0"/>
              <w:spacing w:line="360" w:lineRule="auto"/>
              <w:ind w:left="270" w:hanging="270"/>
              <w:jc w:val="left"/>
            </w:pPr>
            <w:r>
              <w:t>Metabolizes to energy products, urea, or sarcosine</w:t>
            </w:r>
          </w:p>
        </w:tc>
      </w:tr>
      <w:tr w:rsidR="0060224B" w:rsidRPr="00A44E3C" w14:paraId="6CD6EB05" w14:textId="77777777" w:rsidTr="00F34034">
        <w:trPr>
          <w:trHeight w:val="1440"/>
        </w:trPr>
        <w:tc>
          <w:tcPr>
            <w:tcW w:w="796" w:type="pct"/>
            <w:shd w:val="clear" w:color="auto" w:fill="auto"/>
            <w:vAlign w:val="center"/>
            <w:hideMark/>
          </w:tcPr>
          <w:p w14:paraId="3FDA6AE2" w14:textId="77777777" w:rsidR="0060224B" w:rsidRPr="00A44E3C" w:rsidRDefault="0060224B" w:rsidP="0060224B">
            <w:pPr>
              <w:pStyle w:val="MDPI42tablebody"/>
              <w:autoSpaceDE w:val="0"/>
              <w:autoSpaceDN w:val="0"/>
              <w:spacing w:line="360" w:lineRule="auto"/>
            </w:pPr>
            <w:r w:rsidRPr="00A44E3C">
              <w:t>Nucleosides / nucleotides</w:t>
            </w:r>
          </w:p>
        </w:tc>
        <w:tc>
          <w:tcPr>
            <w:tcW w:w="1089" w:type="pct"/>
            <w:shd w:val="clear" w:color="auto" w:fill="auto"/>
            <w:vAlign w:val="center"/>
            <w:hideMark/>
          </w:tcPr>
          <w:p w14:paraId="394347E1"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65294C2B" w14:textId="77777777" w:rsidR="0060224B" w:rsidRPr="00A44E3C" w:rsidRDefault="0060224B" w:rsidP="0060224B">
            <w:pPr>
              <w:pStyle w:val="MDPI42tablebody"/>
              <w:autoSpaceDE w:val="0"/>
              <w:autoSpaceDN w:val="0"/>
              <w:spacing w:line="360" w:lineRule="auto"/>
            </w:pPr>
            <w:r w:rsidRPr="00A44E3C">
              <w:t>Uridine</w:t>
            </w:r>
          </w:p>
        </w:tc>
        <w:tc>
          <w:tcPr>
            <w:tcW w:w="2128" w:type="pct"/>
            <w:shd w:val="clear" w:color="auto" w:fill="auto"/>
            <w:vAlign w:val="center"/>
            <w:hideMark/>
          </w:tcPr>
          <w:p w14:paraId="7C5BE7C2" w14:textId="77777777" w:rsidR="0060224B" w:rsidRPr="00A44E3C" w:rsidRDefault="0060224B" w:rsidP="0060224B">
            <w:pPr>
              <w:pStyle w:val="MDPI42tablebody"/>
              <w:numPr>
                <w:ilvl w:val="0"/>
                <w:numId w:val="1"/>
              </w:numPr>
              <w:autoSpaceDE w:val="0"/>
              <w:autoSpaceDN w:val="0"/>
              <w:spacing w:line="360" w:lineRule="auto"/>
              <w:ind w:left="270" w:hanging="270"/>
              <w:jc w:val="left"/>
            </w:pPr>
            <w:r>
              <w:t>High levels associated with diet supplementation</w:t>
            </w:r>
          </w:p>
        </w:tc>
      </w:tr>
    </w:tbl>
    <w:p w14:paraId="1AAB159D" w14:textId="57DCBF79" w:rsidR="00F34034" w:rsidRPr="00F34034" w:rsidRDefault="00F34034">
      <w:pPr>
        <w:rPr>
          <w:rFonts w:ascii="Times New Roman" w:hAnsi="Times New Roman" w:cs="Times New Roman"/>
          <w:b/>
          <w:bCs/>
        </w:rPr>
      </w:pPr>
      <w:r w:rsidRPr="00F34034">
        <w:rPr>
          <w:rFonts w:ascii="Times New Roman" w:hAnsi="Times New Roman" w:cs="Times New Roman"/>
          <w:b/>
          <w:bCs/>
        </w:rPr>
        <w:lastRenderedPageBreak/>
        <w:t>Table 5 continued</w:t>
      </w:r>
    </w:p>
    <w:tbl>
      <w:tblPr>
        <w:tblStyle w:val="TableGrid"/>
        <w:tblpPr w:leftFromText="180" w:rightFromText="180" w:vertAnchor="page" w:horzAnchor="margin" w:tblpXSpec="center" w:tblpY="2413"/>
        <w:tblW w:w="4837" w:type="pct"/>
        <w:tblBorders>
          <w:top w:val="single" w:sz="8" w:space="0" w:color="auto"/>
          <w:left w:val="none" w:sz="0" w:space="0" w:color="auto"/>
          <w:bottom w:val="single" w:sz="8" w:space="0" w:color="auto"/>
          <w:right w:val="none" w:sz="0" w:space="0" w:color="auto"/>
          <w:insideV w:val="none" w:sz="0" w:space="0" w:color="auto"/>
        </w:tblBorders>
        <w:tblCellMar>
          <w:left w:w="0" w:type="dxa"/>
          <w:right w:w="0" w:type="dxa"/>
        </w:tblCellMar>
        <w:tblLook w:val="0420" w:firstRow="1" w:lastRow="0" w:firstColumn="0" w:lastColumn="0" w:noHBand="0" w:noVBand="1"/>
      </w:tblPr>
      <w:tblGrid>
        <w:gridCol w:w="1442"/>
        <w:gridCol w:w="1972"/>
        <w:gridCol w:w="1787"/>
        <w:gridCol w:w="3854"/>
      </w:tblGrid>
      <w:tr w:rsidR="0060224B" w:rsidRPr="00A44E3C" w14:paraId="17C4E073" w14:textId="77777777" w:rsidTr="00F34034">
        <w:trPr>
          <w:trHeight w:val="1061"/>
        </w:trPr>
        <w:tc>
          <w:tcPr>
            <w:tcW w:w="796" w:type="pct"/>
            <w:vMerge w:val="restart"/>
            <w:shd w:val="clear" w:color="auto" w:fill="auto"/>
            <w:vAlign w:val="center"/>
            <w:hideMark/>
          </w:tcPr>
          <w:p w14:paraId="0C030E3D" w14:textId="77777777" w:rsidR="0060224B" w:rsidRPr="00A44E3C" w:rsidRDefault="0060224B" w:rsidP="0060224B">
            <w:pPr>
              <w:pStyle w:val="MDPI42tablebody"/>
              <w:autoSpaceDE w:val="0"/>
              <w:autoSpaceDN w:val="0"/>
              <w:spacing w:line="360" w:lineRule="auto"/>
            </w:pPr>
            <w:r w:rsidRPr="00A44E3C">
              <w:t>Unclassified metabolites</w:t>
            </w:r>
          </w:p>
        </w:tc>
        <w:tc>
          <w:tcPr>
            <w:tcW w:w="1089" w:type="pct"/>
            <w:shd w:val="clear" w:color="auto" w:fill="auto"/>
            <w:vAlign w:val="center"/>
            <w:hideMark/>
          </w:tcPr>
          <w:p w14:paraId="6C45F188"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524FD129" w14:textId="77777777" w:rsidR="0060224B" w:rsidRPr="00A44E3C" w:rsidRDefault="0060224B" w:rsidP="0060224B">
            <w:pPr>
              <w:pStyle w:val="MDPI42tablebody"/>
              <w:autoSpaceDE w:val="0"/>
              <w:autoSpaceDN w:val="0"/>
              <w:spacing w:line="360" w:lineRule="auto"/>
            </w:pPr>
            <w:r w:rsidRPr="00A44E3C">
              <w:t>Uric acid</w:t>
            </w:r>
          </w:p>
        </w:tc>
        <w:tc>
          <w:tcPr>
            <w:tcW w:w="2128" w:type="pct"/>
            <w:shd w:val="clear" w:color="auto" w:fill="auto"/>
            <w:vAlign w:val="center"/>
            <w:hideMark/>
          </w:tcPr>
          <w:p w14:paraId="5B17FB51" w14:textId="77777777" w:rsidR="0060224B" w:rsidRPr="00A44E3C" w:rsidRDefault="0060224B" w:rsidP="0060224B">
            <w:pPr>
              <w:pStyle w:val="MDPI42tablebody"/>
              <w:numPr>
                <w:ilvl w:val="0"/>
                <w:numId w:val="1"/>
              </w:numPr>
              <w:autoSpaceDE w:val="0"/>
              <w:autoSpaceDN w:val="0"/>
              <w:spacing w:line="360" w:lineRule="auto"/>
              <w:ind w:left="270" w:hanging="270"/>
              <w:jc w:val="left"/>
            </w:pPr>
            <w:r>
              <w:t>Final product of purine metabolism</w:t>
            </w:r>
          </w:p>
          <w:p w14:paraId="42114212" w14:textId="77777777" w:rsidR="0060224B" w:rsidRPr="00A44E3C" w:rsidRDefault="0060224B" w:rsidP="0060224B">
            <w:pPr>
              <w:pStyle w:val="MDPI42tablebody"/>
              <w:numPr>
                <w:ilvl w:val="0"/>
                <w:numId w:val="1"/>
              </w:numPr>
              <w:autoSpaceDE w:val="0"/>
              <w:autoSpaceDN w:val="0"/>
              <w:spacing w:line="360" w:lineRule="auto"/>
              <w:ind w:left="270" w:hanging="270"/>
              <w:jc w:val="left"/>
              <w:rPr>
                <w:i/>
                <w:iCs/>
              </w:rPr>
            </w:pPr>
            <w:r>
              <w:t xml:space="preserve">Metabolic precursor to </w:t>
            </w:r>
            <w:r w:rsidRPr="14599B40">
              <w:rPr>
                <w:i/>
                <w:iCs/>
              </w:rPr>
              <w:t>allantoin</w:t>
            </w:r>
          </w:p>
          <w:p w14:paraId="2B2078BE" w14:textId="77777777" w:rsidR="0060224B" w:rsidRPr="00A44E3C" w:rsidRDefault="0060224B" w:rsidP="0060224B">
            <w:pPr>
              <w:pStyle w:val="MDPI42tablebody"/>
              <w:numPr>
                <w:ilvl w:val="0"/>
                <w:numId w:val="1"/>
              </w:numPr>
              <w:autoSpaceDE w:val="0"/>
              <w:autoSpaceDN w:val="0"/>
              <w:spacing w:line="360" w:lineRule="auto"/>
              <w:ind w:left="270" w:hanging="270"/>
              <w:jc w:val="left"/>
            </w:pPr>
            <w:r>
              <w:t>Potentially a toxic metabolite and is often excreted</w:t>
            </w:r>
          </w:p>
        </w:tc>
      </w:tr>
      <w:tr w:rsidR="0060224B" w:rsidRPr="00A44E3C" w14:paraId="5006D2C3" w14:textId="77777777" w:rsidTr="00F34034">
        <w:trPr>
          <w:trHeight w:val="140"/>
        </w:trPr>
        <w:tc>
          <w:tcPr>
            <w:tcW w:w="796" w:type="pct"/>
            <w:vMerge/>
            <w:vAlign w:val="center"/>
            <w:hideMark/>
          </w:tcPr>
          <w:p w14:paraId="76E363EE" w14:textId="77777777" w:rsidR="0060224B" w:rsidRPr="00A44E3C" w:rsidRDefault="0060224B" w:rsidP="0060224B">
            <w:pPr>
              <w:pStyle w:val="MDPI42tablebody"/>
              <w:autoSpaceDE w:val="0"/>
              <w:autoSpaceDN w:val="0"/>
              <w:spacing w:line="360" w:lineRule="auto"/>
            </w:pPr>
          </w:p>
        </w:tc>
        <w:tc>
          <w:tcPr>
            <w:tcW w:w="1089" w:type="pct"/>
            <w:shd w:val="clear" w:color="auto" w:fill="auto"/>
            <w:vAlign w:val="center"/>
            <w:hideMark/>
          </w:tcPr>
          <w:p w14:paraId="0C7D9E98" w14:textId="77777777" w:rsidR="0060224B" w:rsidRPr="00A44E3C" w:rsidRDefault="0060224B" w:rsidP="0060224B">
            <w:pPr>
              <w:pStyle w:val="MDPI42tablebody"/>
              <w:autoSpaceDE w:val="0"/>
              <w:autoSpaceDN w:val="0"/>
              <w:spacing w:line="360" w:lineRule="auto"/>
            </w:pPr>
            <w:r w:rsidRPr="00A44E3C">
              <w:t>Decreased</w:t>
            </w:r>
          </w:p>
        </w:tc>
        <w:tc>
          <w:tcPr>
            <w:tcW w:w="987" w:type="pct"/>
            <w:shd w:val="clear" w:color="auto" w:fill="auto"/>
            <w:vAlign w:val="center"/>
            <w:hideMark/>
          </w:tcPr>
          <w:p w14:paraId="4A39EDE2" w14:textId="77777777" w:rsidR="0060224B" w:rsidRPr="00A44E3C" w:rsidRDefault="0060224B" w:rsidP="0060224B">
            <w:pPr>
              <w:pStyle w:val="MDPI42tablebody"/>
              <w:autoSpaceDE w:val="0"/>
              <w:autoSpaceDN w:val="0"/>
              <w:spacing w:line="360" w:lineRule="auto"/>
            </w:pPr>
            <w:r w:rsidRPr="00A44E3C">
              <w:t>Allantoin</w:t>
            </w:r>
          </w:p>
        </w:tc>
        <w:tc>
          <w:tcPr>
            <w:tcW w:w="2128" w:type="pct"/>
            <w:shd w:val="clear" w:color="auto" w:fill="auto"/>
            <w:vAlign w:val="center"/>
            <w:hideMark/>
          </w:tcPr>
          <w:p w14:paraId="2B67C793" w14:textId="77777777" w:rsidR="0060224B" w:rsidRPr="00A44E3C" w:rsidRDefault="0060224B" w:rsidP="0060224B">
            <w:pPr>
              <w:pStyle w:val="MDPI42tablebody"/>
              <w:numPr>
                <w:ilvl w:val="0"/>
                <w:numId w:val="1"/>
              </w:numPr>
              <w:autoSpaceDE w:val="0"/>
              <w:autoSpaceDN w:val="0"/>
              <w:spacing w:line="360" w:lineRule="auto"/>
              <w:ind w:left="270" w:hanging="270"/>
              <w:jc w:val="left"/>
              <w:rPr>
                <w:i/>
                <w:iCs/>
              </w:rPr>
            </w:pPr>
            <w:r>
              <w:t xml:space="preserve">Metabolic byproduct of </w:t>
            </w:r>
            <w:r w:rsidRPr="14599B40">
              <w:rPr>
                <w:i/>
                <w:iCs/>
              </w:rPr>
              <w:t>uric acid</w:t>
            </w:r>
          </w:p>
          <w:p w14:paraId="47602F63" w14:textId="77777777" w:rsidR="0060224B" w:rsidRPr="00A44E3C" w:rsidRDefault="0060224B" w:rsidP="0060224B">
            <w:pPr>
              <w:pStyle w:val="MDPI42tablebody"/>
              <w:numPr>
                <w:ilvl w:val="0"/>
                <w:numId w:val="1"/>
              </w:numPr>
              <w:autoSpaceDE w:val="0"/>
              <w:autoSpaceDN w:val="0"/>
              <w:spacing w:line="360" w:lineRule="auto"/>
              <w:ind w:left="270" w:hanging="270"/>
              <w:jc w:val="left"/>
            </w:pPr>
            <w:r>
              <w:t>Indicator of oxidative stress</w:t>
            </w:r>
          </w:p>
        </w:tc>
      </w:tr>
    </w:tbl>
    <w:p w14:paraId="432431F7" w14:textId="0BB64CAA" w:rsidR="00F34034" w:rsidRPr="00F34034" w:rsidRDefault="00F34034" w:rsidP="006B0F11">
      <w:pPr>
        <w:rPr>
          <w:rFonts w:ascii="Times New Roman" w:hAnsi="Times New Roman" w:cs="Times New Roman"/>
          <w:b/>
          <w:bCs/>
          <w:color w:val="000000" w:themeColor="text1"/>
          <w:sz w:val="40"/>
          <w:szCs w:val="40"/>
          <w:vertAlign w:val="superscript"/>
        </w:rPr>
      </w:pPr>
    </w:p>
    <w:p w14:paraId="3EC1A859" w14:textId="77777777" w:rsidR="00F34034" w:rsidRDefault="00F34034" w:rsidP="006B0F11">
      <w:pPr>
        <w:rPr>
          <w:rFonts w:ascii="Times New Roman" w:hAnsi="Times New Roman" w:cs="Times New Roman"/>
          <w:color w:val="000000" w:themeColor="text1"/>
          <w:vertAlign w:val="superscript"/>
        </w:rPr>
      </w:pPr>
    </w:p>
    <w:p w14:paraId="7C2C3E4E" w14:textId="77777777" w:rsidR="006B0F11" w:rsidRDefault="006B0F11" w:rsidP="006B0F11">
      <w:r w:rsidRPr="0099764F">
        <w:rPr>
          <w:rFonts w:ascii="Times New Roman" w:hAnsi="Times New Roman" w:cs="Times New Roman"/>
          <w:color w:val="000000" w:themeColor="text1"/>
          <w:vertAlign w:val="superscript"/>
        </w:rPr>
        <w:t>1</w:t>
      </w:r>
      <w:r w:rsidRPr="0099764F">
        <w:rPr>
          <w:rFonts w:ascii="Times New Roman" w:hAnsi="Times New Roman" w:cs="Times New Roman"/>
          <w:color w:val="000000" w:themeColor="text1"/>
        </w:rPr>
        <w:t xml:space="preserve"> Biological significance gathered from the Human Metabolome database (https://hmdb.ca/; </w:t>
      </w:r>
      <w:r w:rsidRPr="0099764F">
        <w:rPr>
          <w:rFonts w:ascii="Times New Roman" w:hAnsi="Times New Roman" w:cs="Times New Roman"/>
          <w:color w:val="000000" w:themeColor="text1"/>
        </w:rPr>
        <w:fldChar w:fldCharType="begin">
          <w:fldData xml:space="preserve">PEVuZE5vdGU+PENpdGU+PEF1dGhvcj5XaXNoYXJ0PC9BdXRob3I+PFllYXI+MjAyMjwvWWVhcj48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</w:fldData>
        </w:fldChar>
      </w:r>
      <w:r>
        <w:rPr>
          <w:rFonts w:ascii="Times New Roman" w:hAnsi="Times New Roman" w:cs="Times New Roman"/>
          <w:color w:val="000000" w:themeColor="text1"/>
        </w:rPr>
        <w:instrText xml:space="preserve"> ADDIN EN.CITE </w:instrText>
      </w:r>
      <w:r>
        <w:rPr>
          <w:rFonts w:ascii="Times New Roman" w:hAnsi="Times New Roman" w:cs="Times New Roman"/>
          <w:color w:val="000000" w:themeColor="text1"/>
        </w:rPr>
        <w:fldChar w:fldCharType="begin">
          <w:fldData xml:space="preserve">PEVuZE5vdGU+PENpdGU+PEF1dGhvcj5XaXNoYXJ0PC9BdXRob3I+PFllYXI+MjAyMjwvWWVhcj48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</w:fldData>
        </w:fldChar>
      </w:r>
      <w:r>
        <w:rPr>
          <w:rFonts w:ascii="Times New Roman" w:hAnsi="Times New Roman" w:cs="Times New Roman"/>
          <w:color w:val="000000" w:themeColor="text1"/>
        </w:rPr>
        <w:instrText xml:space="preserve"> ADDIN EN.CITE.DATA </w:instrText>
      </w:r>
      <w:r>
        <w:rPr>
          <w:rFonts w:ascii="Times New Roman" w:hAnsi="Times New Roman" w:cs="Times New Roman"/>
          <w:color w:val="000000" w:themeColor="text1"/>
        </w:rPr>
      </w:r>
      <w:r>
        <w:rPr>
          <w:rFonts w:ascii="Times New Roman" w:hAnsi="Times New Roman" w:cs="Times New Roman"/>
          <w:color w:val="000000" w:themeColor="text1"/>
        </w:rPr>
        <w:fldChar w:fldCharType="end"/>
      </w:r>
      <w:r w:rsidRPr="0099764F">
        <w:rPr>
          <w:rFonts w:ascii="Times New Roman" w:hAnsi="Times New Roman" w:cs="Times New Roman"/>
          <w:color w:val="000000" w:themeColor="text1"/>
        </w:rPr>
      </w:r>
      <w:r w:rsidRPr="0099764F">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(Wishart et al., 2022)</w:t>
      </w:r>
      <w:r w:rsidRPr="0099764F">
        <w:rPr>
          <w:rFonts w:ascii="Times New Roman" w:hAnsi="Times New Roman" w:cs="Times New Roman"/>
          <w:color w:val="000000" w:themeColor="text1"/>
        </w:rPr>
        <w:fldChar w:fldCharType="end"/>
      </w:r>
      <w:r w:rsidRPr="0099764F">
        <w:rPr>
          <w:rFonts w:ascii="Times New Roman" w:hAnsi="Times New Roman" w:cs="Times New Roman"/>
          <w:color w:val="000000" w:themeColor="text1"/>
        </w:rPr>
        <w:t xml:space="preserve">), the Livestock Metabolome database (https://lmdb.ca/; </w:t>
      </w:r>
      <w:r w:rsidRPr="0099764F">
        <w:rPr>
          <w:rFonts w:ascii="Times New Roman" w:hAnsi="Times New Roman" w:cs="Times New Roman"/>
          <w:color w:val="000000" w:themeColor="text1"/>
        </w:rPr>
        <w:fldChar w:fldCharType="begin"/>
      </w:r>
      <w:r>
        <w:rPr>
          <w:rFonts w:ascii="Times New Roman" w:hAnsi="Times New Roman" w:cs="Times New Roman"/>
          <w:color w:val="000000" w:themeColor="text1"/>
        </w:rPr>
        <w:instrText xml:space="preserve"> ADDIN EN.CITE &lt;EndNote&gt;&lt;Cite&gt;&lt;Author&gt;Goldansaz&lt;/Author&gt;&lt;Year&gt;2017&lt;/Year&gt;&lt;RecNum&gt;74&lt;/RecNum&gt;&lt;DisplayText&gt;(Goldansaz et al., 2017)&lt;/DisplayText&gt;&lt;record&gt;&lt;rec-number&gt;74&lt;/rec-number&gt;&lt;foreign-keys&gt;&lt;key app="EN" db-id="ed2rxt290xprxmed0abvaa9tvaxadtv5ddsz" timestamp="1659552360" guid="c4218eb0-3edf-4e99-bce4-4981cfc228d1"&gt;74&lt;/key&gt;&lt;/foreign-keys&gt;&lt;ref-type name="Journal Article"&gt;17&lt;/ref-type&gt;&lt;contributors&gt;&lt;authors&gt;&lt;author&gt;Goldansaz, S. A.&lt;/author&gt;&lt;author&gt;Guo, A. C.&lt;/author&gt;&lt;author&gt;Sajed, T.&lt;/author&gt;&lt;author&gt;Steele, M. A.&lt;/author&gt;&lt;author&gt;Plastow, G. S.&lt;/author&gt;&lt;author&gt;Wishart, D. S.&lt;/author&gt;&lt;/authors&gt;&lt;/contributors&gt;&lt;auth-address&gt;Department of Agriculture, Food and Nutritional Sciences, University of Alberta, Edmonton, Alberta, Canada.&amp;#xD;Department of Biological Sciences, University of Alberta, Edmonton, Alberta, Canada.&amp;#xD;Department of Computing Science, University of Alberta, Edmonton, Alberta, Canada.&lt;/auth-address&gt;&lt;titles&gt;&lt;title&gt;Livestock metabolomics and the livestock metabolome: A systematic review&lt;/title&gt;&lt;secondary-title&gt;PLoS One&lt;/secondary-title&gt;&lt;/titles&gt;&lt;periodical&gt;&lt;full-title&gt;PLoS One&lt;/full-title&gt;&lt;/periodical&gt;&lt;pages&gt;e0177675&lt;/pages&gt;&lt;volume&gt;12&lt;/volume&gt;&lt;number&gt;5&lt;/number&gt;&lt;edition&gt;2017/05/23&lt;/edition&gt;&lt;keywords&gt;&lt;keyword&gt;Animals&lt;/keyword&gt;&lt;keyword&gt;Cattle&lt;/keyword&gt;&lt;keyword&gt;Databases, Chemical&lt;/keyword&gt;&lt;keyword&gt;Goats&lt;/keyword&gt;&lt;keyword&gt;Horses&lt;/keyword&gt;&lt;keyword&gt;Internet&lt;/keyword&gt;&lt;keyword&gt;Livestock/*growth &amp;amp; development/metabolism&lt;/keyword&gt;&lt;keyword&gt;*Metabolome&lt;/keyword&gt;&lt;keyword&gt;Metabolomics/*methods&lt;/keyword&gt;&lt;keyword&gt;Quantitative Trait Loci&lt;/keyword&gt;&lt;keyword&gt;Sheep&lt;/keyword&gt;&lt;keyword&gt;Swine&lt;/keyword&gt;&lt;/keywords&gt;&lt;dates&gt;&lt;year&gt;2017&lt;/year&gt;&lt;/dates&gt;&lt;isbn&gt;1932-6203 (Electronic)&amp;#xD;1932-6203 (Linking)&lt;/isbn&gt;&lt;accession-num&gt;28531195&lt;/accession-num&gt;&lt;urls&gt;&lt;related-urls&gt;&lt;url&gt;https://www.ncbi.nlm.nih.gov/pubmed/28531195&lt;/url&gt;&lt;/related-urls&gt;&lt;/urls&gt;&lt;custom2&gt;PMC5439675&lt;/custom2&gt;&lt;electronic-resource-num&gt;10.1371/journal.pone.0177675&lt;/electronic-resource-num&gt;&lt;/record&gt;&lt;/Cite&gt;&lt;/EndNote&gt;</w:instrText>
      </w:r>
      <w:r w:rsidRPr="0099764F">
        <w:rPr>
          <w:rFonts w:ascii="Times New Roman" w:hAnsi="Times New Roman" w:cs="Times New Roman"/>
          <w:color w:val="000000" w:themeColor="text1"/>
        </w:rPr>
        <w:fldChar w:fldCharType="separate"/>
      </w:r>
      <w:r>
        <w:rPr>
          <w:rFonts w:ascii="Times New Roman" w:hAnsi="Times New Roman" w:cs="Times New Roman"/>
          <w:noProof/>
          <w:color w:val="000000" w:themeColor="text1"/>
        </w:rPr>
        <w:t>(Goldansaz et al., 2017)</w:t>
      </w:r>
      <w:r w:rsidRPr="0099764F">
        <w:rPr>
          <w:rFonts w:ascii="Times New Roman" w:hAnsi="Times New Roman" w:cs="Times New Roman"/>
          <w:color w:val="000000" w:themeColor="text1"/>
        </w:rPr>
        <w:fldChar w:fldCharType="end"/>
      </w:r>
      <w:r w:rsidRPr="0099764F">
        <w:rPr>
          <w:rFonts w:ascii="Times New Roman" w:hAnsi="Times New Roman" w:cs="Times New Roman"/>
          <w:color w:val="000000" w:themeColor="text1"/>
        </w:rPr>
        <w:t>), and Kyoto Encyclopedia of Genes and Genomes (KEGG) database (https://www.genome.jp/kegg/</w:t>
      </w:r>
      <w:r w:rsidRPr="0099764F">
        <w:rPr>
          <w:rStyle w:val="Hyperlink"/>
          <w:rFonts w:ascii="Times New Roman" w:hAnsi="Times New Roman" w:cs="Times New Roman"/>
          <w:color w:val="000000" w:themeColor="text1"/>
          <w:u w:val="none"/>
        </w:rPr>
        <w:t xml:space="preserve">; </w:t>
      </w:r>
      <w:r w:rsidRPr="0099764F">
        <w:rPr>
          <w:rStyle w:val="Hyperlink"/>
          <w:rFonts w:ascii="Times New Roman" w:hAnsi="Times New Roman" w:cs="Times New Roman"/>
          <w:color w:val="000000" w:themeColor="text1"/>
          <w:u w:val="none"/>
        </w:rPr>
        <w:fldChar w:fldCharType="begin">
          <w:fldData xml:space="preserve">PEVuZE5vdGU+PENpdGU+PEF1dGhvcj5LYW5laGlzYTwvQXV0aG9yPjxZZWFyPjIwMDA8L1llYXI+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</w:fldData>
        </w:fldChar>
      </w:r>
      <w:r>
        <w:rPr>
          <w:rStyle w:val="Hyperlink"/>
          <w:rFonts w:ascii="Times New Roman" w:hAnsi="Times New Roman" w:cs="Times New Roman"/>
          <w:color w:val="000000" w:themeColor="text1"/>
          <w:u w:val="none"/>
        </w:rPr>
        <w:instrText xml:space="preserve"> ADDIN EN.CITE </w:instrText>
      </w:r>
      <w:r>
        <w:rPr>
          <w:rStyle w:val="Hyperlink"/>
          <w:rFonts w:ascii="Times New Roman" w:hAnsi="Times New Roman" w:cs="Times New Roman"/>
          <w:color w:val="000000" w:themeColor="text1"/>
          <w:u w:val="none"/>
        </w:rPr>
        <w:fldChar w:fldCharType="begin">
          <w:fldData xml:space="preserve">PEVuZE5vdGU+PENpdGU+PEF1dGhvcj5LYW5laGlzYTwvQXV0aG9yPjxZZWFyPjIwMDA8L1llYXI+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</w:fldData>
        </w:fldChar>
      </w:r>
      <w:r>
        <w:rPr>
          <w:rStyle w:val="Hyperlink"/>
          <w:rFonts w:ascii="Times New Roman" w:hAnsi="Times New Roman" w:cs="Times New Roman"/>
          <w:color w:val="000000" w:themeColor="text1"/>
          <w:u w:val="none"/>
        </w:rPr>
        <w:instrText xml:space="preserve"> ADDIN EN.CITE.DATA </w:instrText>
      </w:r>
      <w:r>
        <w:rPr>
          <w:rStyle w:val="Hyperlink"/>
          <w:rFonts w:ascii="Times New Roman" w:hAnsi="Times New Roman" w:cs="Times New Roman"/>
          <w:color w:val="000000" w:themeColor="text1"/>
          <w:u w:val="none"/>
        </w:rPr>
      </w:r>
      <w:r>
        <w:rPr>
          <w:rStyle w:val="Hyperlink"/>
          <w:rFonts w:ascii="Times New Roman" w:hAnsi="Times New Roman" w:cs="Times New Roman"/>
          <w:color w:val="000000" w:themeColor="text1"/>
          <w:u w:val="none"/>
        </w:rPr>
        <w:fldChar w:fldCharType="end"/>
      </w:r>
      <w:r w:rsidRPr="0099764F">
        <w:rPr>
          <w:rStyle w:val="Hyperlink"/>
          <w:rFonts w:ascii="Times New Roman" w:hAnsi="Times New Roman" w:cs="Times New Roman"/>
          <w:color w:val="000000" w:themeColor="text1"/>
          <w:u w:val="none"/>
        </w:rPr>
      </w:r>
      <w:r w:rsidRPr="0099764F">
        <w:rPr>
          <w:rStyle w:val="Hyperlink"/>
          <w:rFonts w:ascii="Times New Roman" w:hAnsi="Times New Roman" w:cs="Times New Roman"/>
          <w:color w:val="000000" w:themeColor="text1"/>
          <w:u w:val="none"/>
        </w:rPr>
        <w:fldChar w:fldCharType="separate"/>
      </w:r>
      <w:r>
        <w:rPr>
          <w:rStyle w:val="Hyperlink"/>
          <w:rFonts w:ascii="Times New Roman" w:hAnsi="Times New Roman" w:cs="Times New Roman"/>
          <w:noProof/>
          <w:color w:val="000000" w:themeColor="text1"/>
          <w:u w:val="none"/>
        </w:rPr>
        <w:t>(Kanehisa, 2019; Kanehisa et al., 2021; Kanehisa &amp; Goto, 2000)</w:t>
      </w:r>
      <w:r w:rsidRPr="0099764F">
        <w:rPr>
          <w:rStyle w:val="Hyperlink"/>
          <w:rFonts w:ascii="Times New Roman" w:hAnsi="Times New Roman" w:cs="Times New Roman"/>
          <w:color w:val="000000" w:themeColor="text1"/>
          <w:u w:val="none"/>
        </w:rPr>
        <w:fldChar w:fldCharType="end"/>
      </w:r>
      <w:r w:rsidRPr="0099764F">
        <w:rPr>
          <w:rFonts w:ascii="Times New Roman" w:hAnsi="Times New Roman" w:cs="Times New Roman"/>
          <w:color w:val="000000" w:themeColor="text1"/>
        </w:rPr>
        <w:t>).</w:t>
      </w:r>
      <w:r w:rsidRPr="0099764F">
        <w:rPr>
          <w:rFonts w:ascii="Times New Roman" w:hAnsi="Times New Roman" w:cs="Times New Roman"/>
          <w:color w:val="000000" w:themeColor="text1"/>
          <w:vertAlign w:val="superscript"/>
        </w:rPr>
        <w:t>2</w:t>
      </w:r>
      <w:r w:rsidRPr="0099764F">
        <w:rPr>
          <w:rFonts w:ascii="Times New Roman" w:hAnsi="Times New Roman" w:cs="Times New Roman"/>
          <w:color w:val="000000" w:themeColor="text1"/>
        </w:rPr>
        <w:t xml:space="preserve"> These metabolites cannot be differentiated via the employed method; therefore, it is unknown whether they both decrease or singly decrease.</w:t>
      </w:r>
    </w:p>
    <w:p w14:paraId="74E18302" w14:textId="77777777" w:rsidR="006B0F11" w:rsidRDefault="006B0F11" w:rsidP="00787FB7">
      <w:pPr>
        <w:pStyle w:val="NormalWeb"/>
        <w:spacing w:line="360" w:lineRule="auto"/>
        <w:rPr>
          <w:color w:val="000000" w:themeColor="text1"/>
        </w:rPr>
      </w:pPr>
    </w:p>
    <w:p w14:paraId="0DBAF0EA" w14:textId="77777777" w:rsidR="0060224B" w:rsidRDefault="0060224B" w:rsidP="00787FB7">
      <w:pPr>
        <w:pStyle w:val="NormalWeb"/>
        <w:spacing w:line="360" w:lineRule="auto"/>
        <w:rPr>
          <w:color w:val="000000" w:themeColor="text1"/>
        </w:rPr>
      </w:pPr>
    </w:p>
    <w:p w14:paraId="6F59B5C4" w14:textId="77777777" w:rsidR="0060224B" w:rsidRDefault="0060224B" w:rsidP="00787FB7">
      <w:pPr>
        <w:pStyle w:val="NormalWeb"/>
        <w:spacing w:line="360" w:lineRule="auto"/>
        <w:rPr>
          <w:color w:val="000000" w:themeColor="text1"/>
        </w:rPr>
      </w:pPr>
    </w:p>
    <w:p w14:paraId="7449A2F1" w14:textId="77777777" w:rsidR="0060224B" w:rsidRDefault="0060224B" w:rsidP="00787FB7">
      <w:pPr>
        <w:pStyle w:val="NormalWeb"/>
        <w:spacing w:line="360" w:lineRule="auto"/>
        <w:rPr>
          <w:color w:val="000000" w:themeColor="text1"/>
        </w:rPr>
      </w:pPr>
    </w:p>
    <w:p w14:paraId="4E661CAF" w14:textId="77777777" w:rsidR="0060224B" w:rsidRDefault="0060224B" w:rsidP="00787FB7">
      <w:pPr>
        <w:pStyle w:val="NormalWeb"/>
        <w:spacing w:line="360" w:lineRule="auto"/>
        <w:rPr>
          <w:color w:val="000000" w:themeColor="text1"/>
        </w:rPr>
      </w:pPr>
    </w:p>
    <w:p w14:paraId="1CA79846" w14:textId="77777777" w:rsidR="0060224B" w:rsidRDefault="0060224B" w:rsidP="00787FB7">
      <w:pPr>
        <w:pStyle w:val="NormalWeb"/>
        <w:spacing w:line="360" w:lineRule="auto"/>
        <w:rPr>
          <w:color w:val="000000" w:themeColor="text1"/>
        </w:rPr>
      </w:pPr>
    </w:p>
    <w:p w14:paraId="08592923" w14:textId="77777777" w:rsidR="0060224B" w:rsidRDefault="0060224B" w:rsidP="00787FB7">
      <w:pPr>
        <w:pStyle w:val="NormalWeb"/>
        <w:spacing w:line="360" w:lineRule="auto"/>
        <w:rPr>
          <w:color w:val="000000" w:themeColor="text1"/>
        </w:rPr>
      </w:pPr>
    </w:p>
    <w:p w14:paraId="1107F8C8" w14:textId="77777777" w:rsidR="0060224B" w:rsidRDefault="0060224B" w:rsidP="00787FB7">
      <w:pPr>
        <w:pStyle w:val="NormalWeb"/>
        <w:spacing w:line="360" w:lineRule="auto"/>
        <w:rPr>
          <w:color w:val="000000" w:themeColor="text1"/>
        </w:rPr>
      </w:pPr>
    </w:p>
    <w:p w14:paraId="179C87BA" w14:textId="77777777" w:rsidR="0060224B" w:rsidRDefault="0060224B" w:rsidP="00787FB7">
      <w:pPr>
        <w:pStyle w:val="NormalWeb"/>
        <w:spacing w:line="360" w:lineRule="auto"/>
        <w:rPr>
          <w:color w:val="000000" w:themeColor="text1"/>
        </w:rPr>
      </w:pPr>
    </w:p>
    <w:p w14:paraId="3B38FC46" w14:textId="77777777" w:rsidR="0060224B" w:rsidRPr="00787FB7" w:rsidRDefault="0060224B" w:rsidP="00787FB7">
      <w:pPr>
        <w:pStyle w:val="NormalWeb"/>
        <w:spacing w:line="360" w:lineRule="auto"/>
        <w:rPr>
          <w:color w:val="000000" w:themeColor="text1"/>
        </w:rPr>
      </w:pPr>
    </w:p>
    <w:p w14:paraId="31B0D434" w14:textId="40BA4E9F" w:rsidR="00AA7CD5" w:rsidRPr="00F0245E" w:rsidRDefault="00AA7CD5" w:rsidP="008A6B75">
      <w:pPr>
        <w:pStyle w:val="NormalWeb"/>
        <w:spacing w:line="360" w:lineRule="auto"/>
        <w:rPr>
          <w:color w:val="000000" w:themeColor="text1"/>
        </w:rPr>
      </w:pPr>
      <w:r w:rsidRPr="00F0245E">
        <w:rPr>
          <w:color w:val="000000" w:themeColor="text1"/>
        </w:rPr>
        <w:lastRenderedPageBreak/>
        <w:t>is often associated with disease and impaired nutritional status (</w:t>
      </w:r>
      <w:proofErr w:type="spellStart"/>
      <w:r w:rsidRPr="00F0245E">
        <w:rPr>
          <w:color w:val="000000" w:themeColor="text1"/>
        </w:rPr>
        <w:t>Ghone</w:t>
      </w:r>
      <w:proofErr w:type="spellEnd"/>
      <w:r w:rsidRPr="00F0245E">
        <w:rPr>
          <w:color w:val="000000" w:themeColor="text1"/>
        </w:rPr>
        <w:t xml:space="preserve"> et al. 2013). Specifically, methionine has been observed to be enhanced in subjects with severe acute malnutrition (Wishart et al. 2007; Foroutan et al. 2020; </w:t>
      </w:r>
      <w:proofErr w:type="spellStart"/>
      <w:r w:rsidRPr="00F0245E">
        <w:rPr>
          <w:color w:val="000000" w:themeColor="text1"/>
        </w:rPr>
        <w:t>Ghone</w:t>
      </w:r>
      <w:proofErr w:type="spellEnd"/>
      <w:r w:rsidRPr="00F0245E">
        <w:rPr>
          <w:color w:val="000000" w:themeColor="text1"/>
        </w:rPr>
        <w:t xml:space="preserve"> et al. 2013; Parenti et al. 2021). Because these potential biomarkers were found in lower abundance during the RP, it is theorized that the equine subjects are likely experiencing less oxidative stress due to these compounds acting as a defense against free radical species or their production at lower rates as their biological need to dissolve the radical species is lessened. </w:t>
      </w:r>
    </w:p>
    <w:p w14:paraId="43439B8C" w14:textId="4551B1C0" w:rsidR="00AA7CD5" w:rsidRDefault="00AA7CD5" w:rsidP="008A6B75">
      <w:pPr>
        <w:pStyle w:val="NormalWeb"/>
        <w:spacing w:line="360" w:lineRule="auto"/>
      </w:pPr>
      <w:r w:rsidRPr="00F0245E">
        <w:rPr>
          <w:color w:val="000000" w:themeColor="text1"/>
        </w:rPr>
        <w:t xml:space="preserve">Similarly, phenylalanine appeared in higher abundance in equine during the CCP. Despite phenylalanine’s proteinogenic properties, it serves as a toxic metabolite when found at chronically high concentrations. As this compound is an essential amino acid, an overall reduction in this compound’s abundance during the RP may indicate an increase in health as this amino acid is potentially shunted to upregulate protein synthesis. </w:t>
      </w:r>
    </w:p>
    <w:p w14:paraId="31D3F402" w14:textId="77777777" w:rsidR="004D0248" w:rsidRDefault="004D0248" w:rsidP="008A6B75">
      <w:pPr>
        <w:pStyle w:val="NormalWeb"/>
        <w:spacing w:line="360" w:lineRule="auto"/>
      </w:pPr>
    </w:p>
    <w:p w14:paraId="1D5F8204" w14:textId="77777777" w:rsidR="00AA7CD5" w:rsidRPr="009E5AA1" w:rsidRDefault="00AA7CD5" w:rsidP="008A6B75">
      <w:pPr>
        <w:pStyle w:val="Heading3"/>
        <w:spacing w:line="360" w:lineRule="auto"/>
        <w:rPr>
          <w:rFonts w:ascii="Times New Roman" w:hAnsi="Times New Roman" w:cs="Times New Roman"/>
        </w:rPr>
      </w:pPr>
      <w:bookmarkStart w:id="38" w:name="_Toc151023686"/>
      <w:r w:rsidRPr="009E5AA1">
        <w:rPr>
          <w:rFonts w:ascii="Times New Roman" w:hAnsi="Times New Roman" w:cs="Times New Roman"/>
        </w:rPr>
        <w:t>Metabolites Regulated by Skeletal Muscle Were Altered between the CCP and RP</w:t>
      </w:r>
      <w:bookmarkEnd w:id="38"/>
      <w:r w:rsidRPr="009E5AA1">
        <w:rPr>
          <w:rFonts w:ascii="Times New Roman" w:hAnsi="Times New Roman" w:cs="Times New Roman"/>
        </w:rPr>
        <w:t xml:space="preserve"> </w:t>
      </w:r>
    </w:p>
    <w:p w14:paraId="1542556E" w14:textId="77777777" w:rsidR="0060224B" w:rsidRDefault="00AA7CD5" w:rsidP="008A6B75">
      <w:pPr>
        <w:pStyle w:val="NormalWeb"/>
        <w:spacing w:line="360" w:lineRule="auto"/>
        <w:rPr>
          <w:color w:val="000000" w:themeColor="text1"/>
        </w:rPr>
      </w:pPr>
      <w:r w:rsidRPr="00F0245E">
        <w:rPr>
          <w:color w:val="000000" w:themeColor="text1"/>
        </w:rPr>
        <w:t>Creatine was found to be significantly higher in abundance during the CCP. This finding supports a similar study conducted in juvenile pigs, which revealed that creatine levels were more abundant during a state of malnourishment (Jiang et al. 2016). This finding could be accredited to muscle wasting, a process in which muscle is broken down to be utilized for energy (Cohen, Nathan, and Goldberg 2015). It is theorized that muscle wasting may cause the release of creatine from the muscle cells into circulation, yielding higher plasma creatine levels in horses with lower body condition scores. It has been observed that creatine supplementation does not significantly increase plasma creatine level, furthering the notion that increased plasma creatine abundance in horses during the CCP is due to muscle wasting (</w:t>
      </w:r>
      <w:proofErr w:type="spellStart"/>
      <w:r w:rsidRPr="00F0245E">
        <w:rPr>
          <w:color w:val="000000" w:themeColor="text1"/>
        </w:rPr>
        <w:t>Schuback</w:t>
      </w:r>
      <w:proofErr w:type="spellEnd"/>
      <w:r w:rsidRPr="00F0245E">
        <w:rPr>
          <w:color w:val="000000" w:themeColor="text1"/>
        </w:rPr>
        <w:t xml:space="preserve">, </w:t>
      </w:r>
      <w:proofErr w:type="spellStart"/>
      <w:r w:rsidRPr="00F0245E">
        <w:rPr>
          <w:color w:val="000000" w:themeColor="text1"/>
        </w:rPr>
        <w:t>Essén</w:t>
      </w:r>
      <w:proofErr w:type="spellEnd"/>
      <w:r w:rsidRPr="00F0245E">
        <w:rPr>
          <w:color w:val="000000" w:themeColor="text1"/>
        </w:rPr>
        <w:t xml:space="preserve">-Gustavsson, and Persson 2010). As previously mentioned, methionine (a catalytic precursor of creatine), was also found in lower abundance in horses during the RP. </w:t>
      </w:r>
    </w:p>
    <w:p w14:paraId="7B3E135E" w14:textId="0042945D" w:rsidR="00AA7CD5" w:rsidRPr="00F0245E" w:rsidRDefault="00AA7CD5" w:rsidP="008A6B75">
      <w:pPr>
        <w:pStyle w:val="NormalWeb"/>
        <w:spacing w:line="360" w:lineRule="auto"/>
        <w:rPr>
          <w:color w:val="000000" w:themeColor="text1"/>
        </w:rPr>
      </w:pPr>
      <w:r w:rsidRPr="00F0245E">
        <w:rPr>
          <w:color w:val="000000" w:themeColor="text1"/>
        </w:rPr>
        <w:lastRenderedPageBreak/>
        <w:t xml:space="preserve">Glutamine is an important non-essential amino acid highly expressed in skeletal muscle, similar to that of creatine. Approximately 90% of all glutamine synthesized is via skeletal muscle; it is then transferred to the blood, where it represents the most abundant free amino acid (Wishart et al. 2007). Interestingly, this amino acid was present in lower abundance during the RP. Low levels of glutamine are often associated with disease, as consistent levels are required for proper function of many metabolic processes and organs (brain, lungs, gut, immune system, skeletal muscle, kidney, etc.). With this information and the observation that other toxic metabolites appear to decrease during the RP, it is more likely that glutamine levels are decreased in equine with higher BCS’s due to high utilization by the system for other biological processes. </w:t>
      </w:r>
    </w:p>
    <w:p w14:paraId="177A00A7" w14:textId="77777777" w:rsidR="00AA7CD5" w:rsidRDefault="00AA7CD5" w:rsidP="008A6B75">
      <w:pPr>
        <w:pStyle w:val="NormalWeb"/>
        <w:spacing w:line="360" w:lineRule="auto"/>
      </w:pPr>
      <w:r w:rsidRPr="00F0245E">
        <w:rPr>
          <w:color w:val="000000" w:themeColor="text1"/>
        </w:rPr>
        <w:t>In addition to creatine, two metabolites commonly associated with skeletal muscle (alanine and sarcosine) were detected. The methods of detection utilized in this study were unable to differentiate these two isomeric compounds, yet a notable feature was detected either representing the isomers together or separately. In the event this feature is significantly changed due to a decrease in sarcosine (a product of creatine), a simple ex-planation of decreased abundance of precursors during the RP may be offered. Though, an alternative hypothesis is that muscle wasting and oxidative stress were overall less prevalent during the RP, resulting in decreased sarcosine abundance. Regardless, this cascade of metabolites was important to the discernment of the CCP and RPs. However, the metabolic feature associated with this finding is more likely due to the presence of alanine, as this amino acid is one of the more highly abundant amino acids found in plasma and is known to be found in higher concentrations than sarcosine (</w:t>
      </w:r>
      <w:proofErr w:type="spellStart"/>
      <w:r w:rsidRPr="00F0245E">
        <w:rPr>
          <w:color w:val="000000" w:themeColor="text1"/>
        </w:rPr>
        <w:t>Bergero</w:t>
      </w:r>
      <w:proofErr w:type="spellEnd"/>
      <w:r w:rsidRPr="00F0245E">
        <w:rPr>
          <w:color w:val="000000" w:themeColor="text1"/>
        </w:rPr>
        <w:t xml:space="preserve"> et al. 2005; Zhou et al. 2013). There are many theories as to why alanine was present in higher abundance during the CCP (including muscle wasting), but perhaps the most compelling is that of the shift in energy metabolism during starvation coordinated by metabolic crosstalk between skeletal muscle and the liver (Sarabhai and Roden 2019). Gluconeogenesis, glycogenolysis, glycolysis, and protein breakdown all retain the common factor alanine transaminase, an enzyme that produces alanine partly to prevent skeletal muscle from accumulating toxic nitrogenous products and to produce hepatic glucose (Sarabhai and Roden 2019). Thus, this offers an alternative to glucose homeostasis and energy metabolism (Sarabhai and Roden 2019). Alanine levels have also been observed to in-crease in equine during and after </w:t>
      </w:r>
      <w:r w:rsidRPr="00F0245E">
        <w:rPr>
          <w:color w:val="000000" w:themeColor="text1"/>
        </w:rPr>
        <w:lastRenderedPageBreak/>
        <w:t>exercise (i.e., when energy requirements change), which may mimic that of starvation (</w:t>
      </w:r>
      <w:proofErr w:type="spellStart"/>
      <w:r w:rsidRPr="00F0245E">
        <w:rPr>
          <w:color w:val="000000" w:themeColor="text1"/>
        </w:rPr>
        <w:t>Bergero</w:t>
      </w:r>
      <w:proofErr w:type="spellEnd"/>
      <w:r w:rsidRPr="00F0245E">
        <w:rPr>
          <w:color w:val="000000" w:themeColor="text1"/>
        </w:rPr>
        <w:t xml:space="preserve"> et al. 2005). Perhaps alanine was observed in greater abundance during the CCP due to high production amounts to satisfy the need of energy metabolism via hepatic pathways; yet, additional metabolites detected in this study provide evidence that hepatic function may be compromised, resulting in a build-up of this alternative energy product.</w:t>
      </w:r>
    </w:p>
    <w:p w14:paraId="3E77B1C1" w14:textId="77777777" w:rsidR="00AA7CD5" w:rsidRPr="009E5AA1" w:rsidRDefault="00AA7CD5" w:rsidP="008A6B75">
      <w:pPr>
        <w:pStyle w:val="Heading3"/>
        <w:spacing w:line="360" w:lineRule="auto"/>
        <w:rPr>
          <w:rFonts w:ascii="Times New Roman" w:hAnsi="Times New Roman" w:cs="Times New Roman"/>
        </w:rPr>
      </w:pPr>
      <w:bookmarkStart w:id="39" w:name="_Toc151023687"/>
      <w:r w:rsidRPr="009E5AA1">
        <w:rPr>
          <w:rFonts w:ascii="Times New Roman" w:hAnsi="Times New Roman" w:cs="Times New Roman"/>
        </w:rPr>
        <w:t>Significant Differences Were Observed in Metabolites Related to Liver and Kidney Function during the CCP and RPs</w:t>
      </w:r>
      <w:bookmarkEnd w:id="39"/>
      <w:r w:rsidRPr="009E5AA1">
        <w:rPr>
          <w:rFonts w:ascii="Times New Roman" w:hAnsi="Times New Roman" w:cs="Times New Roman"/>
        </w:rPr>
        <w:t xml:space="preserve"> </w:t>
      </w:r>
    </w:p>
    <w:p w14:paraId="10EAFD9A" w14:textId="77777777" w:rsidR="00AA7CD5" w:rsidRPr="00F0245E" w:rsidRDefault="00AA7CD5" w:rsidP="008A6B75">
      <w:pPr>
        <w:pStyle w:val="NormalWeb"/>
        <w:spacing w:line="360" w:lineRule="auto"/>
        <w:rPr>
          <w:color w:val="000000" w:themeColor="text1"/>
        </w:rPr>
      </w:pPr>
      <w:r w:rsidRPr="00F0245E">
        <w:rPr>
          <w:color w:val="000000" w:themeColor="text1"/>
        </w:rPr>
        <w:t>During the RP, uric acid, allantoin, and uridine were found in lower abundance while N-acetylornithine was found to be significantly increased. Uric acid is a purine derivative synthesized in the liver and, in excess amounts, is converted to allantoin, which is then filtered and excreted by the kidneys (Ishikawa, Aw, and Kaneko 2013). In mammals, allantoin reflects an endpoint of purine metabolism, unless it is shunted through the glyoxylate or glycine, serine, and threonine metabolism pathways (</w:t>
      </w:r>
      <w:proofErr w:type="spellStart"/>
      <w:r w:rsidRPr="00F0245E">
        <w:rPr>
          <w:color w:val="000000" w:themeColor="text1"/>
        </w:rPr>
        <w:t>Kanehisa</w:t>
      </w:r>
      <w:proofErr w:type="spellEnd"/>
      <w:r w:rsidRPr="00F0245E">
        <w:rPr>
          <w:color w:val="000000" w:themeColor="text1"/>
        </w:rPr>
        <w:t xml:space="preserve"> and Goto 2000; </w:t>
      </w:r>
      <w:proofErr w:type="spellStart"/>
      <w:r w:rsidRPr="00F0245E">
        <w:rPr>
          <w:color w:val="000000" w:themeColor="text1"/>
        </w:rPr>
        <w:t>Kanehisa</w:t>
      </w:r>
      <w:proofErr w:type="spellEnd"/>
      <w:r w:rsidRPr="00F0245E">
        <w:rPr>
          <w:color w:val="000000" w:themeColor="text1"/>
        </w:rPr>
        <w:t xml:space="preserve"> 2019; </w:t>
      </w:r>
      <w:proofErr w:type="spellStart"/>
      <w:r w:rsidRPr="00F0245E">
        <w:rPr>
          <w:color w:val="000000" w:themeColor="text1"/>
        </w:rPr>
        <w:t>Kanehisa</w:t>
      </w:r>
      <w:proofErr w:type="spellEnd"/>
      <w:r w:rsidRPr="00F0245E">
        <w:rPr>
          <w:color w:val="000000" w:themeColor="text1"/>
        </w:rPr>
        <w:t xml:space="preserve"> et al. 2021). The observation of altered levels of allantoin could be attributed to kidney function; starved, malnourished horses may experience kidney disfunction due to a lack of nutrients and resources, which prevent the ability of the kidneys to filter allantoin from the body. However, because uric acid is a precursor to allantoin and is not utilized in other metabolic processes (other than bile secretion), decreased levels of this compound indicate that it is being produced at a lower rate, yielding a lower rate of allantoin production (</w:t>
      </w:r>
      <w:proofErr w:type="spellStart"/>
      <w:r w:rsidRPr="00F0245E">
        <w:rPr>
          <w:color w:val="000000" w:themeColor="text1"/>
        </w:rPr>
        <w:t>Kanehisa</w:t>
      </w:r>
      <w:proofErr w:type="spellEnd"/>
      <w:r w:rsidRPr="00F0245E">
        <w:rPr>
          <w:color w:val="000000" w:themeColor="text1"/>
        </w:rPr>
        <w:t xml:space="preserve"> and Goto 2000; </w:t>
      </w:r>
      <w:proofErr w:type="spellStart"/>
      <w:r w:rsidRPr="00F0245E">
        <w:rPr>
          <w:color w:val="000000" w:themeColor="text1"/>
        </w:rPr>
        <w:t>Kanehisa</w:t>
      </w:r>
      <w:proofErr w:type="spellEnd"/>
      <w:r w:rsidRPr="00F0245E">
        <w:rPr>
          <w:color w:val="000000" w:themeColor="text1"/>
        </w:rPr>
        <w:t xml:space="preserve"> 2019; </w:t>
      </w:r>
      <w:proofErr w:type="spellStart"/>
      <w:r w:rsidRPr="00F0245E">
        <w:rPr>
          <w:color w:val="000000" w:themeColor="text1"/>
        </w:rPr>
        <w:t>Kanehisa</w:t>
      </w:r>
      <w:proofErr w:type="spellEnd"/>
      <w:r w:rsidRPr="00F0245E">
        <w:rPr>
          <w:color w:val="000000" w:themeColor="text1"/>
        </w:rPr>
        <w:t xml:space="preserve"> et al. 2021). Perhaps this is due to a lessened biological need for purine degradation, as these molecules are being directed to other pathways and are not present in excess. </w:t>
      </w:r>
    </w:p>
    <w:p w14:paraId="220FB12C"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Like uric acid and allantoin, uridine, a pyrimidine nucleotide important to RNA synthesis, is synthesized in the liver and excreted by the kidneys, if not catabolized (Zhang et al. 2020). Similar hypotheses exist for uridine as uric acid and allantoin. Lower levels are possibly detected during the RP as RNA is synthesized at a higher rate (i.e., less excess pyrimidine), which may indicate an increase in liver function. Yet, it’s also likely that uridine is better excreted by the kidneys during this phase, resulting in lower plasma levels. </w:t>
      </w:r>
    </w:p>
    <w:p w14:paraId="4F0CAF9D" w14:textId="77777777" w:rsidR="00AA7CD5" w:rsidRDefault="00AA7CD5" w:rsidP="008A6B75">
      <w:pPr>
        <w:pStyle w:val="NormalWeb"/>
        <w:spacing w:line="360" w:lineRule="auto"/>
      </w:pPr>
      <w:r w:rsidRPr="00F0245E">
        <w:rPr>
          <w:color w:val="000000" w:themeColor="text1"/>
        </w:rPr>
        <w:lastRenderedPageBreak/>
        <w:t>The only metabolite found to be in higher abundance during the RP was that of N-acetylornithine, a small molecule involved in the biosynthesis of amino acids and a precursor to the urea cycle during arginine biosynthesis (</w:t>
      </w:r>
      <w:proofErr w:type="spellStart"/>
      <w:r w:rsidRPr="00F0245E">
        <w:rPr>
          <w:color w:val="000000" w:themeColor="text1"/>
        </w:rPr>
        <w:t>Kanehisa</w:t>
      </w:r>
      <w:proofErr w:type="spellEnd"/>
      <w:r w:rsidRPr="00F0245E">
        <w:rPr>
          <w:color w:val="000000" w:themeColor="text1"/>
        </w:rPr>
        <w:t xml:space="preserve"> and Goto 2000; </w:t>
      </w:r>
      <w:proofErr w:type="spellStart"/>
      <w:r w:rsidRPr="00F0245E">
        <w:rPr>
          <w:color w:val="000000" w:themeColor="text1"/>
        </w:rPr>
        <w:t>Kanehisa</w:t>
      </w:r>
      <w:proofErr w:type="spellEnd"/>
      <w:r w:rsidRPr="00F0245E">
        <w:rPr>
          <w:color w:val="000000" w:themeColor="text1"/>
        </w:rPr>
        <w:t xml:space="preserve"> 2019; </w:t>
      </w:r>
      <w:proofErr w:type="spellStart"/>
      <w:r w:rsidRPr="00F0245E">
        <w:rPr>
          <w:color w:val="000000" w:themeColor="text1"/>
        </w:rPr>
        <w:t>Kanehisa</w:t>
      </w:r>
      <w:proofErr w:type="spellEnd"/>
      <w:r w:rsidRPr="00F0245E">
        <w:rPr>
          <w:color w:val="000000" w:themeColor="text1"/>
        </w:rPr>
        <w:t xml:space="preserve"> et al. 2021). Endogenous arginine synthesis and the urea cycle primarily occur in the kidneys (Paddon-Jones, Borsheim, and Wolfe 2004). Because N-acetylornithine was the only significantly altered metabolite involved in this cascade (arginine, citrulline, and ornithine fold changes were not statistically different), increased production and subsequent utilization in the cycle is less likely than a build-up due to non-use. Isomers of N-acetylornithine have been detected in high concentrations in various food sources, such as wheats and some fruits and vegetables. Thus, it is more likely that horses with higher BCSs that have undergone the refeeding process accumulate higher levels of N-acetylornithine in plasma from their diet.</w:t>
      </w:r>
    </w:p>
    <w:p w14:paraId="34B9F094" w14:textId="77777777" w:rsidR="00AA7CD5" w:rsidRPr="009E5AA1" w:rsidRDefault="00AA7CD5" w:rsidP="008A6B75">
      <w:pPr>
        <w:pStyle w:val="Heading3"/>
        <w:spacing w:line="360" w:lineRule="auto"/>
        <w:rPr>
          <w:rFonts w:ascii="Times New Roman" w:hAnsi="Times New Roman" w:cs="Times New Roman"/>
        </w:rPr>
      </w:pPr>
      <w:bookmarkStart w:id="40" w:name="_Toc151023688"/>
      <w:r w:rsidRPr="009E5AA1">
        <w:rPr>
          <w:rFonts w:ascii="Times New Roman" w:hAnsi="Times New Roman" w:cs="Times New Roman"/>
        </w:rPr>
        <w:t>The Plasma Metabolome Illuminates Differences in Equine Subject-Specific Attributes</w:t>
      </w:r>
      <w:bookmarkEnd w:id="40"/>
      <w:r w:rsidRPr="009E5AA1">
        <w:rPr>
          <w:rFonts w:ascii="Times New Roman" w:hAnsi="Times New Roman" w:cs="Times New Roman"/>
        </w:rPr>
        <w:t xml:space="preserve"> </w:t>
      </w:r>
    </w:p>
    <w:p w14:paraId="5C4F2FBC"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Statistically significant differences between specific metabolites and metabolic profiles were observed between the CCP and RP for ten equine subjects of various sex, age, breed, and origin. Differences were evident between designated diet, mares and geldings, as well as age group (below 20 years old and above 20 years old); yet, these differences were not evident in the analysis of the CCP vs. RP (e.g., sex-specific clusters were not evident in the CCP vs. RP discriminant analysis), indicating that these subject-specific attributes did not affect the conclusion that the metabolomic profiles of horses undergoing the refeeding process were statistically different. </w:t>
      </w:r>
    </w:p>
    <w:p w14:paraId="64E7348F"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As diet played an essential role in the current study, an analysis to determine potential differences in metabolomic profiles in equine assigned to a particular diet was conducted. Various statistical analyses suggest perturbations in metabolism with respect to diet. In the event of a negative energy balance (e.g., in the case of malnourishment), particular care is placed on diet such that the subject can consume and digest nutrients without inducing refeeding syndrome or overfeeding (i.e., the process of introducing nutrients in excess such that metabolic homeostasis cannot be maintained (Klein, Stanek, and Wiles 1998). Overfeeding may result in further metabolic damage, particularly in the liver and kidneys, both major organs which have </w:t>
      </w:r>
      <w:r w:rsidRPr="00F0245E">
        <w:rPr>
          <w:color w:val="000000" w:themeColor="text1"/>
        </w:rPr>
        <w:lastRenderedPageBreak/>
        <w:t xml:space="preserve">shown to be impaired during the CCP in the current study. Thus, diets for malnourished equine must be carefully tailored to slowly reintroduce nutrients in a manner such that further metabolic damage is not inflicted. Though an in-depth analysis of the effects of a particular diet or set of nutrients on equine outcome was not within the scope of this study, it is worth noting the differences observed in the global metabolome in this study; further investigation is required to determine the detailed effects of diet and nutrients that cause this separation.   </w:t>
      </w:r>
    </w:p>
    <w:p w14:paraId="14D8360E" w14:textId="77777777" w:rsidR="00AA7CD5" w:rsidRPr="00F0245E" w:rsidRDefault="00AA7CD5" w:rsidP="008A6B75">
      <w:pPr>
        <w:pStyle w:val="NormalWeb"/>
        <w:spacing w:line="360" w:lineRule="auto"/>
        <w:rPr>
          <w:color w:val="000000" w:themeColor="text1"/>
        </w:rPr>
      </w:pPr>
      <w:r w:rsidRPr="00F0245E">
        <w:rPr>
          <w:color w:val="000000" w:themeColor="text1"/>
        </w:rPr>
        <w:t xml:space="preserve">With advances in equine feed that cater to aging horses, the average lifespan of the equid is increasing, which has prompted a surge in research devoted to older horses (i.e., horses 20 years old and above) (McKeever 2003). For this reason, an analysis to evaluate the metabolome of younger vs. older horses in the present study was conducted and resulted in clear differences between the two groups. The amount of metabolites that drove this distinction was not as prominent as other comparisons (i.e., diet and sex), though various statistical tests support perturbations based on age group. It is theorized that many metabolic factors may play a role in this age-based separation, including alterations in muscle fiber type and renal function (McKeever 2003). Similar to effects from diet, further studies are warranted to establish clear relationships between the aging horse and metabolism. </w:t>
      </w:r>
    </w:p>
    <w:p w14:paraId="459E8456" w14:textId="77777777" w:rsidR="00AA7CD5" w:rsidRDefault="00AA7CD5" w:rsidP="008A6B75">
      <w:pPr>
        <w:pStyle w:val="NormalWeb"/>
        <w:spacing w:line="360" w:lineRule="auto"/>
      </w:pPr>
      <w:r w:rsidRPr="00F0245E">
        <w:rPr>
          <w:color w:val="000000" w:themeColor="text1"/>
        </w:rPr>
        <w:t>It is important to note that the analysis of the metabolome provides a biochemical snapshot of the metabolic state for the system, which is highly complex. For this reason, it is not surprising that attributes such as diet, sex, and age affect metabolic profiles. Moreover, these attributes contribute diversity to the study of the impacts of refeeding to gain a better understanding of caring for malnourished equine.</w:t>
      </w:r>
    </w:p>
    <w:p w14:paraId="6D47BB7E" w14:textId="77777777" w:rsidR="00AA7CD5" w:rsidRPr="009E5AA1" w:rsidRDefault="00AA7CD5" w:rsidP="008A6B75">
      <w:pPr>
        <w:pStyle w:val="Heading2"/>
        <w:spacing w:line="360" w:lineRule="auto"/>
        <w:rPr>
          <w:rFonts w:ascii="Times New Roman" w:hAnsi="Times New Roman" w:cs="Times New Roman"/>
          <w:sz w:val="24"/>
          <w:szCs w:val="24"/>
        </w:rPr>
      </w:pPr>
      <w:bookmarkStart w:id="41" w:name="_Toc151023689"/>
      <w:r w:rsidRPr="009E5AA1">
        <w:rPr>
          <w:rFonts w:ascii="Times New Roman" w:hAnsi="Times New Roman" w:cs="Times New Roman"/>
          <w:sz w:val="24"/>
          <w:szCs w:val="24"/>
        </w:rPr>
        <w:t>Conclusions</w:t>
      </w:r>
      <w:bookmarkEnd w:id="41"/>
    </w:p>
    <w:p w14:paraId="73F0D252" w14:textId="77777777" w:rsidR="00AA7CD5" w:rsidRPr="00DF7C87" w:rsidRDefault="00AA7CD5" w:rsidP="008A6B75">
      <w:pPr>
        <w:spacing w:line="360" w:lineRule="auto"/>
        <w:rPr>
          <w:rFonts w:ascii="Times New Roman" w:hAnsi="Times New Roman" w:cs="Times New Roman"/>
        </w:rPr>
      </w:pPr>
      <w:r w:rsidRPr="00F0245E">
        <w:rPr>
          <w:rFonts w:ascii="Times New Roman" w:hAnsi="Times New Roman" w:cs="Times New Roman"/>
        </w:rPr>
        <w:t xml:space="preserve">Comparison of the equine metabolome during a state of malnourishment versus rehabilitation illuminated significant differences that provide essential biological insight to the process of refeeding the emaciated horse. After commencement of the refeeding process (i.e., during the RP), a decrease in potentially toxic metabolites was observed, metabolic alterations suggesting increased liver and kidney function were shown, and metabolite changes related to muscle gain/repair and changing energy demands were evident. Blood chemistry panels also showed </w:t>
      </w:r>
      <w:r w:rsidRPr="00F0245E">
        <w:rPr>
          <w:rFonts w:ascii="Times New Roman" w:hAnsi="Times New Roman" w:cs="Times New Roman"/>
        </w:rPr>
        <w:lastRenderedPageBreak/>
        <w:t>statistical differences between analyte abundance between the CCP (i.e., state of malnourishment) and the RP, further indicating improper liver and kidney function during the CCP. The combination of the blood chemistry and metabolomics analyses on the equine subjects in this study provided essential insight to the biological processes that are influenced when rehabilitating the malnourished horse. Despite differences observed between the metabolome with respect to subject-specific attributes (i.e., diet, sex, and age group), a clear discernment between the metabolome unique to the CCP and RP were observed, providing evidence that the refeeding process has a profound impact on equine rehabilitation.</w:t>
      </w:r>
    </w:p>
    <w:p w14:paraId="78C1963C" w14:textId="77777777" w:rsidR="00AA7CD5" w:rsidRPr="00DF7C87" w:rsidRDefault="00AA7CD5" w:rsidP="008A6B75">
      <w:pPr>
        <w:pStyle w:val="Heading2"/>
        <w:spacing w:line="360" w:lineRule="auto"/>
        <w:rPr>
          <w:rFonts w:ascii="Times New Roman" w:hAnsi="Times New Roman" w:cs="Times New Roman"/>
        </w:rPr>
      </w:pPr>
      <w:r w:rsidRPr="00DF7C87">
        <w:rPr>
          <w:rFonts w:ascii="Times New Roman" w:hAnsi="Times New Roman" w:cs="Times New Roman"/>
          <w:sz w:val="24"/>
          <w:szCs w:val="24"/>
        </w:rPr>
        <w:br w:type="page"/>
      </w:r>
      <w:bookmarkStart w:id="42" w:name="_Toc151023690"/>
      <w:r w:rsidRPr="00DF7C87">
        <w:rPr>
          <w:rFonts w:ascii="Times New Roman" w:hAnsi="Times New Roman" w:cs="Times New Roman"/>
        </w:rPr>
        <w:lastRenderedPageBreak/>
        <w:t>R</w:t>
      </w:r>
      <w:r>
        <w:rPr>
          <w:rFonts w:ascii="Times New Roman" w:hAnsi="Times New Roman" w:cs="Times New Roman"/>
        </w:rPr>
        <w:t>EFERENCES</w:t>
      </w:r>
      <w:bookmarkEnd w:id="42"/>
    </w:p>
    <w:p w14:paraId="35AD8524" w14:textId="77777777" w:rsidR="00AA7CD5" w:rsidRPr="00DF7C87" w:rsidRDefault="00AA7CD5" w:rsidP="008A6B75">
      <w:pPr>
        <w:spacing w:line="360" w:lineRule="auto"/>
        <w:rPr>
          <w:rFonts w:ascii="Times New Roman" w:hAnsi="Times New Roman" w:cs="Times New Roman"/>
        </w:rPr>
      </w:pPr>
    </w:p>
    <w:p w14:paraId="5CD98DF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color w:val="auto"/>
          <w:sz w:val="24"/>
          <w:szCs w:val="24"/>
          <w:lang w:bidi="ar-SA"/>
        </w:rPr>
        <w:fldChar w:fldCharType="begin"/>
      </w:r>
      <w:r w:rsidRPr="00F0245E">
        <w:rPr>
          <w:rFonts w:ascii="Times New Roman" w:hAnsi="Times New Roman"/>
          <w:sz w:val="24"/>
          <w:szCs w:val="24"/>
        </w:rPr>
        <w:instrText xml:space="preserve"> ADDIN EN.REFLIST </w:instrText>
      </w:r>
      <w:r w:rsidRPr="00F0245E">
        <w:rPr>
          <w:rFonts w:ascii="Times New Roman" w:hAnsi="Times New Roman"/>
          <w:color w:val="auto"/>
          <w:sz w:val="24"/>
          <w:szCs w:val="24"/>
          <w:lang w:bidi="ar-SA"/>
        </w:rPr>
        <w:fldChar w:fldCharType="separate"/>
      </w:r>
      <w:r w:rsidRPr="00F0245E">
        <w:rPr>
          <w:rFonts w:ascii="Times New Roman" w:hAnsi="Times New Roman"/>
          <w:noProof/>
          <w:sz w:val="24"/>
          <w:szCs w:val="24"/>
        </w:rPr>
        <w:t xml:space="preserve">Bazurto, J. V., S. P. Dearth, E. D. Tague, S. R. Campagna, and D. M. Downs. 2017. 'Untargeted metabolomics confirms and extends the understanding of the impact of aminoimidazole carboxamide ribotide (AICAR) in the metabolic network of Salmonella enterica', </w:t>
      </w:r>
      <w:r w:rsidRPr="00F0245E">
        <w:rPr>
          <w:rFonts w:ascii="Times New Roman" w:hAnsi="Times New Roman"/>
          <w:i/>
          <w:noProof/>
          <w:sz w:val="24"/>
          <w:szCs w:val="24"/>
        </w:rPr>
        <w:t>Microb Cell</w:t>
      </w:r>
      <w:r w:rsidRPr="00F0245E">
        <w:rPr>
          <w:rFonts w:ascii="Times New Roman" w:hAnsi="Times New Roman"/>
          <w:noProof/>
          <w:sz w:val="24"/>
          <w:szCs w:val="24"/>
        </w:rPr>
        <w:t>, 5: 74-87.</w:t>
      </w:r>
    </w:p>
    <w:p w14:paraId="21283F6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Beachler, Theresa M., Hanna S. Gracz, David R. Morgan, Stasia A. Bembenek Bailey, Luke Borst, Katey E. Ellis, Karen A. Von Dollen, Sara K. Lyle, Amber Nebel, Natalie C. Andrews, Joanna Koipalli, John E. Gadsby, and Christopher S. Bailey. 2021. 'Plasma metabolomic profiling of healthy pregnant mares and mares with experimentally induced placentitis', </w:t>
      </w:r>
      <w:r w:rsidRPr="00F0245E">
        <w:rPr>
          <w:rFonts w:ascii="Times New Roman" w:hAnsi="Times New Roman"/>
          <w:i/>
          <w:noProof/>
          <w:sz w:val="24"/>
          <w:szCs w:val="24"/>
        </w:rPr>
        <w:t>Equine Veterinary Journal</w:t>
      </w:r>
      <w:r w:rsidRPr="00F0245E">
        <w:rPr>
          <w:rFonts w:ascii="Times New Roman" w:hAnsi="Times New Roman"/>
          <w:noProof/>
          <w:sz w:val="24"/>
          <w:szCs w:val="24"/>
        </w:rPr>
        <w:t>, 53: 85-93.</w:t>
      </w:r>
    </w:p>
    <w:p w14:paraId="20154A3B"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Becvarova, Iveta, R Scott Pleasant, and Craig D Thatcher. 2009. 'Clinical assessment of nutritional status and feeding programs in horses', </w:t>
      </w:r>
      <w:r w:rsidRPr="00F0245E">
        <w:rPr>
          <w:rFonts w:ascii="Times New Roman" w:hAnsi="Times New Roman"/>
          <w:i/>
          <w:noProof/>
          <w:sz w:val="24"/>
          <w:szCs w:val="24"/>
        </w:rPr>
        <w:t>Veterinary Clinics of North America: Equine Practice</w:t>
      </w:r>
      <w:r w:rsidRPr="00F0245E">
        <w:rPr>
          <w:rFonts w:ascii="Times New Roman" w:hAnsi="Times New Roman"/>
          <w:noProof/>
          <w:sz w:val="24"/>
          <w:szCs w:val="24"/>
        </w:rPr>
        <w:t>, 25: 1-21.</w:t>
      </w:r>
    </w:p>
    <w:p w14:paraId="6BCD7DEA"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Bergero, D., A. Assenza, A. Schiavone, G. Piccione, G. Perona, and G. Caola. 2005. 'Amino acid concentrations in blood serum of horses performing long lasting low-intensity exercise', </w:t>
      </w:r>
      <w:r w:rsidRPr="00F0245E">
        <w:rPr>
          <w:rFonts w:ascii="Times New Roman" w:hAnsi="Times New Roman"/>
          <w:i/>
          <w:noProof/>
          <w:sz w:val="24"/>
          <w:szCs w:val="24"/>
        </w:rPr>
        <w:t>J Anim Physiol Anim Nutr (Berl)</w:t>
      </w:r>
      <w:r w:rsidRPr="00F0245E">
        <w:rPr>
          <w:rFonts w:ascii="Times New Roman" w:hAnsi="Times New Roman"/>
          <w:noProof/>
          <w:sz w:val="24"/>
          <w:szCs w:val="24"/>
        </w:rPr>
        <w:t>, 89: 146-50.</w:t>
      </w:r>
    </w:p>
    <w:p w14:paraId="45647AF6"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Cohen, Shenhav, James A. Nathan, and Alfred L. Goldberg. 2015. 'Muscle wasting in disease: molecular mechanisms and promising therapies', </w:t>
      </w:r>
      <w:r w:rsidRPr="00F0245E">
        <w:rPr>
          <w:rFonts w:ascii="Times New Roman" w:hAnsi="Times New Roman"/>
          <w:i/>
          <w:noProof/>
          <w:sz w:val="24"/>
          <w:szCs w:val="24"/>
        </w:rPr>
        <w:t>Nature Reviews Drug Discovery</w:t>
      </w:r>
      <w:r w:rsidRPr="00F0245E">
        <w:rPr>
          <w:rFonts w:ascii="Times New Roman" w:hAnsi="Times New Roman"/>
          <w:noProof/>
          <w:sz w:val="24"/>
          <w:szCs w:val="24"/>
        </w:rPr>
        <w:t>, 14: 58-74.</w:t>
      </w:r>
    </w:p>
    <w:p w14:paraId="3ACDFA12"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Council, National Research. 2007. </w:t>
      </w:r>
      <w:r w:rsidRPr="00F0245E">
        <w:rPr>
          <w:rFonts w:ascii="Times New Roman" w:hAnsi="Times New Roman"/>
          <w:i/>
          <w:noProof/>
          <w:sz w:val="24"/>
          <w:szCs w:val="24"/>
        </w:rPr>
        <w:t xml:space="preserve">Nutrient Requirements of Horses </w:t>
      </w:r>
      <w:r w:rsidRPr="00F0245E">
        <w:rPr>
          <w:rFonts w:ascii="Times New Roman" w:hAnsi="Times New Roman"/>
          <w:noProof/>
          <w:sz w:val="24"/>
          <w:szCs w:val="24"/>
        </w:rPr>
        <w:t>(National Academies Press).</w:t>
      </w:r>
    </w:p>
    <w:p w14:paraId="0AFF620E"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Dettmer, Katja, Pavel A. Aronov, and Bruce D. Hammock. 2007. 'Mass spectrometry-based metabolomics', </w:t>
      </w:r>
      <w:r w:rsidRPr="00F0245E">
        <w:rPr>
          <w:rFonts w:ascii="Times New Roman" w:hAnsi="Times New Roman"/>
          <w:i/>
          <w:noProof/>
          <w:sz w:val="24"/>
          <w:szCs w:val="24"/>
        </w:rPr>
        <w:t>Mass Spectrometry Reviews</w:t>
      </w:r>
      <w:r w:rsidRPr="00F0245E">
        <w:rPr>
          <w:rFonts w:ascii="Times New Roman" w:hAnsi="Times New Roman"/>
          <w:noProof/>
          <w:sz w:val="24"/>
          <w:szCs w:val="24"/>
        </w:rPr>
        <w:t>, 26: 51-78.</w:t>
      </w:r>
    </w:p>
    <w:p w14:paraId="02615A94"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Doll, S. K., P. Haimerl, A. Bartel, and S. P. Arlt. 2022. 'Determination of reference intervals for nonesterified fatty acids in the blood serum of healthy dogs', </w:t>
      </w:r>
      <w:r w:rsidRPr="00F0245E">
        <w:rPr>
          <w:rFonts w:ascii="Times New Roman" w:hAnsi="Times New Roman"/>
          <w:i/>
          <w:noProof/>
          <w:sz w:val="24"/>
          <w:szCs w:val="24"/>
        </w:rPr>
        <w:t>Vet Rec Open</w:t>
      </w:r>
      <w:r w:rsidRPr="00F0245E">
        <w:rPr>
          <w:rFonts w:ascii="Times New Roman" w:hAnsi="Times New Roman"/>
          <w:noProof/>
          <w:sz w:val="24"/>
          <w:szCs w:val="24"/>
        </w:rPr>
        <w:t>, 9: e40.</w:t>
      </w:r>
    </w:p>
    <w:p w14:paraId="6BDC88AD"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Escalona, E. E., J. Leng, A. C. Dona, C. A. Merrifield, E. Holmes, C. J. Proudman, and J. R. Swann. 2015. 'Dominant components of the Thoroughbred metabolome characterised by&lt;sup&gt;1&lt;/sup&gt;H-nuclear magnetic resonance spectroscopy: A metabolite atlas of common biofluids', </w:t>
      </w:r>
      <w:r w:rsidRPr="00F0245E">
        <w:rPr>
          <w:rFonts w:ascii="Times New Roman" w:hAnsi="Times New Roman"/>
          <w:i/>
          <w:noProof/>
          <w:sz w:val="24"/>
          <w:szCs w:val="24"/>
        </w:rPr>
        <w:t>Equine Veterinary Journal</w:t>
      </w:r>
      <w:r w:rsidRPr="00F0245E">
        <w:rPr>
          <w:rFonts w:ascii="Times New Roman" w:hAnsi="Times New Roman"/>
          <w:noProof/>
          <w:sz w:val="24"/>
          <w:szCs w:val="24"/>
        </w:rPr>
        <w:t>, 47: 721-30.</w:t>
      </w:r>
    </w:p>
    <w:p w14:paraId="06743570"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lastRenderedPageBreak/>
        <w:t xml:space="preserve">Farhana, A., and S. L. Lappin. 2022. 'Biochemistry, Lactate Dehydrogenase.' in, </w:t>
      </w:r>
      <w:r w:rsidRPr="00F0245E">
        <w:rPr>
          <w:rFonts w:ascii="Times New Roman" w:hAnsi="Times New Roman"/>
          <w:i/>
          <w:noProof/>
          <w:sz w:val="24"/>
          <w:szCs w:val="24"/>
        </w:rPr>
        <w:t>StatPearls</w:t>
      </w:r>
      <w:r w:rsidRPr="00F0245E">
        <w:rPr>
          <w:rFonts w:ascii="Times New Roman" w:hAnsi="Times New Roman"/>
          <w:noProof/>
          <w:sz w:val="24"/>
          <w:szCs w:val="24"/>
        </w:rPr>
        <w:t xml:space="preserve"> (Treasure Island (FL)).</w:t>
      </w:r>
    </w:p>
    <w:p w14:paraId="3332B2F9"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FIELDER, S.E. 2015. 'Serum Biochemical Reference Ranges', Merck. </w:t>
      </w:r>
      <w:hyperlink r:id="rId13" w:history="1">
        <w:r w:rsidRPr="00F0245E">
          <w:rPr>
            <w:rStyle w:val="Hyperlink"/>
            <w:rFonts w:ascii="Times New Roman" w:hAnsi="Times New Roman"/>
            <w:noProof/>
            <w:sz w:val="24"/>
            <w:szCs w:val="24"/>
          </w:rPr>
          <w:t>https://www.merckvetmanual.com/special-subjects/reference-guides/serum-biochemical-reference-ranges</w:t>
        </w:r>
      </w:hyperlink>
      <w:r w:rsidRPr="00F0245E">
        <w:rPr>
          <w:rFonts w:ascii="Times New Roman" w:hAnsi="Times New Roman"/>
          <w:noProof/>
          <w:sz w:val="24"/>
          <w:szCs w:val="24"/>
        </w:rPr>
        <w:t>.</w:t>
      </w:r>
    </w:p>
    <w:p w14:paraId="3B08D785"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Finn, Patrick F., and J. Fred Dice. 2006. 'Proteolytic and lipolytic responses to starvation', </w:t>
      </w:r>
      <w:r w:rsidRPr="00F0245E">
        <w:rPr>
          <w:rFonts w:ascii="Times New Roman" w:hAnsi="Times New Roman"/>
          <w:i/>
          <w:noProof/>
          <w:sz w:val="24"/>
          <w:szCs w:val="24"/>
        </w:rPr>
        <w:t>Nutrition.</w:t>
      </w:r>
      <w:r w:rsidRPr="00F0245E">
        <w:rPr>
          <w:rFonts w:ascii="Times New Roman" w:hAnsi="Times New Roman"/>
          <w:noProof/>
          <w:sz w:val="24"/>
          <w:szCs w:val="24"/>
        </w:rPr>
        <w:t>, 22: 830-44.</w:t>
      </w:r>
    </w:p>
    <w:p w14:paraId="5D40D3B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Fleurance, G�Raldine, Patrick Duncan, and Bruno Mallevaud. 2001. 'Daily intake and the selection of feeding sites by horses in heterogeneous wet grasslands', </w:t>
      </w:r>
      <w:r w:rsidRPr="00F0245E">
        <w:rPr>
          <w:rFonts w:ascii="Times New Roman" w:hAnsi="Times New Roman"/>
          <w:i/>
          <w:noProof/>
          <w:sz w:val="24"/>
          <w:szCs w:val="24"/>
        </w:rPr>
        <w:t>Animal Research</w:t>
      </w:r>
      <w:r w:rsidRPr="00F0245E">
        <w:rPr>
          <w:rFonts w:ascii="Times New Roman" w:hAnsi="Times New Roman"/>
          <w:noProof/>
          <w:sz w:val="24"/>
          <w:szCs w:val="24"/>
        </w:rPr>
        <w:t>, 50: 149-56.</w:t>
      </w:r>
    </w:p>
    <w:p w14:paraId="1B0721D9"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Foroutan, Aidin, Carolyn Fitzsimmons, Rupasri Mandal, Hamed Piri-Moghadam, Jiamin Zheng, Anchi Guo, Carin Li, Le Luo Guan, and David S. Wishart. 2020. 'The Bovine Metabolome', </w:t>
      </w:r>
      <w:r w:rsidRPr="00F0245E">
        <w:rPr>
          <w:rFonts w:ascii="Times New Roman" w:hAnsi="Times New Roman"/>
          <w:i/>
          <w:noProof/>
          <w:sz w:val="24"/>
          <w:szCs w:val="24"/>
        </w:rPr>
        <w:t>Metabolites</w:t>
      </w:r>
      <w:r w:rsidRPr="00F0245E">
        <w:rPr>
          <w:rFonts w:ascii="Times New Roman" w:hAnsi="Times New Roman"/>
          <w:noProof/>
          <w:sz w:val="24"/>
          <w:szCs w:val="24"/>
        </w:rPr>
        <w:t>, 10: 233.</w:t>
      </w:r>
    </w:p>
    <w:p w14:paraId="7BAA39CD"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Freemark, Michael. 2015. 'Metabolomics in Nutrition Research: Biomarkers Predicting Mortality in Children with Severe Acute Malnutrition', </w:t>
      </w:r>
      <w:r w:rsidRPr="00F0245E">
        <w:rPr>
          <w:rFonts w:ascii="Times New Roman" w:hAnsi="Times New Roman"/>
          <w:i/>
          <w:noProof/>
          <w:sz w:val="24"/>
          <w:szCs w:val="24"/>
        </w:rPr>
        <w:t>Food and Nutrition Bulletin</w:t>
      </w:r>
      <w:r w:rsidRPr="00F0245E">
        <w:rPr>
          <w:rFonts w:ascii="Times New Roman" w:hAnsi="Times New Roman"/>
          <w:noProof/>
          <w:sz w:val="24"/>
          <w:szCs w:val="24"/>
        </w:rPr>
        <w:t>, 36: S88-S92.</w:t>
      </w:r>
    </w:p>
    <w:p w14:paraId="4C78619C"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Ghone, R. A., A. N. Suryakar, P. M. Kulhalli, S. S. Bhagat, R. K. Padalkar, A. C. Karnik, P. S. Hundekar, and D. A. Sangle. 2013. 'A study of oxidative stress biomarkers and effect of oral antioxidant supplementation in severe acute malnutrition', </w:t>
      </w:r>
      <w:r w:rsidRPr="00F0245E">
        <w:rPr>
          <w:rFonts w:ascii="Times New Roman" w:hAnsi="Times New Roman"/>
          <w:i/>
          <w:noProof/>
          <w:sz w:val="24"/>
          <w:szCs w:val="24"/>
        </w:rPr>
        <w:t>J Clin Diagn Res</w:t>
      </w:r>
      <w:r w:rsidRPr="00F0245E">
        <w:rPr>
          <w:rFonts w:ascii="Times New Roman" w:hAnsi="Times New Roman"/>
          <w:noProof/>
          <w:sz w:val="24"/>
          <w:szCs w:val="24"/>
        </w:rPr>
        <w:t>, 7: 2146-8.</w:t>
      </w:r>
    </w:p>
    <w:p w14:paraId="41458C7E"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Goldansaz, S. A., A. C. Guo, T. Sajed, M. A. Steele, G. S. Plastow, and D. S. Wishart. 2017. 'Livestock metabolomics and the livestock metabolome: A systematic review', </w:t>
      </w:r>
      <w:r w:rsidRPr="00F0245E">
        <w:rPr>
          <w:rFonts w:ascii="Times New Roman" w:hAnsi="Times New Roman"/>
          <w:i/>
          <w:noProof/>
          <w:sz w:val="24"/>
          <w:szCs w:val="24"/>
        </w:rPr>
        <w:t>PLoS One</w:t>
      </w:r>
      <w:r w:rsidRPr="00F0245E">
        <w:rPr>
          <w:rFonts w:ascii="Times New Roman" w:hAnsi="Times New Roman"/>
          <w:noProof/>
          <w:sz w:val="24"/>
          <w:szCs w:val="24"/>
        </w:rPr>
        <w:t>, 12: e0177675.</w:t>
      </w:r>
    </w:p>
    <w:p w14:paraId="242B8A0D"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Henneke, D. R., G. D. Potter, J. L. Kreider, and B. F. Yeates. 1983. 'Relationship between condition score, physical measurements and body fat percentage in mares', </w:t>
      </w:r>
      <w:r w:rsidRPr="00F0245E">
        <w:rPr>
          <w:rFonts w:ascii="Times New Roman" w:hAnsi="Times New Roman"/>
          <w:i/>
          <w:noProof/>
          <w:sz w:val="24"/>
          <w:szCs w:val="24"/>
        </w:rPr>
        <w:t>Equine Veterinary Journal</w:t>
      </w:r>
      <w:r w:rsidRPr="00F0245E">
        <w:rPr>
          <w:rFonts w:ascii="Times New Roman" w:hAnsi="Times New Roman"/>
          <w:noProof/>
          <w:sz w:val="24"/>
          <w:szCs w:val="24"/>
        </w:rPr>
        <w:t>, 15: 371-72.</w:t>
      </w:r>
    </w:p>
    <w:p w14:paraId="355BEB1E"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Heusner, GL. 1993. "Ad libitum feeding of mature horses to achieve rapid weight gain." In </w:t>
      </w:r>
      <w:r w:rsidRPr="00F0245E">
        <w:rPr>
          <w:rFonts w:ascii="Times New Roman" w:hAnsi="Times New Roman"/>
          <w:i/>
          <w:noProof/>
          <w:sz w:val="24"/>
          <w:szCs w:val="24"/>
        </w:rPr>
        <w:t>Proc. 13th Equine Nutr. Physiol. Symp., Gainesville, FL</w:t>
      </w:r>
      <w:r w:rsidRPr="00F0245E">
        <w:rPr>
          <w:rFonts w:ascii="Times New Roman" w:hAnsi="Times New Roman"/>
          <w:noProof/>
          <w:sz w:val="24"/>
          <w:szCs w:val="24"/>
        </w:rPr>
        <w:t>, 86.</w:t>
      </w:r>
    </w:p>
    <w:p w14:paraId="2257A1EF"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Hollis, A. R., R. C. Boston, and K. T. Corley. 2007. 'Blood glucose in horses with acute abdominal disease', </w:t>
      </w:r>
      <w:r w:rsidRPr="00F0245E">
        <w:rPr>
          <w:rFonts w:ascii="Times New Roman" w:hAnsi="Times New Roman"/>
          <w:i/>
          <w:noProof/>
          <w:sz w:val="24"/>
          <w:szCs w:val="24"/>
        </w:rPr>
        <w:t>J Vet Intern Med</w:t>
      </w:r>
      <w:r w:rsidRPr="00F0245E">
        <w:rPr>
          <w:rFonts w:ascii="Times New Roman" w:hAnsi="Times New Roman"/>
          <w:noProof/>
          <w:sz w:val="24"/>
          <w:szCs w:val="24"/>
        </w:rPr>
        <w:t>, 21: 1099-103.</w:t>
      </w:r>
    </w:p>
    <w:p w14:paraId="16EC24F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lastRenderedPageBreak/>
        <w:t xml:space="preserve">Ishikawa, T., W. Aw, and K. Kaneko. 2013. 'Metabolic Interactions of Purine Derivatives with Human ABC Transporter ABCG2: Genetic Testing to Assess Gout Risk', </w:t>
      </w:r>
      <w:r w:rsidRPr="00F0245E">
        <w:rPr>
          <w:rFonts w:ascii="Times New Roman" w:hAnsi="Times New Roman"/>
          <w:i/>
          <w:noProof/>
          <w:sz w:val="24"/>
          <w:szCs w:val="24"/>
        </w:rPr>
        <w:t>Pharmaceuticals (Basel)</w:t>
      </w:r>
      <w:r w:rsidRPr="00F0245E">
        <w:rPr>
          <w:rFonts w:ascii="Times New Roman" w:hAnsi="Times New Roman"/>
          <w:noProof/>
          <w:sz w:val="24"/>
          <w:szCs w:val="24"/>
        </w:rPr>
        <w:t>, 6: 1347-60.</w:t>
      </w:r>
    </w:p>
    <w:p w14:paraId="7C52FB15"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Jang, C., L. Chen, and J. D. Rabinowitz. 2018. 'Metabolomics and Isotope Tracing', </w:t>
      </w:r>
      <w:r w:rsidRPr="00F0245E">
        <w:rPr>
          <w:rFonts w:ascii="Times New Roman" w:hAnsi="Times New Roman"/>
          <w:i/>
          <w:noProof/>
          <w:sz w:val="24"/>
          <w:szCs w:val="24"/>
        </w:rPr>
        <w:t>Cell</w:t>
      </w:r>
      <w:r w:rsidRPr="00F0245E">
        <w:rPr>
          <w:rFonts w:ascii="Times New Roman" w:hAnsi="Times New Roman"/>
          <w:noProof/>
          <w:sz w:val="24"/>
          <w:szCs w:val="24"/>
        </w:rPr>
        <w:t>, 173: 822-37.</w:t>
      </w:r>
    </w:p>
    <w:p w14:paraId="16774F4A"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Jiang, Pingping, Jan Stanstrup, Thomas Thymann, Per Torp Sangild, and Lars Ove Dragsted. 2016. 'Progressive Changes in the Plasma Metabolome during Malnutrition in Juvenile Pigs', </w:t>
      </w:r>
      <w:r w:rsidRPr="00F0245E">
        <w:rPr>
          <w:rFonts w:ascii="Times New Roman" w:hAnsi="Times New Roman"/>
          <w:i/>
          <w:noProof/>
          <w:sz w:val="24"/>
          <w:szCs w:val="24"/>
        </w:rPr>
        <w:t>Journal of Proteome Research</w:t>
      </w:r>
      <w:r w:rsidRPr="00F0245E">
        <w:rPr>
          <w:rFonts w:ascii="Times New Roman" w:hAnsi="Times New Roman"/>
          <w:noProof/>
          <w:sz w:val="24"/>
          <w:szCs w:val="24"/>
        </w:rPr>
        <w:t>, 15: 447-56.</w:t>
      </w:r>
    </w:p>
    <w:p w14:paraId="7A298AB1"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Kanehisa, M. 2019. 'Toward understanding the origin and evolution of cellular organisms', </w:t>
      </w:r>
      <w:r w:rsidRPr="00F0245E">
        <w:rPr>
          <w:rFonts w:ascii="Times New Roman" w:hAnsi="Times New Roman"/>
          <w:i/>
          <w:noProof/>
          <w:sz w:val="24"/>
          <w:szCs w:val="24"/>
        </w:rPr>
        <w:t>Protein Sci</w:t>
      </w:r>
      <w:r w:rsidRPr="00F0245E">
        <w:rPr>
          <w:rFonts w:ascii="Times New Roman" w:hAnsi="Times New Roman"/>
          <w:noProof/>
          <w:sz w:val="24"/>
          <w:szCs w:val="24"/>
        </w:rPr>
        <w:t>, 28: 1947-51.</w:t>
      </w:r>
    </w:p>
    <w:p w14:paraId="26BAAD13"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Kanehisa, M., M. Furumichi, Y. Sato, M. Ishiguro-Watanabe, and M. Tanabe. 2021. 'KEGG: integrating viruses and cellular organisms', </w:t>
      </w:r>
      <w:r w:rsidRPr="00F0245E">
        <w:rPr>
          <w:rFonts w:ascii="Times New Roman" w:hAnsi="Times New Roman"/>
          <w:i/>
          <w:noProof/>
          <w:sz w:val="24"/>
          <w:szCs w:val="24"/>
        </w:rPr>
        <w:t>Nucleic Acids Res</w:t>
      </w:r>
      <w:r w:rsidRPr="00F0245E">
        <w:rPr>
          <w:rFonts w:ascii="Times New Roman" w:hAnsi="Times New Roman"/>
          <w:noProof/>
          <w:sz w:val="24"/>
          <w:szCs w:val="24"/>
        </w:rPr>
        <w:t>, 49: D545-D51.</w:t>
      </w:r>
    </w:p>
    <w:p w14:paraId="628E86A5"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Kanehisa, M., and S. Goto. 2000. 'KEGG: kyoto encyclopedia of genes and genomes', </w:t>
      </w:r>
      <w:r w:rsidRPr="00F0245E">
        <w:rPr>
          <w:rFonts w:ascii="Times New Roman" w:hAnsi="Times New Roman"/>
          <w:i/>
          <w:noProof/>
          <w:sz w:val="24"/>
          <w:szCs w:val="24"/>
        </w:rPr>
        <w:t>Nucleic Acids Res</w:t>
      </w:r>
      <w:r w:rsidRPr="00F0245E">
        <w:rPr>
          <w:rFonts w:ascii="Times New Roman" w:hAnsi="Times New Roman"/>
          <w:noProof/>
          <w:sz w:val="24"/>
          <w:szCs w:val="24"/>
        </w:rPr>
        <w:t>, 28: 27-30.</w:t>
      </w:r>
    </w:p>
    <w:p w14:paraId="10D0527E"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Keen, B., A. Cawley, B. Reedy, and S. Fu. 2022. 'Metabolomics in clinical and forensic toxicology, sports anti-doping and veterinary residues', </w:t>
      </w:r>
      <w:r w:rsidRPr="00F0245E">
        <w:rPr>
          <w:rFonts w:ascii="Times New Roman" w:hAnsi="Times New Roman"/>
          <w:i/>
          <w:noProof/>
          <w:sz w:val="24"/>
          <w:szCs w:val="24"/>
        </w:rPr>
        <w:t>Drug Test Anal</w:t>
      </w:r>
      <w:r w:rsidRPr="00F0245E">
        <w:rPr>
          <w:rFonts w:ascii="Times New Roman" w:hAnsi="Times New Roman"/>
          <w:noProof/>
          <w:sz w:val="24"/>
          <w:szCs w:val="24"/>
        </w:rPr>
        <w:t>, 14: 794-807.</w:t>
      </w:r>
    </w:p>
    <w:p w14:paraId="22F96A7E"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Klein, C. J., G. S. Stanek, and C. E. Wiles, 3rd. 1998. 'Overfeeding macronutrients to critically ill adults: metabolic complications', </w:t>
      </w:r>
      <w:r w:rsidRPr="00F0245E">
        <w:rPr>
          <w:rFonts w:ascii="Times New Roman" w:hAnsi="Times New Roman"/>
          <w:i/>
          <w:noProof/>
          <w:sz w:val="24"/>
          <w:szCs w:val="24"/>
        </w:rPr>
        <w:t>J Am Diet Assoc</w:t>
      </w:r>
      <w:r w:rsidRPr="00F0245E">
        <w:rPr>
          <w:rFonts w:ascii="Times New Roman" w:hAnsi="Times New Roman"/>
          <w:noProof/>
          <w:sz w:val="24"/>
          <w:szCs w:val="24"/>
        </w:rPr>
        <w:t>, 98: 795-806.</w:t>
      </w:r>
    </w:p>
    <w:p w14:paraId="55771886"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Klein, D. J., T. G. Anthony, and K. H. McKeever. 2021. 'Metabolomics in equine sport and exercise', </w:t>
      </w:r>
      <w:r w:rsidRPr="00F0245E">
        <w:rPr>
          <w:rFonts w:ascii="Times New Roman" w:hAnsi="Times New Roman"/>
          <w:i/>
          <w:noProof/>
          <w:sz w:val="24"/>
          <w:szCs w:val="24"/>
        </w:rPr>
        <w:t>J Anim Physiol Anim Nutr (Berl)</w:t>
      </w:r>
      <w:r w:rsidRPr="00F0245E">
        <w:rPr>
          <w:rFonts w:ascii="Times New Roman" w:hAnsi="Times New Roman"/>
          <w:noProof/>
          <w:sz w:val="24"/>
          <w:szCs w:val="24"/>
        </w:rPr>
        <w:t>, 105: 140-48.</w:t>
      </w:r>
    </w:p>
    <w:p w14:paraId="54F4A1B9"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Klein, R., O. Nagy, C. Tothova, and F. Chovanova. 2020. 'Clinical and Diagnostic Significance of Lactate Dehydrogenase and Its Isoenzymes in Animals', </w:t>
      </w:r>
      <w:r w:rsidRPr="00F0245E">
        <w:rPr>
          <w:rFonts w:ascii="Times New Roman" w:hAnsi="Times New Roman"/>
          <w:i/>
          <w:noProof/>
          <w:sz w:val="24"/>
          <w:szCs w:val="24"/>
        </w:rPr>
        <w:t>Vet Med Int</w:t>
      </w:r>
      <w:r w:rsidRPr="00F0245E">
        <w:rPr>
          <w:rFonts w:ascii="Times New Roman" w:hAnsi="Times New Roman"/>
          <w:noProof/>
          <w:sz w:val="24"/>
          <w:szCs w:val="24"/>
        </w:rPr>
        <w:t>, 2020: 5346483.</w:t>
      </w:r>
    </w:p>
    <w:p w14:paraId="47ED1644"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Kronfeld, DS. 1993. 'Starvation and malnutrition of horses: recognition and treatment', </w:t>
      </w:r>
      <w:r w:rsidRPr="00F0245E">
        <w:rPr>
          <w:rFonts w:ascii="Times New Roman" w:hAnsi="Times New Roman"/>
          <w:i/>
          <w:noProof/>
          <w:sz w:val="24"/>
          <w:szCs w:val="24"/>
        </w:rPr>
        <w:t>Journal of Equine Veterinary Science</w:t>
      </w:r>
      <w:r w:rsidRPr="00F0245E">
        <w:rPr>
          <w:rFonts w:ascii="Times New Roman" w:hAnsi="Times New Roman"/>
          <w:noProof/>
          <w:sz w:val="24"/>
          <w:szCs w:val="24"/>
        </w:rPr>
        <w:t>, 13: 298-304.</w:t>
      </w:r>
    </w:p>
    <w:p w14:paraId="6D7C034B"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Lenz, Tom R. 2009. 'The Unwanted Horse in the United States: An Overview of the Issue', </w:t>
      </w:r>
      <w:r w:rsidRPr="00F0245E">
        <w:rPr>
          <w:rFonts w:ascii="Times New Roman" w:hAnsi="Times New Roman"/>
          <w:i/>
          <w:noProof/>
          <w:sz w:val="24"/>
          <w:szCs w:val="24"/>
        </w:rPr>
        <w:t>Journal of Equine Veterinary Science</w:t>
      </w:r>
      <w:r w:rsidRPr="00F0245E">
        <w:rPr>
          <w:rFonts w:ascii="Times New Roman" w:hAnsi="Times New Roman"/>
          <w:noProof/>
          <w:sz w:val="24"/>
          <w:szCs w:val="24"/>
        </w:rPr>
        <w:t>, 29: 253-58.</w:t>
      </w:r>
    </w:p>
    <w:p w14:paraId="4997573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McKeever, Kenneth H. 2003. 'Aging and how it affects the physiological response to exercise in the horse', </w:t>
      </w:r>
      <w:r w:rsidRPr="00F0245E">
        <w:rPr>
          <w:rFonts w:ascii="Times New Roman" w:hAnsi="Times New Roman"/>
          <w:i/>
          <w:noProof/>
          <w:sz w:val="24"/>
          <w:szCs w:val="24"/>
        </w:rPr>
        <w:t>Clinical Techniques in Equine Practice</w:t>
      </w:r>
      <w:r w:rsidRPr="00F0245E">
        <w:rPr>
          <w:rFonts w:ascii="Times New Roman" w:hAnsi="Times New Roman"/>
          <w:noProof/>
          <w:sz w:val="24"/>
          <w:szCs w:val="24"/>
        </w:rPr>
        <w:t>, 2: 258-65.</w:t>
      </w:r>
    </w:p>
    <w:p w14:paraId="4DF9ECAA"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lastRenderedPageBreak/>
        <w:t xml:space="preserve">Merriam-Webster. 'Malnutrition', Accessed May 25, 2022. </w:t>
      </w:r>
      <w:hyperlink r:id="rId14" w:anchor=":%7E:text=%3A%20faulty%20nutrition%20due%20to%20inadequate,Sentences%20Learn%20More%20about%20malnutrition" w:history="1">
        <w:r w:rsidRPr="00F0245E">
          <w:rPr>
            <w:rStyle w:val="Hyperlink"/>
            <w:rFonts w:ascii="Times New Roman" w:hAnsi="Times New Roman"/>
            <w:noProof/>
            <w:sz w:val="24"/>
            <w:szCs w:val="24"/>
          </w:rPr>
          <w:t>https://www.merriam-webster.com/dictionary/malnutrition#:%7E:text=%3A%20faulty%20nutrition%20due%20to%20inadequate,Sentences%20Learn%20More%20about%20malnutrition</w:t>
        </w:r>
      </w:hyperlink>
      <w:r w:rsidRPr="00F0245E">
        <w:rPr>
          <w:rFonts w:ascii="Times New Roman" w:hAnsi="Times New Roman"/>
          <w:noProof/>
          <w:sz w:val="24"/>
          <w:szCs w:val="24"/>
        </w:rPr>
        <w:t>.</w:t>
      </w:r>
    </w:p>
    <w:p w14:paraId="07F91020"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O'Connor, C. I., B. D. Nielsen, A. D. Woodward, H. S. Spooner, B. A. Ventura, and K. K. Turner. 2008. 'Mineral balance in horses fed two supplemental silicon sources', </w:t>
      </w:r>
      <w:r w:rsidRPr="00F0245E">
        <w:rPr>
          <w:rFonts w:ascii="Times New Roman" w:hAnsi="Times New Roman"/>
          <w:i/>
          <w:noProof/>
          <w:sz w:val="24"/>
          <w:szCs w:val="24"/>
        </w:rPr>
        <w:t>Journal of Animal Physiology and Animal Nutrition</w:t>
      </w:r>
      <w:r w:rsidRPr="00F0245E">
        <w:rPr>
          <w:rFonts w:ascii="Times New Roman" w:hAnsi="Times New Roman"/>
          <w:noProof/>
          <w:sz w:val="24"/>
          <w:szCs w:val="24"/>
        </w:rPr>
        <w:t>, 92: 173-81.</w:t>
      </w:r>
    </w:p>
    <w:p w14:paraId="78EC5158"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Ono, T., Y. Yamada, A. Hata, T. Shimokawa Miyama, K. Shibano, E. Iwata, E. Ohzawa, and H. Kitagawa. 2019. 'Reference values of hematological and blood biochemical parameters for the Noma horse', </w:t>
      </w:r>
      <w:r w:rsidRPr="00F0245E">
        <w:rPr>
          <w:rFonts w:ascii="Times New Roman" w:hAnsi="Times New Roman"/>
          <w:i/>
          <w:noProof/>
          <w:sz w:val="24"/>
          <w:szCs w:val="24"/>
        </w:rPr>
        <w:t>J Equine Sci</w:t>
      </w:r>
      <w:r w:rsidRPr="00F0245E">
        <w:rPr>
          <w:rFonts w:ascii="Times New Roman" w:hAnsi="Times New Roman"/>
          <w:noProof/>
          <w:sz w:val="24"/>
          <w:szCs w:val="24"/>
        </w:rPr>
        <w:t>, 30: 69-73.</w:t>
      </w:r>
    </w:p>
    <w:p w14:paraId="1CF9A63D"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Paddon-Jones, D., E. Borsheim, and R. R. Wolfe. 2004. 'Potential ergogenic effects of arginine and creatine supplementation', </w:t>
      </w:r>
      <w:r w:rsidRPr="00F0245E">
        <w:rPr>
          <w:rFonts w:ascii="Times New Roman" w:hAnsi="Times New Roman"/>
          <w:i/>
          <w:noProof/>
          <w:sz w:val="24"/>
          <w:szCs w:val="24"/>
        </w:rPr>
        <w:t>J Nutr</w:t>
      </w:r>
      <w:r w:rsidRPr="00F0245E">
        <w:rPr>
          <w:rFonts w:ascii="Times New Roman" w:hAnsi="Times New Roman"/>
          <w:noProof/>
          <w:sz w:val="24"/>
          <w:szCs w:val="24"/>
        </w:rPr>
        <w:t>, 134: 2888S-94S; discussion 95S.</w:t>
      </w:r>
    </w:p>
    <w:p w14:paraId="306B4302"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Pang, Zhiqiang, Jasmine Chong, Guangyan Zhou, Anderson David, Le Chang, Michel Barrette, Carol Gauthier, Pierre-Étienne Jacques, Shuzhao Li, and Jianguo Xia. 2021. 'MetaboAnalyst 5.0: narrowing the gap between raw spectra and functional insights', </w:t>
      </w:r>
      <w:r w:rsidRPr="00F0245E">
        <w:rPr>
          <w:rFonts w:ascii="Times New Roman" w:hAnsi="Times New Roman"/>
          <w:i/>
          <w:noProof/>
          <w:sz w:val="24"/>
          <w:szCs w:val="24"/>
        </w:rPr>
        <w:t>Nucleic Acids Research</w:t>
      </w:r>
      <w:r w:rsidRPr="00F0245E">
        <w:rPr>
          <w:rFonts w:ascii="Times New Roman" w:hAnsi="Times New Roman"/>
          <w:noProof/>
          <w:sz w:val="24"/>
          <w:szCs w:val="24"/>
        </w:rPr>
        <w:t>, 49: W388-W96.</w:t>
      </w:r>
    </w:p>
    <w:p w14:paraId="1DF67D31"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Parenti, M., S. McClorry, E. A. Maga, and C. M. Slupsky. 2021. 'Metabolomic changes in severe acute malnutrition suggest hepatic oxidative stress: a secondary analysis', </w:t>
      </w:r>
      <w:r w:rsidRPr="00F0245E">
        <w:rPr>
          <w:rFonts w:ascii="Times New Roman" w:hAnsi="Times New Roman"/>
          <w:i/>
          <w:noProof/>
          <w:sz w:val="24"/>
          <w:szCs w:val="24"/>
        </w:rPr>
        <w:t>Nutr Res</w:t>
      </w:r>
      <w:r w:rsidRPr="00F0245E">
        <w:rPr>
          <w:rFonts w:ascii="Times New Roman" w:hAnsi="Times New Roman"/>
          <w:noProof/>
          <w:sz w:val="24"/>
          <w:szCs w:val="24"/>
        </w:rPr>
        <w:t>, 91: 44-56.</w:t>
      </w:r>
    </w:p>
    <w:p w14:paraId="142D95FF"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Parraga, M. E., G. P. Carlson, and M. Thurmond. 1995. 'Serum protein concentrations in horses with severe liver disease: a retrospective study and review of the literature', </w:t>
      </w:r>
      <w:r w:rsidRPr="00F0245E">
        <w:rPr>
          <w:rFonts w:ascii="Times New Roman" w:hAnsi="Times New Roman"/>
          <w:i/>
          <w:noProof/>
          <w:sz w:val="24"/>
          <w:szCs w:val="24"/>
        </w:rPr>
        <w:t>J Vet Intern Med</w:t>
      </w:r>
      <w:r w:rsidRPr="00F0245E">
        <w:rPr>
          <w:rFonts w:ascii="Times New Roman" w:hAnsi="Times New Roman"/>
          <w:noProof/>
          <w:sz w:val="24"/>
          <w:szCs w:val="24"/>
        </w:rPr>
        <w:t>, 9: 154-61.</w:t>
      </w:r>
    </w:p>
    <w:p w14:paraId="33E01F45"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Pusterla, Nicola, Samantha Barnum, Julia Miller, Sarah Varnell, Barbara Dallap-Schaer, Helen Aceto, and Aliza Simeone. 2021. 'Investigation of an EHV-1 Outbreak in the United States Caused by a New H752 Genotype', </w:t>
      </w:r>
      <w:r w:rsidRPr="00F0245E">
        <w:rPr>
          <w:rFonts w:ascii="Times New Roman" w:hAnsi="Times New Roman"/>
          <w:i/>
          <w:noProof/>
          <w:sz w:val="24"/>
          <w:szCs w:val="24"/>
        </w:rPr>
        <w:t>Pathogens</w:t>
      </w:r>
      <w:r w:rsidRPr="00F0245E">
        <w:rPr>
          <w:rFonts w:ascii="Times New Roman" w:hAnsi="Times New Roman"/>
          <w:noProof/>
          <w:sz w:val="24"/>
          <w:szCs w:val="24"/>
        </w:rPr>
        <w:t>, 10: 747.</w:t>
      </w:r>
    </w:p>
    <w:p w14:paraId="381C666B"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Rabinowitz, J. D., and E. Kimball. 2007. 'Acidic acetonitrile for cellular metabolome extraction from Escherichia coli', </w:t>
      </w:r>
      <w:r w:rsidRPr="00F0245E">
        <w:rPr>
          <w:rFonts w:ascii="Times New Roman" w:hAnsi="Times New Roman"/>
          <w:i/>
          <w:noProof/>
          <w:sz w:val="24"/>
          <w:szCs w:val="24"/>
        </w:rPr>
        <w:t>Anal Chem</w:t>
      </w:r>
      <w:r w:rsidRPr="00F0245E">
        <w:rPr>
          <w:rFonts w:ascii="Times New Roman" w:hAnsi="Times New Roman"/>
          <w:noProof/>
          <w:sz w:val="24"/>
          <w:szCs w:val="24"/>
        </w:rPr>
        <w:t>, 79: 6167-73.</w:t>
      </w:r>
    </w:p>
    <w:p w14:paraId="3491F43C"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Saastamoinen, M., S. Sarkijarvi, and H. Suomala. 2021. 'Protein Source and Intake Effects on Diet Digestibility and N Excretion in Horses-A Risk of Environmental N Load of Horses', </w:t>
      </w:r>
      <w:r w:rsidRPr="00F0245E">
        <w:rPr>
          <w:rFonts w:ascii="Times New Roman" w:hAnsi="Times New Roman"/>
          <w:i/>
          <w:noProof/>
          <w:sz w:val="24"/>
          <w:szCs w:val="24"/>
        </w:rPr>
        <w:t>Animals (Basel)</w:t>
      </w:r>
      <w:r w:rsidRPr="00F0245E">
        <w:rPr>
          <w:rFonts w:ascii="Times New Roman" w:hAnsi="Times New Roman"/>
          <w:noProof/>
          <w:sz w:val="24"/>
          <w:szCs w:val="24"/>
        </w:rPr>
        <w:t>, 11.</w:t>
      </w:r>
    </w:p>
    <w:p w14:paraId="5E5361B6"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lastRenderedPageBreak/>
        <w:t xml:space="preserve">Sarabhai, T., and M. Roden. 2019. 'Hungry for your alanine: when liver depends on muscle proteolysis', </w:t>
      </w:r>
      <w:r w:rsidRPr="00F0245E">
        <w:rPr>
          <w:rFonts w:ascii="Times New Roman" w:hAnsi="Times New Roman"/>
          <w:i/>
          <w:noProof/>
          <w:sz w:val="24"/>
          <w:szCs w:val="24"/>
        </w:rPr>
        <w:t>J Clin Invest</w:t>
      </w:r>
      <w:r w:rsidRPr="00F0245E">
        <w:rPr>
          <w:rFonts w:ascii="Times New Roman" w:hAnsi="Times New Roman"/>
          <w:noProof/>
          <w:sz w:val="24"/>
          <w:szCs w:val="24"/>
        </w:rPr>
        <w:t>, 129: 4563-66.</w:t>
      </w:r>
    </w:p>
    <w:p w14:paraId="3FD85AA2"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Schneider, Liesel G., Ashley Cox Self, Melissa T. Hines, and Jennie Lin-Zambito Ivey. 2021. 'Clinical Factors Associated With Survival Outcomes in Starved Equids: A Retrospective Case Series', </w:t>
      </w:r>
      <w:r w:rsidRPr="00F0245E">
        <w:rPr>
          <w:rFonts w:ascii="Times New Roman" w:hAnsi="Times New Roman"/>
          <w:i/>
          <w:noProof/>
          <w:sz w:val="24"/>
          <w:szCs w:val="24"/>
        </w:rPr>
        <w:t>Journal of Equine Veterinary Science</w:t>
      </w:r>
      <w:r w:rsidRPr="00F0245E">
        <w:rPr>
          <w:rFonts w:ascii="Times New Roman" w:hAnsi="Times New Roman"/>
          <w:noProof/>
          <w:sz w:val="24"/>
          <w:szCs w:val="24"/>
        </w:rPr>
        <w:t>, 101: 103370.</w:t>
      </w:r>
    </w:p>
    <w:p w14:paraId="6A19D8AF"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Schuback, K., B. Essén-Gustavsson, and S. G. B. Persson. 2010. 'Effect of creatine supplementation on muscle metabolic response to a maximal treadmill exercise test in Standardbred horses', </w:t>
      </w:r>
      <w:r w:rsidRPr="00F0245E">
        <w:rPr>
          <w:rFonts w:ascii="Times New Roman" w:hAnsi="Times New Roman"/>
          <w:i/>
          <w:noProof/>
          <w:sz w:val="24"/>
          <w:szCs w:val="24"/>
        </w:rPr>
        <w:t>Equine Veterinary Journal</w:t>
      </w:r>
      <w:r w:rsidRPr="00F0245E">
        <w:rPr>
          <w:rFonts w:ascii="Times New Roman" w:hAnsi="Times New Roman"/>
          <w:noProof/>
          <w:sz w:val="24"/>
          <w:szCs w:val="24"/>
        </w:rPr>
        <w:t>, 32: 533-40.</w:t>
      </w:r>
    </w:p>
    <w:p w14:paraId="7C9A97A0"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Stull, C. L., P. J. Hullinger, and A. V. Rodiek. 2003. 'Fat Supplementation to Alfalfa Diets for Refeeding the Starved Horse', </w:t>
      </w:r>
      <w:r w:rsidRPr="00F0245E">
        <w:rPr>
          <w:rFonts w:ascii="Times New Roman" w:hAnsi="Times New Roman"/>
          <w:i/>
          <w:noProof/>
          <w:sz w:val="24"/>
          <w:szCs w:val="24"/>
        </w:rPr>
        <w:t>The Professional animal scientist</w:t>
      </w:r>
      <w:r w:rsidRPr="00F0245E">
        <w:rPr>
          <w:rFonts w:ascii="Times New Roman" w:hAnsi="Times New Roman"/>
          <w:noProof/>
          <w:sz w:val="24"/>
          <w:szCs w:val="24"/>
        </w:rPr>
        <w:t>, 19: 47-54.</w:t>
      </w:r>
    </w:p>
    <w:p w14:paraId="51B7BE19"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Toribio, R. E. 2007. 'Essentials of equine renal and urinary tract physiology', </w:t>
      </w:r>
      <w:r w:rsidRPr="00F0245E">
        <w:rPr>
          <w:rFonts w:ascii="Times New Roman" w:hAnsi="Times New Roman"/>
          <w:i/>
          <w:noProof/>
          <w:sz w:val="24"/>
          <w:szCs w:val="24"/>
        </w:rPr>
        <w:t>Vet Clin North Am Equine Pract</w:t>
      </w:r>
      <w:r w:rsidRPr="00F0245E">
        <w:rPr>
          <w:rFonts w:ascii="Times New Roman" w:hAnsi="Times New Roman"/>
          <w:noProof/>
          <w:sz w:val="24"/>
          <w:szCs w:val="24"/>
        </w:rPr>
        <w:t>, 23: 533-61, v.</w:t>
      </w:r>
    </w:p>
    <w:p w14:paraId="1104B15B"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Urayama, S., D. Arima, F. Mizobe, Y. Shinzaki, M. Nomura, Y. Minamijima, and K. Kusano. 2018. 'Blood glucose is unlikely to be a prognostic biomarker in acute colitis with systemic inflammatory response syndrome in Thoroughbred racehorses', </w:t>
      </w:r>
      <w:r w:rsidRPr="00F0245E">
        <w:rPr>
          <w:rFonts w:ascii="Times New Roman" w:hAnsi="Times New Roman"/>
          <w:i/>
          <w:noProof/>
          <w:sz w:val="24"/>
          <w:szCs w:val="24"/>
        </w:rPr>
        <w:t>J Equine Sci</w:t>
      </w:r>
      <w:r w:rsidRPr="00F0245E">
        <w:rPr>
          <w:rFonts w:ascii="Times New Roman" w:hAnsi="Times New Roman"/>
          <w:noProof/>
          <w:sz w:val="24"/>
          <w:szCs w:val="24"/>
        </w:rPr>
        <w:t>, 29: 15-19.</w:t>
      </w:r>
    </w:p>
    <w:p w14:paraId="7C14B597"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Weaver, Kelly, Marsha Feldman, Chad Stewart, and Travis Thayer. 1998. 'Metabolic responses of chronically starved horses to refeeding with three isoenergetic diets', </w:t>
      </w:r>
      <w:r w:rsidRPr="00F0245E">
        <w:rPr>
          <w:rFonts w:ascii="Times New Roman" w:hAnsi="Times New Roman"/>
          <w:i/>
          <w:noProof/>
          <w:sz w:val="24"/>
          <w:szCs w:val="24"/>
        </w:rPr>
        <w:t>J Am Vet Med Assoc</w:t>
      </w:r>
      <w:r w:rsidRPr="00F0245E">
        <w:rPr>
          <w:rFonts w:ascii="Times New Roman" w:hAnsi="Times New Roman"/>
          <w:noProof/>
          <w:sz w:val="24"/>
          <w:szCs w:val="24"/>
        </w:rPr>
        <w:t>, 212: 691-96.</w:t>
      </w:r>
    </w:p>
    <w:p w14:paraId="41875146"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Wishart, D. S., A. Guo, E. Oler, F. Wang, A. Anjum, H. Peters, R. Dizon, Z. Sayeeda, S. Tian, B. L. Lee, M. Berjanskii, R. Mah, M. Yamamoto, J. Jovel, C. Torres-Calzada, M. Hiebert-Giesbrecht, V. W. Lui, D. Varshavi, D. Varshavi, D. Allen, D. Arndt, N. Khetarpal, A. Sivakumaran, K. Harford, S. Sanford, K. Yee, X. Cao, Z. Budinski, J. Liigand, L. Zhang, J. Zheng, R. Mandal, N. Karu, M. Dambrova, H. B. Schioth, R. Greiner, and V. Gautam. 2022. 'HMDB 5.0: the Human Metabolome Database for 2022', </w:t>
      </w:r>
      <w:r w:rsidRPr="00F0245E">
        <w:rPr>
          <w:rFonts w:ascii="Times New Roman" w:hAnsi="Times New Roman"/>
          <w:i/>
          <w:noProof/>
          <w:sz w:val="24"/>
          <w:szCs w:val="24"/>
        </w:rPr>
        <w:t>Nucleic Acids Res</w:t>
      </w:r>
      <w:r w:rsidRPr="00F0245E">
        <w:rPr>
          <w:rFonts w:ascii="Times New Roman" w:hAnsi="Times New Roman"/>
          <w:noProof/>
          <w:sz w:val="24"/>
          <w:szCs w:val="24"/>
        </w:rPr>
        <w:t>, 50: D622-D31.</w:t>
      </w:r>
    </w:p>
    <w:p w14:paraId="7F45C829"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Wishart, D. S., D. Tzur, C. Knox, R. Eisner, A. C. Guo, N. Young, D. Cheng, K. Jewell, D. Arndt, S. Sawhney, C. Fung, L. Nikolai, M. Lewis, M. A. Coutouly, I. Forsythe, P. Tang, S. Shrivastava, K. Jeroncic, P. Stothard, G. Amegbey, D. Block, David D. Hau, J. Wagner, J. Miniaci, M. Clements, M. Gebremedhin, N. Guo, Y. Zhang, G. E. Duggan, G. D. Macinnis, A. M. Weljie, R. Dowlatabadi, F. Bamforth, D. Clive, R. Greiner, L. Li, T. Marrie, B. D. </w:t>
      </w:r>
      <w:r w:rsidRPr="00F0245E">
        <w:rPr>
          <w:rFonts w:ascii="Times New Roman" w:hAnsi="Times New Roman"/>
          <w:noProof/>
          <w:sz w:val="24"/>
          <w:szCs w:val="24"/>
        </w:rPr>
        <w:lastRenderedPageBreak/>
        <w:t xml:space="preserve">Sykes, H. J. Vogel, and L. Querengesser. 2007. 'HMDB: the Human Metabolome Database', </w:t>
      </w:r>
      <w:r w:rsidRPr="00F0245E">
        <w:rPr>
          <w:rFonts w:ascii="Times New Roman" w:hAnsi="Times New Roman"/>
          <w:i/>
          <w:noProof/>
          <w:sz w:val="24"/>
          <w:szCs w:val="24"/>
        </w:rPr>
        <w:t>Nucleic Acids Research</w:t>
      </w:r>
      <w:r w:rsidRPr="00F0245E">
        <w:rPr>
          <w:rFonts w:ascii="Times New Roman" w:hAnsi="Times New Roman"/>
          <w:noProof/>
          <w:sz w:val="24"/>
          <w:szCs w:val="24"/>
        </w:rPr>
        <w:t>, 35: D521-D26.</w:t>
      </w:r>
    </w:p>
    <w:p w14:paraId="331CD604"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Worley, Bradley, Steven Halouska, and Robert Powers. 2013. 'Utilities for quantifying separation in PCA/PLS-DA scores plots', </w:t>
      </w:r>
      <w:r w:rsidRPr="00F0245E">
        <w:rPr>
          <w:rFonts w:ascii="Times New Roman" w:hAnsi="Times New Roman"/>
          <w:i/>
          <w:noProof/>
          <w:sz w:val="24"/>
          <w:szCs w:val="24"/>
        </w:rPr>
        <w:t>Analytical biochemistry</w:t>
      </w:r>
      <w:r w:rsidRPr="00F0245E">
        <w:rPr>
          <w:rFonts w:ascii="Times New Roman" w:hAnsi="Times New Roman"/>
          <w:noProof/>
          <w:sz w:val="24"/>
          <w:szCs w:val="24"/>
        </w:rPr>
        <w:t>, 433: 102-04.</w:t>
      </w:r>
    </w:p>
    <w:p w14:paraId="744B1A83"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Yang, Quan-Jun, Jiang-Rong Zhao, Juan Hao, Bin Li, Yan Huo, Yong-Long Han, Li-Li Wan, Jie Li, Jinlu Huang, Jin Lu, Gen-Jin Yang, and Cheng Guo. 2018. 'Serum and urine metabolomics study reveals a distinct diagnostic model for cancer cachexia', </w:t>
      </w:r>
      <w:r w:rsidRPr="00F0245E">
        <w:rPr>
          <w:rFonts w:ascii="Times New Roman" w:hAnsi="Times New Roman"/>
          <w:i/>
          <w:noProof/>
          <w:sz w:val="24"/>
          <w:szCs w:val="24"/>
        </w:rPr>
        <w:t>Journal of Cachexia, Sarcopenia and Muscle</w:t>
      </w:r>
      <w:r w:rsidRPr="00F0245E">
        <w:rPr>
          <w:rFonts w:ascii="Times New Roman" w:hAnsi="Times New Roman"/>
          <w:noProof/>
          <w:sz w:val="24"/>
          <w:szCs w:val="24"/>
        </w:rPr>
        <w:t>, 9: 71-85.</w:t>
      </w:r>
    </w:p>
    <w:p w14:paraId="0045033D"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Zhang, Y., S. Guo, C. Xie, and J. Fang. 2020. 'Uridine Metabolism and Its Role in Glucose, Lipid, and Amino Acid Homeostasis', </w:t>
      </w:r>
      <w:r w:rsidRPr="00F0245E">
        <w:rPr>
          <w:rFonts w:ascii="Times New Roman" w:hAnsi="Times New Roman"/>
          <w:i/>
          <w:noProof/>
          <w:sz w:val="24"/>
          <w:szCs w:val="24"/>
        </w:rPr>
        <w:t>Biomed Res Int</w:t>
      </w:r>
      <w:r w:rsidRPr="00F0245E">
        <w:rPr>
          <w:rFonts w:ascii="Times New Roman" w:hAnsi="Times New Roman"/>
          <w:noProof/>
          <w:sz w:val="24"/>
          <w:szCs w:val="24"/>
        </w:rPr>
        <w:t>, 2020: 7091718.</w:t>
      </w:r>
    </w:p>
    <w:p w14:paraId="7299E125"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Zhou, Y., L. Qiu, Q. Xiao, Y. Wang, X. Meng, R. Xu, S. Wang, and R. Na. 2013. 'Obesity and diabetes related plasma amino acid alterations', </w:t>
      </w:r>
      <w:r w:rsidRPr="00F0245E">
        <w:rPr>
          <w:rFonts w:ascii="Times New Roman" w:hAnsi="Times New Roman"/>
          <w:i/>
          <w:noProof/>
          <w:sz w:val="24"/>
          <w:szCs w:val="24"/>
        </w:rPr>
        <w:t>Clin Biochem</w:t>
      </w:r>
      <w:r w:rsidRPr="00F0245E">
        <w:rPr>
          <w:rFonts w:ascii="Times New Roman" w:hAnsi="Times New Roman"/>
          <w:noProof/>
          <w:sz w:val="24"/>
          <w:szCs w:val="24"/>
        </w:rPr>
        <w:t>, 46: 1447-52.</w:t>
      </w:r>
    </w:p>
    <w:p w14:paraId="145F4C2B" w14:textId="77777777" w:rsidR="00AA7CD5" w:rsidRPr="00F0245E" w:rsidRDefault="00AA7CD5" w:rsidP="008A6B75">
      <w:pPr>
        <w:pStyle w:val="EndNoteBibliography"/>
        <w:spacing w:line="360" w:lineRule="auto"/>
        <w:ind w:left="720" w:hanging="720"/>
        <w:rPr>
          <w:rFonts w:ascii="Times New Roman" w:hAnsi="Times New Roman"/>
          <w:noProof/>
          <w:sz w:val="24"/>
          <w:szCs w:val="24"/>
        </w:rPr>
      </w:pPr>
      <w:r w:rsidRPr="00F0245E">
        <w:rPr>
          <w:rFonts w:ascii="Times New Roman" w:hAnsi="Times New Roman"/>
          <w:noProof/>
          <w:sz w:val="24"/>
          <w:szCs w:val="24"/>
        </w:rPr>
        <w:t xml:space="preserve">Zoppini, G., V. Cacciatori, C. Negri, V. Stoico, G. Lippi, G. Targher, and E. Bonora. 2016. 'The aspartate aminotransferase-to-alanine aminotransferase ratio predicts all-cause and cardiovascular mortality in patients with type 2 diabetes', </w:t>
      </w:r>
      <w:r w:rsidRPr="00F0245E">
        <w:rPr>
          <w:rFonts w:ascii="Times New Roman" w:hAnsi="Times New Roman"/>
          <w:i/>
          <w:noProof/>
          <w:sz w:val="24"/>
          <w:szCs w:val="24"/>
        </w:rPr>
        <w:t>Medicine (Baltimore)</w:t>
      </w:r>
      <w:r w:rsidRPr="00F0245E">
        <w:rPr>
          <w:rFonts w:ascii="Times New Roman" w:hAnsi="Times New Roman"/>
          <w:noProof/>
          <w:sz w:val="24"/>
          <w:szCs w:val="24"/>
        </w:rPr>
        <w:t>, 95: e4821.</w:t>
      </w:r>
    </w:p>
    <w:p w14:paraId="2E976F51" w14:textId="26F9DBEC" w:rsidR="00975E37" w:rsidRPr="00DF7C87" w:rsidRDefault="00AA7CD5" w:rsidP="008A6B75">
      <w:pPr>
        <w:spacing w:line="360" w:lineRule="auto"/>
        <w:rPr>
          <w:rFonts w:ascii="Times New Roman" w:hAnsi="Times New Roman" w:cs="Times New Roman"/>
        </w:rPr>
      </w:pPr>
      <w:r w:rsidRPr="00F0245E">
        <w:rPr>
          <w:rFonts w:ascii="Times New Roman" w:hAnsi="Times New Roman" w:cs="Times New Roman"/>
        </w:rPr>
        <w:fldChar w:fldCharType="end"/>
      </w:r>
    </w:p>
    <w:p w14:paraId="555DA0B5" w14:textId="7B995516" w:rsidR="00AA7CD5" w:rsidRPr="00061496" w:rsidRDefault="00FF1665" w:rsidP="00061496">
      <w:pPr>
        <w:pStyle w:val="Heading1"/>
        <w:rPr>
          <w:rFonts w:ascii="Times New Roman" w:hAnsi="Times New Roman" w:cs="Times New Roman"/>
        </w:rPr>
      </w:pPr>
      <w:r w:rsidRPr="00DF7C87">
        <w:rPr>
          <w:sz w:val="24"/>
        </w:rPr>
        <w:br w:type="page"/>
      </w:r>
      <w:bookmarkStart w:id="43" w:name="_Toc151023691"/>
      <w:r w:rsidR="00AA7CD5" w:rsidRPr="00061496">
        <w:rPr>
          <w:rFonts w:ascii="Times New Roman" w:hAnsi="Times New Roman" w:cs="Times New Roman"/>
        </w:rPr>
        <w:lastRenderedPageBreak/>
        <w:t>CHAPTER III</w:t>
      </w:r>
      <w:bookmarkEnd w:id="43"/>
    </w:p>
    <w:p w14:paraId="03EB2463" w14:textId="77777777" w:rsidR="00AA7CD5" w:rsidRPr="00061496" w:rsidRDefault="00AA7CD5" w:rsidP="00061496">
      <w:pPr>
        <w:pStyle w:val="Heading1"/>
        <w:rPr>
          <w:rFonts w:ascii="Times New Roman" w:hAnsi="Times New Roman" w:cs="Times New Roman"/>
        </w:rPr>
      </w:pPr>
      <w:bookmarkStart w:id="44" w:name="_Toc151023692"/>
      <w:r w:rsidRPr="00061496">
        <w:rPr>
          <w:rFonts w:ascii="Times New Roman" w:hAnsi="Times New Roman" w:cs="Times New Roman"/>
        </w:rPr>
        <w:t>Extension education: varying the approach to education, assessment, and training</w:t>
      </w:r>
      <w:bookmarkEnd w:id="44"/>
    </w:p>
    <w:p w14:paraId="6EDF9B44" w14:textId="77777777" w:rsidR="00AA7CD5" w:rsidRDefault="00AA7CD5" w:rsidP="008A6B75">
      <w:pPr>
        <w:spacing w:line="360" w:lineRule="auto"/>
        <w:rPr>
          <w:rFonts w:ascii="Times New Roman" w:hAnsi="Times New Roman" w:cs="Times New Roman"/>
        </w:rPr>
      </w:pPr>
    </w:p>
    <w:p w14:paraId="13546D7A" w14:textId="77777777" w:rsidR="00AA7CD5" w:rsidRDefault="00AA7CD5" w:rsidP="008A6B75">
      <w:pPr>
        <w:spacing w:line="360" w:lineRule="auto"/>
        <w:rPr>
          <w:rFonts w:ascii="Times New Roman" w:hAnsi="Times New Roman" w:cs="Times New Roman"/>
        </w:rPr>
      </w:pPr>
    </w:p>
    <w:p w14:paraId="28F898D8" w14:textId="77777777" w:rsidR="00AA7CD5" w:rsidRDefault="00AA7CD5" w:rsidP="008A6B75">
      <w:pPr>
        <w:spacing w:line="360" w:lineRule="auto"/>
        <w:rPr>
          <w:rFonts w:ascii="Times New Roman" w:hAnsi="Times New Roman" w:cs="Times New Roman"/>
        </w:rPr>
      </w:pPr>
    </w:p>
    <w:p w14:paraId="640C60CC" w14:textId="77777777" w:rsidR="00AA7CD5" w:rsidRDefault="00AA7CD5" w:rsidP="008A6B75">
      <w:pPr>
        <w:spacing w:line="360" w:lineRule="auto"/>
        <w:rPr>
          <w:rFonts w:ascii="Times New Roman" w:hAnsi="Times New Roman" w:cs="Times New Roman"/>
        </w:rPr>
      </w:pPr>
    </w:p>
    <w:p w14:paraId="49EA5324" w14:textId="77777777" w:rsidR="00AA7CD5" w:rsidRDefault="00AA7CD5" w:rsidP="008A6B75">
      <w:pPr>
        <w:spacing w:line="360" w:lineRule="auto"/>
        <w:rPr>
          <w:rFonts w:ascii="Times New Roman" w:hAnsi="Times New Roman" w:cs="Times New Roman"/>
        </w:rPr>
      </w:pPr>
    </w:p>
    <w:p w14:paraId="3D846E89" w14:textId="77777777" w:rsidR="00AA7CD5" w:rsidRDefault="00AA7CD5" w:rsidP="008A6B75">
      <w:pPr>
        <w:spacing w:line="360" w:lineRule="auto"/>
        <w:rPr>
          <w:rFonts w:ascii="Times New Roman" w:hAnsi="Times New Roman" w:cs="Times New Roman"/>
        </w:rPr>
      </w:pPr>
    </w:p>
    <w:p w14:paraId="1C914B2C" w14:textId="77777777" w:rsidR="00AA7CD5" w:rsidRDefault="00AA7CD5" w:rsidP="008A6B75">
      <w:pPr>
        <w:spacing w:line="360" w:lineRule="auto"/>
        <w:rPr>
          <w:rFonts w:ascii="Times New Roman" w:hAnsi="Times New Roman" w:cs="Times New Roman"/>
        </w:rPr>
      </w:pPr>
    </w:p>
    <w:p w14:paraId="0CFDA2D1" w14:textId="77777777" w:rsidR="00AA7CD5" w:rsidRDefault="00AA7CD5" w:rsidP="008A6B75">
      <w:pPr>
        <w:spacing w:line="360" w:lineRule="auto"/>
        <w:rPr>
          <w:rFonts w:ascii="Times New Roman" w:hAnsi="Times New Roman" w:cs="Times New Roman"/>
        </w:rPr>
      </w:pPr>
    </w:p>
    <w:p w14:paraId="795BD881" w14:textId="77777777" w:rsidR="00AA7CD5" w:rsidRDefault="00AA7CD5" w:rsidP="008A6B75">
      <w:pPr>
        <w:spacing w:line="360" w:lineRule="auto"/>
        <w:rPr>
          <w:rFonts w:ascii="Times New Roman" w:hAnsi="Times New Roman" w:cs="Times New Roman"/>
        </w:rPr>
      </w:pPr>
    </w:p>
    <w:p w14:paraId="538DCFFD" w14:textId="77777777" w:rsidR="00AA7CD5" w:rsidRDefault="00AA7CD5" w:rsidP="008A6B75">
      <w:pPr>
        <w:spacing w:line="360" w:lineRule="auto"/>
        <w:rPr>
          <w:rFonts w:ascii="Times New Roman" w:hAnsi="Times New Roman" w:cs="Times New Roman"/>
        </w:rPr>
      </w:pPr>
    </w:p>
    <w:p w14:paraId="0270F1F5" w14:textId="77777777" w:rsidR="00AA7CD5" w:rsidRDefault="00AA7CD5" w:rsidP="008A6B75">
      <w:pPr>
        <w:spacing w:line="360" w:lineRule="auto"/>
        <w:rPr>
          <w:rFonts w:ascii="Times New Roman" w:hAnsi="Times New Roman" w:cs="Times New Roman"/>
        </w:rPr>
      </w:pPr>
    </w:p>
    <w:p w14:paraId="41FEFDB3" w14:textId="77777777" w:rsidR="00AA7CD5" w:rsidRDefault="00AA7CD5" w:rsidP="008A6B75">
      <w:pPr>
        <w:spacing w:line="360" w:lineRule="auto"/>
        <w:rPr>
          <w:rFonts w:ascii="Times New Roman" w:hAnsi="Times New Roman" w:cs="Times New Roman"/>
        </w:rPr>
      </w:pPr>
    </w:p>
    <w:p w14:paraId="6E57909F" w14:textId="77777777" w:rsidR="00AA7CD5" w:rsidRDefault="00AA7CD5" w:rsidP="008A6B75">
      <w:pPr>
        <w:spacing w:line="360" w:lineRule="auto"/>
        <w:rPr>
          <w:rFonts w:ascii="Times New Roman" w:hAnsi="Times New Roman" w:cs="Times New Roman"/>
        </w:rPr>
      </w:pPr>
    </w:p>
    <w:p w14:paraId="30541761" w14:textId="77777777" w:rsidR="00AA7CD5" w:rsidRDefault="00AA7CD5" w:rsidP="008A6B75">
      <w:pPr>
        <w:spacing w:line="360" w:lineRule="auto"/>
        <w:rPr>
          <w:rFonts w:ascii="Times New Roman" w:hAnsi="Times New Roman" w:cs="Times New Roman"/>
        </w:rPr>
      </w:pPr>
    </w:p>
    <w:p w14:paraId="2511A235" w14:textId="77777777" w:rsidR="00AA7CD5" w:rsidRDefault="00AA7CD5" w:rsidP="008A6B75">
      <w:pPr>
        <w:spacing w:line="360" w:lineRule="auto"/>
        <w:rPr>
          <w:rFonts w:ascii="Times New Roman" w:hAnsi="Times New Roman" w:cs="Times New Roman"/>
        </w:rPr>
      </w:pPr>
    </w:p>
    <w:p w14:paraId="3088870C" w14:textId="77777777" w:rsidR="00AA7CD5" w:rsidRDefault="00AA7CD5" w:rsidP="008A6B75">
      <w:pPr>
        <w:spacing w:line="360" w:lineRule="auto"/>
        <w:rPr>
          <w:rFonts w:ascii="Times New Roman" w:hAnsi="Times New Roman" w:cs="Times New Roman"/>
        </w:rPr>
      </w:pPr>
    </w:p>
    <w:p w14:paraId="00B1AF41" w14:textId="77777777" w:rsidR="00AA7CD5" w:rsidRDefault="00AA7CD5" w:rsidP="008A6B75">
      <w:pPr>
        <w:spacing w:line="360" w:lineRule="auto"/>
        <w:rPr>
          <w:rFonts w:ascii="Times New Roman" w:hAnsi="Times New Roman" w:cs="Times New Roman"/>
        </w:rPr>
      </w:pPr>
    </w:p>
    <w:p w14:paraId="3B9D0690" w14:textId="77777777" w:rsidR="00AA7CD5" w:rsidRDefault="00AA7CD5" w:rsidP="008A6B75">
      <w:pPr>
        <w:spacing w:line="360" w:lineRule="auto"/>
        <w:rPr>
          <w:rFonts w:ascii="Times New Roman" w:hAnsi="Times New Roman" w:cs="Times New Roman"/>
        </w:rPr>
      </w:pPr>
    </w:p>
    <w:p w14:paraId="121193C4" w14:textId="77777777" w:rsidR="00AA7CD5" w:rsidRDefault="00AA7CD5" w:rsidP="008A6B75">
      <w:pPr>
        <w:spacing w:line="360" w:lineRule="auto"/>
        <w:rPr>
          <w:rFonts w:ascii="Times New Roman" w:hAnsi="Times New Roman" w:cs="Times New Roman"/>
        </w:rPr>
      </w:pPr>
    </w:p>
    <w:p w14:paraId="475E6FCA" w14:textId="77777777" w:rsidR="00AA7CD5" w:rsidRDefault="00AA7CD5" w:rsidP="008A6B75">
      <w:pPr>
        <w:spacing w:line="360" w:lineRule="auto"/>
        <w:rPr>
          <w:rFonts w:ascii="Times New Roman" w:hAnsi="Times New Roman" w:cs="Times New Roman"/>
        </w:rPr>
      </w:pPr>
    </w:p>
    <w:p w14:paraId="0CF36AF5" w14:textId="77777777" w:rsidR="00AA7CD5" w:rsidRDefault="00AA7CD5" w:rsidP="008A6B75">
      <w:pPr>
        <w:spacing w:line="360" w:lineRule="auto"/>
        <w:rPr>
          <w:rFonts w:ascii="Times New Roman" w:hAnsi="Times New Roman" w:cs="Times New Roman"/>
        </w:rPr>
      </w:pPr>
    </w:p>
    <w:p w14:paraId="715AF2EC" w14:textId="77777777" w:rsidR="00AA7CD5" w:rsidRDefault="00AA7CD5" w:rsidP="008A6B75">
      <w:pPr>
        <w:spacing w:line="360" w:lineRule="auto"/>
        <w:rPr>
          <w:rFonts w:ascii="Times New Roman" w:hAnsi="Times New Roman" w:cs="Times New Roman"/>
        </w:rPr>
      </w:pPr>
    </w:p>
    <w:p w14:paraId="4926313C" w14:textId="77777777" w:rsidR="00AA7CD5" w:rsidRDefault="00AA7CD5" w:rsidP="008A6B75">
      <w:pPr>
        <w:spacing w:line="360" w:lineRule="auto"/>
        <w:rPr>
          <w:rFonts w:ascii="Times New Roman" w:hAnsi="Times New Roman" w:cs="Times New Roman"/>
        </w:rPr>
      </w:pPr>
    </w:p>
    <w:p w14:paraId="593B9B0B" w14:textId="77777777" w:rsidR="00AA7CD5" w:rsidRDefault="00AA7CD5" w:rsidP="008A6B75">
      <w:pPr>
        <w:spacing w:line="360" w:lineRule="auto"/>
        <w:rPr>
          <w:rFonts w:ascii="Times New Roman" w:hAnsi="Times New Roman" w:cs="Times New Roman"/>
        </w:rPr>
      </w:pPr>
    </w:p>
    <w:p w14:paraId="5EB7E370" w14:textId="77777777" w:rsidR="00AA7CD5" w:rsidRPr="00DF7C87" w:rsidRDefault="00AA7CD5" w:rsidP="008A6B75">
      <w:pPr>
        <w:spacing w:line="360" w:lineRule="auto"/>
        <w:rPr>
          <w:rFonts w:ascii="Times New Roman" w:hAnsi="Times New Roman" w:cs="Times New Roman"/>
        </w:rPr>
      </w:pPr>
    </w:p>
    <w:p w14:paraId="4F9D35D9" w14:textId="77777777" w:rsidR="00AA7CD5" w:rsidRPr="00396ACF" w:rsidRDefault="00AA7CD5" w:rsidP="008A6B75">
      <w:pPr>
        <w:pStyle w:val="Heading2"/>
        <w:spacing w:line="360" w:lineRule="auto"/>
        <w:rPr>
          <w:rFonts w:ascii="Times New Roman" w:hAnsi="Times New Roman" w:cs="Times New Roman"/>
          <w:sz w:val="24"/>
          <w:szCs w:val="24"/>
        </w:rPr>
      </w:pPr>
      <w:bookmarkStart w:id="45" w:name="_Toc139831943"/>
      <w:bookmarkStart w:id="46" w:name="_Toc151023693"/>
      <w:r w:rsidRPr="00396ACF">
        <w:rPr>
          <w:rFonts w:ascii="Times New Roman" w:hAnsi="Times New Roman" w:cs="Times New Roman"/>
          <w:sz w:val="24"/>
          <w:szCs w:val="24"/>
        </w:rPr>
        <w:lastRenderedPageBreak/>
        <w:t>Introduction/Extension Overview</w:t>
      </w:r>
      <w:bookmarkEnd w:id="45"/>
      <w:bookmarkEnd w:id="46"/>
    </w:p>
    <w:p w14:paraId="5D27B0D4"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In 1862 the Agricultural Colleges Act, more commonly known as the Morrill Act was adopted. This piece of legislation provided funding, land acreage, and resources to implement higher education institutions geared towards “the common man.” Such institutions had the goal of providing practical skills and knowledge to those individuals who sought education and careers in the fields of agriculture, military sciences, and mechanics </w:t>
      </w:r>
      <w:r>
        <w:rPr>
          <w:rFonts w:ascii="Times New Roman" w:hAnsi="Times New Roman" w:cs="Times New Roman"/>
        </w:rPr>
        <w:fldChar w:fldCharType="begin"/>
      </w:r>
      <w:r>
        <w:rPr>
          <w:rFonts w:ascii="Times New Roman" w:hAnsi="Times New Roman" w:cs="Times New Roman"/>
        </w:rPr>
        <w:instrText xml:space="preserve"> ADDIN EN.CITE &lt;EndNote&gt;&lt;Cite&gt;&lt;Author&gt;Duemer&lt;/Author&gt;&lt;Year&gt;2007&lt;/Year&gt;&lt;RecNum&gt;29&lt;/RecNum&gt;&lt;DisplayText&gt;(Duemer, 2007)&lt;/DisplayText&gt;&lt;record&gt;&lt;rec-number&gt;29&lt;/rec-number&gt;&lt;foreign-keys&gt;&lt;key app="EN" db-id="xxs5w29drx0waserr05599fudw0rtv2p2vew" timestamp="1676906790"&gt;29&lt;/key&gt;&lt;/foreign-keys&gt;&lt;ref-type name="Journal Article"&gt;17&lt;/ref-type&gt;&lt;contributors&gt;&lt;authors&gt;&lt;author&gt;Duemer, Lee S&lt;/author&gt;&lt;/authors&gt;&lt;/contributors&gt;&lt;titles&gt;&lt;title&gt;The agricultural education origins of the Morrill Land Grant Act of 1862&lt;/title&gt;&lt;secondary-title&gt;American Educational History Journal&lt;/secondary-title&gt;&lt;/titles&gt;&lt;periodical&gt;&lt;full-title&gt;American Educational History Journal&lt;/full-title&gt;&lt;/periodical&gt;&lt;pages&gt;135-146&lt;/pages&gt;&lt;volume&gt;34&lt;/volume&gt;&lt;number&gt;1&lt;/number&gt;&lt;dates&gt;&lt;year&gt;2007&lt;/year&gt;&lt;/dates&gt;&lt;isbn&gt;159311768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(Duemer, 2007)</w:t>
      </w:r>
      <w:r>
        <w:rPr>
          <w:rFonts w:ascii="Times New Roman" w:hAnsi="Times New Roman" w:cs="Times New Roman"/>
        </w:rPr>
        <w:fldChar w:fldCharType="end"/>
      </w:r>
      <w:r>
        <w:rPr>
          <w:rFonts w:ascii="Times New Roman" w:hAnsi="Times New Roman" w:cs="Times New Roman"/>
        </w:rPr>
        <w:t xml:space="preserve">. This led to the creation of Extension components of land-grant institutions that aimed to equip students with the knowledge and skills to solve everyday problems </w:t>
      </w:r>
      <w:r>
        <w:rPr>
          <w:rFonts w:ascii="Times New Roman" w:hAnsi="Times New Roman" w:cs="Times New Roman"/>
        </w:rPr>
        <w:fldChar w:fldCharType="begin"/>
      </w:r>
      <w:r>
        <w:rPr>
          <w:rFonts w:ascii="Times New Roman" w:hAnsi="Times New Roman" w:cs="Times New Roman"/>
        </w:rPr>
        <w:instrText xml:space="preserve"> ADDIN EN.CITE &lt;EndNote&gt;&lt;Cite&gt;&lt;Author&gt;McDowell&lt;/Author&gt;&lt;Year&gt;2001&lt;/Year&gt;&lt;RecNum&gt;30&lt;/RecNum&gt;&lt;DisplayText&gt;(McDowell, 2001)&lt;/DisplayText&gt;&lt;record&gt;&lt;rec-number&gt;30&lt;/rec-number&gt;&lt;foreign-keys&gt;&lt;key app="EN" db-id="xxs5w29drx0waserr05599fudw0rtv2p2vew" timestamp="1676907580"&gt;30&lt;/key&gt;&lt;/foreign-keys&gt;&lt;ref-type name="Book"&gt;6&lt;/ref-type&gt;&lt;contributors&gt;&lt;authors&gt;&lt;author&gt;McDowell, George R&lt;/author&gt;&lt;/authors&gt;&lt;/contributors&gt;&lt;titles&gt;&lt;title&gt;Land-Grant Universities and Extension into the 21st Century: Renegotiating or Abandoning a Social Contract&lt;/title&gt;&lt;/titles&gt;&lt;dates&gt;&lt;year&gt;2001&lt;/year&gt;&lt;/dates&gt;&lt;publisher&gt;ERIC&lt;/publisher&gt;&lt;isbn&gt;0813819148&lt;/isbn&gt;&lt;urls&gt;&lt;/urls&gt;&lt;/record&gt;&lt;/Cite&gt;&lt;/EndNote&gt;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(McDowell, 2001)</w:t>
      </w:r>
      <w:r>
        <w:rPr>
          <w:rFonts w:ascii="Times New Roman" w:hAnsi="Times New Roman" w:cs="Times New Roman"/>
        </w:rPr>
        <w:fldChar w:fldCharType="end"/>
      </w:r>
      <w:r>
        <w:rPr>
          <w:rFonts w:ascii="Times New Roman" w:hAnsi="Times New Roman" w:cs="Times New Roman"/>
        </w:rPr>
        <w:t>. Each land-grant institution and therefore each state has a slightly different extension model. Agriculture and Natural Resources (ANR), 4-H Youth Development (4-H), Community Economic Development (CED), and Family and Consumer Sciences (FCS) are the four sectors that make up the University of Tennessee Extension model. Each of Tennessee’s ninety-five counties contains an Extension office with agents representing each of the aforementioned sectors. This model serves youth by creating personal development opportunities for youth across a variety of project areas. However, differing agent background and knowledge areas pose challenges to implementing successful programming in all topic areas for each county. Thus, in some circumstances, volunteers may be needed to aid in diversifying the available educational opportunities for youth.</w:t>
      </w:r>
    </w:p>
    <w:p w14:paraId="56B79D8A" w14:textId="77777777" w:rsidR="00AA7CD5" w:rsidRDefault="00AA7CD5" w:rsidP="008A6B75">
      <w:pPr>
        <w:spacing w:line="360" w:lineRule="auto"/>
        <w:rPr>
          <w:rFonts w:ascii="Times New Roman" w:hAnsi="Times New Roman" w:cs="Times New Roman"/>
        </w:rPr>
      </w:pPr>
    </w:p>
    <w:p w14:paraId="5D239FE2" w14:textId="77777777" w:rsidR="00AA7CD5" w:rsidRPr="00396ACF" w:rsidRDefault="00AA7CD5" w:rsidP="008A6B75">
      <w:pPr>
        <w:pStyle w:val="Heading2"/>
        <w:spacing w:line="360" w:lineRule="auto"/>
        <w:rPr>
          <w:rFonts w:ascii="Times New Roman" w:hAnsi="Times New Roman" w:cs="Times New Roman"/>
          <w:sz w:val="24"/>
          <w:szCs w:val="24"/>
        </w:rPr>
      </w:pPr>
      <w:bookmarkStart w:id="47" w:name="_Toc139831944"/>
      <w:bookmarkStart w:id="48" w:name="_Toc151023694"/>
      <w:r w:rsidRPr="00396ACF">
        <w:rPr>
          <w:rFonts w:ascii="Times New Roman" w:hAnsi="Times New Roman" w:cs="Times New Roman"/>
          <w:sz w:val="24"/>
          <w:szCs w:val="24"/>
        </w:rPr>
        <w:t>Education Strategies</w:t>
      </w:r>
      <w:bookmarkEnd w:id="47"/>
      <w:bookmarkEnd w:id="48"/>
      <w:r w:rsidRPr="00396ACF">
        <w:rPr>
          <w:rFonts w:ascii="Times New Roman" w:hAnsi="Times New Roman" w:cs="Times New Roman"/>
          <w:sz w:val="24"/>
          <w:szCs w:val="24"/>
        </w:rPr>
        <w:tab/>
      </w:r>
      <w:r w:rsidRPr="00396ACF">
        <w:rPr>
          <w:rFonts w:ascii="Times New Roman" w:hAnsi="Times New Roman" w:cs="Times New Roman"/>
          <w:sz w:val="24"/>
          <w:szCs w:val="24"/>
        </w:rPr>
        <w:tab/>
      </w:r>
    </w:p>
    <w:p w14:paraId="3AB97865"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Cooperative Extension Services provide educational programming for a multitude of audiences across adult and youth demographics. Programs aim to increase the knowledge and skill sets of agricultural producers, the general public, and youth by taking science-based information and delivering it in a way that is easily understood and applied by target demographics.  County agents work alongside state-level specialists and community volunteers to implement topic-specific educational programming in their counties for youth and adults alike.</w:t>
      </w:r>
    </w:p>
    <w:p w14:paraId="784C859E" w14:textId="77777777" w:rsidR="00AA7CD5" w:rsidRDefault="00AA7CD5" w:rsidP="008A6B75">
      <w:pPr>
        <w:spacing w:line="360" w:lineRule="auto"/>
        <w:rPr>
          <w:rFonts w:ascii="Times New Roman" w:hAnsi="Times New Roman" w:cs="Times New Roman"/>
        </w:rPr>
      </w:pPr>
    </w:p>
    <w:p w14:paraId="2AAEF0D1" w14:textId="77777777" w:rsidR="00AA7CD5" w:rsidRPr="00396ACF" w:rsidRDefault="00AA7CD5" w:rsidP="008A6B75">
      <w:pPr>
        <w:pStyle w:val="Heading3"/>
        <w:spacing w:line="360" w:lineRule="auto"/>
        <w:rPr>
          <w:rFonts w:ascii="Times New Roman" w:hAnsi="Times New Roman" w:cs="Times New Roman"/>
        </w:rPr>
      </w:pPr>
      <w:bookmarkStart w:id="49" w:name="_Toc151023695"/>
      <w:r w:rsidRPr="00396ACF">
        <w:rPr>
          <w:rFonts w:ascii="Times New Roman" w:hAnsi="Times New Roman" w:cs="Times New Roman"/>
        </w:rPr>
        <w:lastRenderedPageBreak/>
        <w:t>Online Learning</w:t>
      </w:r>
      <w:bookmarkEnd w:id="49"/>
    </w:p>
    <w:p w14:paraId="1459437E"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Continuing advancements in technology along with lingering effects of COVID-19 have resulted in the increased popularity and use of online learning over the past several years </w:t>
      </w:r>
      <w:r>
        <w:rPr>
          <w:rFonts w:ascii="Times New Roman" w:hAnsi="Times New Roman" w:cs="Times New Roman"/>
        </w:rPr>
        <w:fldChar w:fldCharType="begin"/>
      </w:r>
      <w:r>
        <w:rPr>
          <w:rFonts w:ascii="Times New Roman" w:hAnsi="Times New Roman" w:cs="Times New Roman"/>
        </w:rPr>
        <w:instrText xml:space="preserve"> ADDIN EN.CITE &lt;EndNote&gt;&lt;Cite&gt;&lt;Author&gt;Huang&lt;/Author&gt;&lt;Year&gt;2020&lt;/Year&gt;&lt;RecNum&gt;26&lt;/RecNum&gt;&lt;DisplayText&gt;(Huang, 2020)&lt;/DisplayText&gt;&lt;record&gt;&lt;rec-number&gt;26&lt;/rec-number&gt;&lt;foreign-keys&gt;&lt;key app="EN" db-id="xxs5w29drx0waserr05599fudw0rtv2p2vew" timestamp="1675105431"&gt;26&lt;/key&gt;&lt;/foreign-keys&gt;&lt;ref-type name="Journal Article"&gt;17&lt;/ref-type&gt;&lt;contributors&gt;&lt;authors&gt;&lt;author&gt;Huang, Jie&lt;/author&gt;&lt;/authors&gt;&lt;/contributors&gt;&lt;titles&gt;&lt;title&gt;Successes and Challenges: Online Teaching and Learning of Chemistry in Higher Education in China in the Time of COVID-19&lt;/title&gt;&lt;secondary-title&gt;Journal of Chemical Education&lt;/secondary-title&gt;&lt;/titles&gt;&lt;periodical&gt;&lt;full-title&gt;Journal of Chemical Education&lt;/full-title&gt;&lt;/periodical&gt;&lt;pages&gt;2810-2814&lt;/pages&gt;&lt;volume&gt;97&lt;/volume&gt;&lt;number&gt;9&lt;/number&gt;&lt;dates&gt;&lt;year&gt;2020&lt;/year&gt;&lt;/dates&gt;&lt;publisher&gt;American Chemical Society (ACS)&lt;/publisher&gt;&lt;isbn&gt;0021-9584&lt;/isbn&gt;&lt;urls&gt;&lt;related-urls&gt;&lt;url&gt;https://dx.doi.org/10.1021/acs.jchemed.0c00671&lt;/url&gt;&lt;/related-urls&gt;&lt;/urls&gt;&lt;electronic-resource-num&gt;10.1021/acs.jchemed.0c00671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(Huang, 2020)</w:t>
      </w:r>
      <w:r>
        <w:rPr>
          <w:rFonts w:ascii="Times New Roman" w:hAnsi="Times New Roman" w:cs="Times New Roman"/>
        </w:rPr>
        <w:fldChar w:fldCharType="end"/>
      </w:r>
      <w:r>
        <w:rPr>
          <w:rFonts w:ascii="Times New Roman" w:hAnsi="Times New Roman" w:cs="Times New Roman"/>
        </w:rPr>
        <w:t xml:space="preserve">. Overall post-secondary education enrollment has seen some decline while distance learning courses have seen an increase in enrollment </w:t>
      </w:r>
      <w:r>
        <w:rPr>
          <w:rFonts w:ascii="Times New Roman" w:hAnsi="Times New Roman" w:cs="Times New Roman"/>
        </w:rPr>
        <w:fldChar w:fldCharType="begin"/>
      </w:r>
      <w:r>
        <w:rPr>
          <w:rFonts w:ascii="Times New Roman" w:hAnsi="Times New Roman" w:cs="Times New Roman"/>
        </w:rPr>
        <w:instrText xml:space="preserve"> ADDIN EN.CITE &lt;EndNote&gt;&lt;Cite&gt;&lt;Author&gt;Allen&lt;/Author&gt;&lt;Year&gt;2013&lt;/Year&gt;&lt;RecNum&gt;37&lt;/RecNum&gt;&lt;DisplayText&gt;(Allen &amp;amp; Seaman, 2013)&lt;/DisplayText&gt;&lt;record&gt;&lt;rec-number&gt;37&lt;/rec-number&gt;&lt;foreign-keys&gt;&lt;key app="EN" db-id="xxs5w29drx0waserr05599fudw0rtv2p2vew" timestamp="1676989414"&gt;37&lt;/key&gt;&lt;/foreign-keys&gt;&lt;ref-type name="Book"&gt;6&lt;/ref-type&gt;&lt;contributors&gt;&lt;authors&gt;&lt;author&gt;Allen, I Elaine&lt;/author&gt;&lt;author&gt;Seaman, Jeff&lt;/author&gt;&lt;/authors&gt;&lt;/contributors&gt;&lt;titles&gt;&lt;title&gt;Changing course: Ten years of tracking online education in the United States&lt;/title&gt;&lt;/titles&gt;&lt;dates&gt;&lt;year&gt;2013&lt;/year&gt;&lt;/dates&gt;&lt;publisher&gt;ERIC&lt;/publisher&gt;&lt;isbn&gt;0984028838&lt;/isbn&gt;&lt;urls&gt;&lt;/urls&gt;&lt;/record&gt;&lt;/Cite&gt;&lt;/EndNote&gt;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(Allen &amp; Seaman, 2013)</w:t>
      </w:r>
      <w:r>
        <w:rPr>
          <w:rFonts w:ascii="Times New Roman" w:hAnsi="Times New Roman" w:cs="Times New Roman"/>
        </w:rPr>
        <w:fldChar w:fldCharType="end"/>
      </w:r>
      <w:r>
        <w:rPr>
          <w:rFonts w:ascii="Times New Roman" w:hAnsi="Times New Roman" w:cs="Times New Roman"/>
        </w:rPr>
        <w:t xml:space="preserve">. With this drastic change in the dynamics of public and higher education comes the challenge of finding and executing effective techniques in regard to online instruction </w:t>
      </w:r>
      <w:r>
        <w:rPr>
          <w:rFonts w:ascii="Times New Roman" w:hAnsi="Times New Roman" w:cs="Times New Roman"/>
        </w:rPr>
        <w:fldChar w:fldCharType="begin"/>
      </w:r>
      <w:r>
        <w:rPr>
          <w:rFonts w:ascii="Times New Roman" w:hAnsi="Times New Roman" w:cs="Times New Roman"/>
        </w:rPr>
        <w:instrText xml:space="preserve"> ADDIN EN.CITE &lt;EndNote&gt;&lt;Cite&gt;&lt;Author&gt;Adedoyin&lt;/Author&gt;&lt;Year&gt;2020&lt;/Year&gt;&lt;RecNum&gt;31&lt;/RecNum&gt;&lt;DisplayText&gt;(Adedoyin &amp;amp; Soykan, 2020)&lt;/DisplayText&gt;&lt;record&gt;&lt;rec-number&gt;31&lt;/rec-number&gt;&lt;foreign-keys&gt;&lt;key app="EN" db-id="xxs5w29drx0waserr05599fudw0rtv2p2vew" timestamp="1676920498"&gt;31&lt;/key&gt;&lt;/foreign-keys&gt;&lt;ref-type name="Journal Article"&gt;17&lt;/ref-type&gt;&lt;contributors&gt;&lt;authors&gt;&lt;author&gt;Adedoyin, Olasile Babatunde&lt;/author&gt;&lt;author&gt;Soykan, Emrah&lt;/author&gt;&lt;/authors&gt;&lt;/contributors&gt;&lt;titles&gt;&lt;title&gt;Covid-19 pandemic and online learning: the challenges and opportunities&lt;/title&gt;&lt;secondary-title&gt;Interactive Learning Environments&lt;/secondary-title&gt;&lt;/titles&gt;&lt;periodical&gt;&lt;full-title&gt;Interactive Learning Environments&lt;/full-title&gt;&lt;/periodical&gt;&lt;pages&gt;1-13&lt;/pages&gt;&lt;dates&gt;&lt;year&gt;2020&lt;/year&gt;&lt;/dates&gt;&lt;publisher&gt;Informa UK Limited&lt;/publisher&gt;&lt;isbn&gt;1049-4820&lt;/isbn&gt;&lt;urls&gt;&lt;related-urls&gt;&lt;url&gt;https://dx.doi.org/10.1080/10494820.2020.1813180&lt;/url&gt;&lt;/related-urls&gt;&lt;/urls&gt;&lt;electronic-resource-num&gt;10.1080/10494820.2020.1813180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(Adedoyin &amp; Soykan, 2020)</w:t>
      </w:r>
      <w:r>
        <w:rPr>
          <w:rFonts w:ascii="Times New Roman" w:hAnsi="Times New Roman" w:cs="Times New Roman"/>
        </w:rPr>
        <w:fldChar w:fldCharType="end"/>
      </w:r>
      <w:r>
        <w:rPr>
          <w:rFonts w:ascii="Times New Roman" w:hAnsi="Times New Roman" w:cs="Times New Roman"/>
        </w:rPr>
        <w:t xml:space="preserve">. Commonly, online learning methods are categorized as either synchronous or asynchronous </w:t>
      </w:r>
      <w:r>
        <w:rPr>
          <w:rFonts w:ascii="Times New Roman" w:hAnsi="Times New Roman" w:cs="Times New Roman"/>
        </w:rPr>
        <w:fldChar w:fldCharType="begin"/>
      </w:r>
      <w:r>
        <w:rPr>
          <w:rFonts w:ascii="Times New Roman" w:hAnsi="Times New Roman" w:cs="Times New Roman"/>
        </w:rPr>
        <w:instrText xml:space="preserve"> ADDIN EN.CITE &lt;EndNote&gt;&lt;Cite&gt;&lt;Author&gt;Hrastinski&lt;/Author&gt;&lt;Year&gt;2008&lt;/Year&gt;&lt;RecNum&gt;33&lt;/RecNum&gt;&lt;DisplayText&gt;(Hrastinski, 2008)&lt;/DisplayText&gt;&lt;record&gt;&lt;rec-number&gt;33&lt;/rec-number&gt;&lt;foreign-keys&gt;&lt;key app="EN" db-id="xxs5w29drx0waserr05599fudw0rtv2p2vew" timestamp="1676921036"&gt;33&lt;/key&gt;&lt;/foreign-keys&gt;&lt;ref-type name="Journal Article"&gt;17&lt;/ref-type&gt;&lt;contributors&gt;&lt;authors&gt;&lt;author&gt;Hrastinski, Stefan&lt;/author&gt;&lt;/authors&gt;&lt;/contributors&gt;&lt;titles&gt;&lt;title&gt;Asynchronous and synchronous e-learning&lt;/title&gt;&lt;secondary-title&gt;Educause quarterly&lt;/secondary-title&gt;&lt;/titles&gt;&lt;periodical&gt;&lt;full-title&gt;Educause quarterly&lt;/full-title&gt;&lt;/periodical&gt;&lt;pages&gt;51-55&lt;/pages&gt;&lt;volume&gt;31&lt;/volume&gt;&lt;number&gt;4&lt;/number&gt;&lt;dates&gt;&lt;year&gt;2008&lt;/year&gt;&lt;/dates&gt;&lt;isbn&gt;1528-5324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(Hrastinski, 2008)</w:t>
      </w:r>
      <w:r>
        <w:rPr>
          <w:rFonts w:ascii="Times New Roman" w:hAnsi="Times New Roman" w:cs="Times New Roman"/>
        </w:rPr>
        <w:fldChar w:fldCharType="end"/>
      </w:r>
      <w:r>
        <w:rPr>
          <w:rFonts w:ascii="Times New Roman" w:hAnsi="Times New Roman" w:cs="Times New Roman"/>
        </w:rPr>
        <w:t xml:space="preserve">.  With an asynchronous learning model, educators utilize tools including email and online discussion boards to allow students to interact with one another and the instructor while completing assignments without being online simultaneously </w:t>
      </w:r>
      <w:r>
        <w:rPr>
          <w:rFonts w:ascii="Times New Roman" w:hAnsi="Times New Roman" w:cs="Times New Roman"/>
        </w:rPr>
        <w:fldChar w:fldCharType="begin"/>
      </w:r>
      <w:r>
        <w:rPr>
          <w:rFonts w:ascii="Times New Roman" w:hAnsi="Times New Roman" w:cs="Times New Roman"/>
        </w:rPr>
        <w:instrText xml:space="preserve"> ADDIN EN.CITE &lt;EndNote&gt;&lt;Cite&gt;&lt;Author&gt;Hrastinski&lt;/Author&gt;&lt;Year&gt;2008&lt;/Year&gt;&lt;RecNum&gt;33&lt;/RecNum&gt;&lt;DisplayText&gt;(Hrastinski, 2008)&lt;/DisplayText&gt;&lt;record&gt;&lt;rec-number&gt;33&lt;/rec-number&gt;&lt;foreign-keys&gt;&lt;key app="EN" db-id="xxs5w29drx0waserr05599fudw0rtv2p2vew" timestamp="1676921036"&gt;33&lt;/key&gt;&lt;/foreign-keys&gt;&lt;ref-type name="Journal Article"&gt;17&lt;/ref-type&gt;&lt;contributors&gt;&lt;authors&gt;&lt;author&gt;Hrastinski, Stefan&lt;/author&gt;&lt;/authors&gt;&lt;/contributors&gt;&lt;titles&gt;&lt;title&gt;Asynchronous and synchronous e-learning&lt;/title&gt;&lt;secondary-title&gt;Educause quarterly&lt;/secondary-title&gt;&lt;/titles&gt;&lt;periodical&gt;&lt;full-title&gt;Educause quarterly&lt;/full-title&gt;&lt;/periodical&gt;&lt;pages&gt;51-55&lt;/pages&gt;&lt;volume&gt;31&lt;/volume&gt;&lt;number&gt;4&lt;/number&gt;&lt;dates&gt;&lt;year&gt;2008&lt;/year&gt;&lt;/dates&gt;&lt;isbn&gt;1528-5324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(Hrastinski, 2008)</w:t>
      </w:r>
      <w:r>
        <w:rPr>
          <w:rFonts w:ascii="Times New Roman" w:hAnsi="Times New Roman" w:cs="Times New Roman"/>
        </w:rPr>
        <w:fldChar w:fldCharType="end"/>
      </w:r>
      <w:r>
        <w:rPr>
          <w:rFonts w:ascii="Times New Roman" w:hAnsi="Times New Roman" w:cs="Times New Roman"/>
        </w:rPr>
        <w:t xml:space="preserve">. On the other hand, a synchronous learning model utilizes online conferencing software such as Zoom to allow students to attend class remotely but without sacrificing the social interaction of an in-person learning atmosphere </w:t>
      </w:r>
      <w:r>
        <w:rPr>
          <w:rFonts w:ascii="Times New Roman" w:hAnsi="Times New Roman" w:cs="Times New Roman"/>
        </w:rPr>
        <w:fldChar w:fldCharType="begin"/>
      </w:r>
      <w:r>
        <w:rPr>
          <w:rFonts w:ascii="Times New Roman" w:hAnsi="Times New Roman" w:cs="Times New Roman"/>
        </w:rPr>
        <w:instrText xml:space="preserve"> ADDIN EN.CITE &lt;EndNote&gt;&lt;Cite&gt;&lt;Author&gt;Hrastinski&lt;/Author&gt;&lt;Year&gt;2008&lt;/Year&gt;&lt;RecNum&gt;33&lt;/RecNum&gt;&lt;DisplayText&gt;(Hrastinski, 2008)&lt;/DisplayText&gt;&lt;record&gt;&lt;rec-number&gt;33&lt;/rec-number&gt;&lt;foreign-keys&gt;&lt;key app="EN" db-id="xxs5w29drx0waserr05599fudw0rtv2p2vew" timestamp="1676921036"&gt;33&lt;/key&gt;&lt;/foreign-keys&gt;&lt;ref-type name="Journal Article"&gt;17&lt;/ref-type&gt;&lt;contributors&gt;&lt;authors&gt;&lt;author&gt;Hrastinski, Stefan&lt;/author&gt;&lt;/authors&gt;&lt;/contributors&gt;&lt;titles&gt;&lt;title&gt;Asynchronous and synchronous e-learning&lt;/title&gt;&lt;secondary-title&gt;Educause quarterly&lt;/secondary-title&gt;&lt;/titles&gt;&lt;periodical&gt;&lt;full-title&gt;Educause quarterly&lt;/full-title&gt;&lt;/periodical&gt;&lt;pages&gt;51-55&lt;/pages&gt;&lt;volume&gt;31&lt;/volume&gt;&lt;number&gt;4&lt;/number&gt;&lt;dates&gt;&lt;year&gt;2008&lt;/year&gt;&lt;/dates&gt;&lt;isbn&gt;1528-5324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(Hrastinski, 2008)</w:t>
      </w:r>
      <w:r>
        <w:rPr>
          <w:rFonts w:ascii="Times New Roman" w:hAnsi="Times New Roman" w:cs="Times New Roman"/>
        </w:rPr>
        <w:fldChar w:fldCharType="end"/>
      </w:r>
      <w:r>
        <w:rPr>
          <w:rFonts w:ascii="Times New Roman" w:hAnsi="Times New Roman" w:cs="Times New Roman"/>
        </w:rPr>
        <w:t xml:space="preserve">. When implemented properly, certain techniques can prove very beneficial to the effectiveness and success of online learning platforms. In order for an online course to be effective, it must be user friendly </w:t>
      </w:r>
      <w:r>
        <w:rPr>
          <w:rFonts w:ascii="Times New Roman" w:hAnsi="Times New Roman" w:cs="Times New Roman"/>
        </w:rPr>
        <w:fldChar w:fldCharType="begin"/>
      </w:r>
      <w:r>
        <w:rPr>
          <w:rFonts w:ascii="Times New Roman" w:hAnsi="Times New Roman" w:cs="Times New Roman"/>
        </w:rPr>
        <w:instrText xml:space="preserve"> ADDIN EN.CITE &lt;EndNote&gt;&lt;Cite&gt;&lt;Author&gt;Cantrell&lt;/Author&gt;&lt;Year&gt;2008&lt;/Year&gt;&lt;RecNum&gt;21&lt;/RecNum&gt;&lt;DisplayText&gt;(Cantrell et al., 2008)&lt;/DisplayText&gt;&lt;record&gt;&lt;rec-number&gt;21&lt;/rec-number&gt;&lt;foreign-keys&gt;&lt;key app="EN" db-id="xxs5w29drx0waserr05599fudw0rtv2p2vew" timestamp="1675104078"&gt;21&lt;/key&gt;&lt;/foreign-keys&gt;&lt;ref-type name="Journal Article"&gt;17&lt;/ref-type&gt;&lt;contributors&gt;&lt;authors&gt;&lt;author&gt;Cantrell, SW&lt;/author&gt;&lt;author&gt;O&amp;apos;Leary, P&lt;/author&gt;&lt;author&gt;Ward, KS&lt;/author&gt;&lt;/authors&gt;&lt;/contributors&gt;&lt;titles&gt;&lt;title&gt;Strategies for success in online learning&lt;/title&gt;&lt;secondary-title&gt;The Nursing Clinics of North America&lt;/secondary-title&gt;&lt;/titles&gt;&lt;periodical&gt;&lt;full-title&gt;The Nursing Clinics of North America&lt;/full-title&gt;&lt;/periodical&gt;&lt;pages&gt;547-55, vi&lt;/pages&gt;&lt;volume&gt;43&lt;/volume&gt;&lt;number&gt;4&lt;/number&gt;&lt;dates&gt;&lt;year&gt;2008&lt;/year&gt;&lt;/dates&gt;&lt;isbn&gt;0029-6465&lt;/isbn&gt;&lt;urls&gt;&lt;/urls&gt;&lt;/record&gt;&lt;/Cite&gt;&lt;/EndNote&gt;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(Cantrell et al., 2008)</w:t>
      </w:r>
      <w:r>
        <w:rPr>
          <w:rFonts w:ascii="Times New Roman" w:hAnsi="Times New Roman" w:cs="Times New Roman"/>
        </w:rPr>
        <w:fldChar w:fldCharType="end"/>
      </w:r>
      <w:r>
        <w:rPr>
          <w:rFonts w:ascii="Times New Roman" w:hAnsi="Times New Roman" w:cs="Times New Roman"/>
        </w:rPr>
        <w:t xml:space="preserve">. Designing the site to suite computer users of all skill levels, implementing a variety of learning tools (discussion boards, online quizzes, chat rooms, etc.), providing teaching personnel that respond to student questions in a timely fashion, and clearly outlining course expectations are several key factors that contribute to the success of an online learning platform </w:t>
      </w:r>
      <w:r>
        <w:rPr>
          <w:rFonts w:ascii="Times New Roman" w:hAnsi="Times New Roman" w:cs="Times New Roman"/>
        </w:rPr>
        <w:fldChar w:fldCharType="begin"/>
      </w:r>
      <w:r>
        <w:rPr>
          <w:rFonts w:ascii="Times New Roman" w:hAnsi="Times New Roman" w:cs="Times New Roman"/>
        </w:rPr>
        <w:instrText xml:space="preserve"> ADDIN EN.CITE &lt;EndNote&gt;&lt;Cite&gt;&lt;Author&gt;Cantrell&lt;/Author&gt;&lt;Year&gt;2008&lt;/Year&gt;&lt;RecNum&gt;21&lt;/RecNum&gt;&lt;DisplayText&gt;(Cantrell et al., 2008)&lt;/DisplayText&gt;&lt;record&gt;&lt;rec-number&gt;21&lt;/rec-number&gt;&lt;foreign-keys&gt;&lt;key app="EN" db-id="xxs5w29drx0waserr05599fudw0rtv2p2vew" timestamp="1675104078"&gt;21&lt;/key&gt;&lt;/foreign-keys&gt;&lt;ref-type name="Journal Article"&gt;17&lt;/ref-type&gt;&lt;contributors&gt;&lt;authors&gt;&lt;author&gt;Cantrell, SW&lt;/author&gt;&lt;author&gt;O&amp;apos;Leary, P&lt;/author&gt;&lt;author&gt;Ward, KS&lt;/author&gt;&lt;/authors&gt;&lt;/contributors&gt;&lt;titles&gt;&lt;title&gt;Strategies for success in online learning&lt;/title&gt;&lt;secondary-title&gt;The Nursing Clinics of North America&lt;/secondary-title&gt;&lt;/titles&gt;&lt;periodical&gt;&lt;full-title&gt;The Nursing Clinics of North America&lt;/full-title&gt;&lt;/periodical&gt;&lt;pages&gt;547-55, vi&lt;/pages&gt;&lt;volume&gt;43&lt;/volume&gt;&lt;number&gt;4&lt;/number&gt;&lt;dates&gt;&lt;year&gt;2008&lt;/year&gt;&lt;/dates&gt;&lt;isbn&gt;0029-6465&lt;/isbn&gt;&lt;urls&gt;&lt;/urls&gt;&lt;/record&gt;&lt;/Cite&gt;&lt;/EndNote&gt;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(Cantrell et al., 2008)</w:t>
      </w:r>
      <w:r>
        <w:rPr>
          <w:rFonts w:ascii="Times New Roman" w:hAnsi="Times New Roman" w:cs="Times New Roman"/>
        </w:rPr>
        <w:fldChar w:fldCharType="end"/>
      </w:r>
      <w:r>
        <w:rPr>
          <w:rFonts w:ascii="Times New Roman" w:hAnsi="Times New Roman" w:cs="Times New Roman"/>
        </w:rPr>
        <w:t xml:space="preserve">. </w:t>
      </w:r>
    </w:p>
    <w:p w14:paraId="3F7EE9C7" w14:textId="77777777" w:rsidR="00AA7CD5" w:rsidRDefault="00AA7CD5" w:rsidP="008A6B75">
      <w:pPr>
        <w:spacing w:line="360" w:lineRule="auto"/>
        <w:rPr>
          <w:rFonts w:ascii="Times New Roman" w:hAnsi="Times New Roman" w:cs="Times New Roman"/>
        </w:rPr>
      </w:pPr>
    </w:p>
    <w:p w14:paraId="02DB4932"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In a study conducted by the School of Business at Madonna University, students were subjected to either an online and asynchronous course model or a fully face-to-face model where both courses were taught the same material by the same instructor </w:t>
      </w:r>
      <w:r>
        <w:rPr>
          <w:rFonts w:ascii="Times New Roman" w:hAnsi="Times New Roman" w:cs="Times New Roman"/>
        </w:rPr>
        <w:fldChar w:fldCharType="begin"/>
      </w:r>
      <w:r>
        <w:rPr>
          <w:rFonts w:ascii="Times New Roman" w:hAnsi="Times New Roman" w:cs="Times New Roman"/>
        </w:rPr>
        <w:instrText xml:space="preserve"> ADDIN EN.CITE &lt;EndNote&gt;&lt;Cite&gt;&lt;Author&gt;Neuhauser&lt;/Author&gt;&lt;Year&gt;2002&lt;/Year&gt;&lt;RecNum&gt;23&lt;/RecNum&gt;&lt;DisplayText&gt;(Neuhauser, 2002)&lt;/DisplayText&gt;&lt;record&gt;&lt;rec-number&gt;23&lt;/rec-number&gt;&lt;foreign-keys&gt;&lt;key app="EN" db-id="xxs5w29drx0waserr05599fudw0rtv2p2vew" timestamp="1675104440"&gt;23&lt;/key&gt;&lt;/foreign-keys&gt;&lt;ref-type name="Journal Article"&gt;17&lt;/ref-type&gt;&lt;contributors&gt;&lt;authors&gt;&lt;author&gt;Neuhauser, Charlotte&lt;/author&gt;&lt;/authors&gt;&lt;/contributors&gt;&lt;titles&gt;&lt;title&gt;Learning Style and Effectiveness of Online and Face-to-Face Instruction&lt;/title&gt;&lt;secondary-title&gt;American Journal of Distance Education&lt;/secondary-title&gt;&lt;/titles&gt;&lt;periodical&gt;&lt;full-title&gt;American Journal of Distance Education&lt;/full-title&gt;&lt;/periodical&gt;&lt;pages&gt;99-113&lt;/pages&gt;&lt;volume&gt;16&lt;/volume&gt;&lt;number&gt;2&lt;/number&gt;&lt;dates&gt;&lt;year&gt;2002&lt;/year&gt;&lt;/dates&gt;&lt;publisher&gt;Informa UK Limited&lt;/publisher&gt;&lt;isbn&gt;0892-3647&lt;/isbn&gt;&lt;urls&gt;&lt;related-urls&gt;&lt;url&gt;https://dx.doi.org/10.1207/s15389286ajde1602_4&lt;/url&gt;&lt;/related-urls&gt;&lt;/urls&gt;&lt;electronic-resource-num&gt;10.1207/s15389286ajde1602_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(Neuhauser, 2002)</w:t>
      </w:r>
      <w:r>
        <w:rPr>
          <w:rFonts w:ascii="Times New Roman" w:hAnsi="Times New Roman" w:cs="Times New Roman"/>
        </w:rPr>
        <w:fldChar w:fldCharType="end"/>
      </w:r>
      <w:r>
        <w:rPr>
          <w:rFonts w:ascii="Times New Roman" w:hAnsi="Times New Roman" w:cs="Times New Roman"/>
        </w:rPr>
        <w:t xml:space="preserve">. It was reported that overall learner performance is not negatively affected when using an online learning model when compared to a face-to-face model </w:t>
      </w:r>
      <w:r>
        <w:rPr>
          <w:rFonts w:ascii="Times New Roman" w:hAnsi="Times New Roman" w:cs="Times New Roman"/>
        </w:rPr>
        <w:fldChar w:fldCharType="begin"/>
      </w:r>
      <w:r>
        <w:rPr>
          <w:rFonts w:ascii="Times New Roman" w:hAnsi="Times New Roman" w:cs="Times New Roman"/>
        </w:rPr>
        <w:instrText xml:space="preserve"> ADDIN EN.CITE &lt;EndNote&gt;&lt;Cite&gt;&lt;Author&gt;Neuhauser&lt;/Author&gt;&lt;Year&gt;2002&lt;/Year&gt;&lt;RecNum&gt;23&lt;/RecNum&gt;&lt;DisplayText&gt;(Neuhauser, 2002)&lt;/DisplayText&gt;&lt;record&gt;&lt;rec-number&gt;23&lt;/rec-number&gt;&lt;foreign-keys&gt;&lt;key app="EN" db-id="xxs5w29drx0waserr05599fudw0rtv2p2vew" timestamp="1675104440"&gt;23&lt;/key&gt;&lt;/foreign-keys&gt;&lt;ref-type name="Journal Article"&gt;17&lt;/ref-type&gt;&lt;contributors&gt;&lt;authors&gt;&lt;author&gt;Neuhauser, Charlotte&lt;/author&gt;&lt;/authors&gt;&lt;/contributors&gt;&lt;titles&gt;&lt;title&gt;Learning Style and Effectiveness of Online and Face-to-Face Instruction&lt;/title&gt;&lt;secondary-title&gt;American Journal of Distance Education&lt;/secondary-title&gt;&lt;/titles&gt;&lt;periodical&gt;&lt;full-title&gt;American Journal of Distance Education&lt;/full-title&gt;&lt;/periodical&gt;&lt;pages&gt;99-113&lt;/pages&gt;&lt;volume&gt;16&lt;/volume&gt;&lt;number&gt;2&lt;/number&gt;&lt;dates&gt;&lt;year&gt;2002&lt;/year&gt;&lt;/dates&gt;&lt;publisher&gt;Informa UK Limited&lt;/publisher&gt;&lt;isbn&gt;0892-3647&lt;/isbn&gt;&lt;urls&gt;&lt;related-urls&gt;&lt;url&gt;https://dx.doi.org/10.1207/s15389286ajde1602_4&lt;/url&gt;&lt;/related-urls&gt;&lt;/urls&gt;&lt;electronic-resource-num&gt;10.1207/s15389286ajde1602_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(Neuhauser, 2002)</w:t>
      </w:r>
      <w:r>
        <w:rPr>
          <w:rFonts w:ascii="Times New Roman" w:hAnsi="Times New Roman" w:cs="Times New Roman"/>
        </w:rPr>
        <w:fldChar w:fldCharType="end"/>
      </w:r>
      <w:r>
        <w:rPr>
          <w:rFonts w:ascii="Times New Roman" w:hAnsi="Times New Roman" w:cs="Times New Roman"/>
        </w:rPr>
        <w:t xml:space="preserve">. In fact, when learners participating in this particular study were asked to identify their preference in learning model, they indicated that they found the online course to be equally or more effective than a face-to-face structured course </w:t>
      </w:r>
      <w:r>
        <w:rPr>
          <w:rFonts w:ascii="Times New Roman" w:hAnsi="Times New Roman" w:cs="Times New Roman"/>
        </w:rPr>
        <w:fldChar w:fldCharType="begin"/>
      </w:r>
      <w:r>
        <w:rPr>
          <w:rFonts w:ascii="Times New Roman" w:hAnsi="Times New Roman" w:cs="Times New Roman"/>
        </w:rPr>
        <w:instrText xml:space="preserve"> ADDIN EN.CITE &lt;EndNote&gt;&lt;Cite&gt;&lt;Author&gt;Neuhauser&lt;/Author&gt;&lt;Year&gt;2002&lt;/Year&gt;&lt;RecNum&gt;23&lt;/RecNum&gt;&lt;DisplayText&gt;(Neuhauser, 2002)&lt;/DisplayText&gt;&lt;record&gt;&lt;rec-number&gt;23&lt;/rec-number&gt;&lt;foreign-keys&gt;&lt;key app="EN" db-id="xxs5w29drx0waserr05599fudw0rtv2p2vew" timestamp="1675104440"&gt;23&lt;/key&gt;&lt;/foreign-keys&gt;&lt;ref-type name="Journal Article"&gt;17&lt;/ref-type&gt;&lt;contributors&gt;&lt;authors&gt;&lt;author&gt;Neuhauser, Charlotte&lt;/author&gt;&lt;/authors&gt;&lt;/contributors&gt;&lt;titles&gt;&lt;title&gt;Learning Style and Effectiveness of Online and Face-to-Face Instruction&lt;/title&gt;&lt;secondary-title&gt;American Journal of Distance Education&lt;/secondary-title&gt;&lt;/titles&gt;&lt;periodical&gt;&lt;full-title&gt;American Journal of Distance Education&lt;/full-title&gt;&lt;/periodical&gt;&lt;pages&gt;99-113&lt;/pages&gt;&lt;volume&gt;16&lt;/volume&gt;&lt;number&gt;2&lt;/number&gt;&lt;dates&gt;&lt;year&gt;2002&lt;/year&gt;&lt;/dates&gt;&lt;publisher&gt;Informa UK Limited&lt;/publisher&gt;&lt;isbn&gt;0892-3647&lt;/isbn&gt;&lt;urls&gt;&lt;related-urls&gt;&lt;url&gt;https://dx.doi.org/10.1207/s15389286ajde1602_4&lt;/url&gt;&lt;/related-urls&gt;&lt;/urls&gt;&lt;electronic-resource-num&gt;10.1207/s15389286ajde1602_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(Neuhauser, 2002)</w:t>
      </w:r>
      <w:r>
        <w:rPr>
          <w:rFonts w:ascii="Times New Roman" w:hAnsi="Times New Roman" w:cs="Times New Roman"/>
        </w:rPr>
        <w:fldChar w:fldCharType="end"/>
      </w:r>
      <w:r>
        <w:rPr>
          <w:rFonts w:ascii="Times New Roman" w:hAnsi="Times New Roman" w:cs="Times New Roman"/>
        </w:rPr>
        <w:t xml:space="preserve">. It has also been indicated that teachers and students alike are satisfied with the overall success and effectiveness of strictly online learning models </w:t>
      </w:r>
      <w:r>
        <w:rPr>
          <w:rFonts w:ascii="Times New Roman" w:hAnsi="Times New Roman" w:cs="Times New Roman"/>
        </w:rPr>
        <w:fldChar w:fldCharType="begin"/>
      </w:r>
      <w:r>
        <w:rPr>
          <w:rFonts w:ascii="Times New Roman" w:hAnsi="Times New Roman" w:cs="Times New Roman"/>
        </w:rPr>
        <w:instrText xml:space="preserve"> ADDIN EN.CITE &lt;EndNote&gt;&lt;Cite&gt;&lt;Author&gt;Huang&lt;/Author&gt;&lt;Year&gt;2020&lt;/Year&gt;&lt;RecNum&gt;26&lt;/RecNum&gt;&lt;DisplayText&gt;(Huang, 2020)&lt;/DisplayText&gt;&lt;record&gt;&lt;rec-number&gt;26&lt;/rec-number&gt;&lt;foreign-keys&gt;&lt;key app="EN" db-id="xxs5w29drx0waserr05599fudw0rtv2p2vew" timestamp="1675105431"&gt;26&lt;/key&gt;&lt;/foreign-keys&gt;&lt;ref-type name="Journal Article"&gt;17&lt;/ref-type&gt;&lt;contributors&gt;&lt;authors&gt;&lt;author&gt;Huang, Jie&lt;/author&gt;&lt;/authors&gt;&lt;/contributors&gt;&lt;titles&gt;&lt;title&gt;Successes and Challenges: Online Teaching and Learning of Chemistry in Higher Education in China in the Time of COVID-19&lt;/title&gt;&lt;secondary-title&gt;Journal of Chemical Education&lt;/secondary-title&gt;&lt;/titles&gt;&lt;periodical&gt;&lt;full-title&gt;Journal of Chemical Education&lt;/full-title&gt;&lt;/periodical&gt;&lt;pages&gt;2810-2814&lt;/pages&gt;&lt;volume&gt;97&lt;/volume&gt;&lt;number&gt;9&lt;/number&gt;&lt;dates&gt;&lt;year&gt;2020&lt;/year&gt;&lt;/dates&gt;&lt;publisher&gt;American Chemical Society (ACS)&lt;/publisher&gt;&lt;isbn&gt;0021-9584&lt;/isbn&gt;&lt;urls&gt;&lt;related-urls&gt;&lt;url&gt;https://dx.doi.org/10.1021/acs.jchemed.0c00671&lt;/url&gt;&lt;/related-urls&gt;&lt;/urls&gt;&lt;electronic-resource-num&gt;10.1021/acs.jchemed.0c00671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(Huang, 2020)</w:t>
      </w:r>
      <w:r>
        <w:rPr>
          <w:rFonts w:ascii="Times New Roman" w:hAnsi="Times New Roman" w:cs="Times New Roman"/>
        </w:rPr>
        <w:fldChar w:fldCharType="end"/>
      </w:r>
      <w:r>
        <w:rPr>
          <w:rFonts w:ascii="Times New Roman" w:hAnsi="Times New Roman" w:cs="Times New Roman"/>
        </w:rPr>
        <w:t xml:space="preserve">. </w:t>
      </w:r>
      <w:r>
        <w:rPr>
          <w:rFonts w:ascii="Times New Roman" w:hAnsi="Times New Roman" w:cs="Times New Roman"/>
        </w:rPr>
        <w:lastRenderedPageBreak/>
        <w:t xml:space="preserve">However, they also explained that 90% of participants expressed the inability to communicate with one another face-to-face was the biggest downside of a solely distanced learning model </w:t>
      </w:r>
      <w:r>
        <w:rPr>
          <w:rFonts w:ascii="Times New Roman" w:hAnsi="Times New Roman" w:cs="Times New Roman"/>
        </w:rPr>
        <w:fldChar w:fldCharType="begin"/>
      </w:r>
      <w:r>
        <w:rPr>
          <w:rFonts w:ascii="Times New Roman" w:hAnsi="Times New Roman" w:cs="Times New Roman"/>
        </w:rPr>
        <w:instrText xml:space="preserve"> ADDIN EN.CITE &lt;EndNote&gt;&lt;Cite&gt;&lt;Author&gt;Huang&lt;/Author&gt;&lt;Year&gt;2020&lt;/Year&gt;&lt;RecNum&gt;26&lt;/RecNum&gt;&lt;DisplayText&gt;(Huang, 2020)&lt;/DisplayText&gt;&lt;record&gt;&lt;rec-number&gt;26&lt;/rec-number&gt;&lt;foreign-keys&gt;&lt;key app="EN" db-id="xxs5w29drx0waserr05599fudw0rtv2p2vew" timestamp="1675105431"&gt;26&lt;/key&gt;&lt;/foreign-keys&gt;&lt;ref-type name="Journal Article"&gt;17&lt;/ref-type&gt;&lt;contributors&gt;&lt;authors&gt;&lt;author&gt;Huang, Jie&lt;/author&gt;&lt;/authors&gt;&lt;/contributors&gt;&lt;titles&gt;&lt;title&gt;Successes and Challenges: Online Teaching and Learning of Chemistry in Higher Education in China in the Time of COVID-19&lt;/title&gt;&lt;secondary-title&gt;Journal of Chemical Education&lt;/secondary-title&gt;&lt;/titles&gt;&lt;periodical&gt;&lt;full-title&gt;Journal of Chemical Education&lt;/full-title&gt;&lt;/periodical&gt;&lt;pages&gt;2810-2814&lt;/pages&gt;&lt;volume&gt;97&lt;/volume&gt;&lt;number&gt;9&lt;/number&gt;&lt;dates&gt;&lt;year&gt;2020&lt;/year&gt;&lt;/dates&gt;&lt;publisher&gt;American Chemical Society (ACS)&lt;/publisher&gt;&lt;isbn&gt;0021-9584&lt;/isbn&gt;&lt;urls&gt;&lt;related-urls&gt;&lt;url&gt;https://dx.doi.org/10.1021/acs.jchemed.0c00671&lt;/url&gt;&lt;/related-urls&gt;&lt;/urls&gt;&lt;electronic-resource-num&gt;10.1021/acs.jchemed.0c00671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(Huang, 2020)</w:t>
      </w:r>
      <w:r>
        <w:rPr>
          <w:rFonts w:ascii="Times New Roman" w:hAnsi="Times New Roman" w:cs="Times New Roman"/>
        </w:rPr>
        <w:fldChar w:fldCharType="end"/>
      </w:r>
      <w:r>
        <w:rPr>
          <w:rFonts w:ascii="Times New Roman" w:hAnsi="Times New Roman" w:cs="Times New Roman"/>
        </w:rPr>
        <w:t>.</w:t>
      </w:r>
    </w:p>
    <w:p w14:paraId="3193A4BC" w14:textId="77777777" w:rsidR="00AA7CD5" w:rsidRDefault="00AA7CD5" w:rsidP="008A6B75">
      <w:pPr>
        <w:spacing w:line="360" w:lineRule="auto"/>
        <w:rPr>
          <w:rFonts w:ascii="Times New Roman" w:hAnsi="Times New Roman" w:cs="Times New Roman"/>
        </w:rPr>
      </w:pPr>
    </w:p>
    <w:p w14:paraId="0823822A" w14:textId="77777777" w:rsidR="00AA7CD5" w:rsidRPr="00396ACF" w:rsidRDefault="00AA7CD5" w:rsidP="008A6B75">
      <w:pPr>
        <w:pStyle w:val="Heading3"/>
        <w:spacing w:line="360" w:lineRule="auto"/>
        <w:rPr>
          <w:rFonts w:ascii="Times New Roman" w:hAnsi="Times New Roman" w:cs="Times New Roman"/>
        </w:rPr>
      </w:pPr>
      <w:bookmarkStart w:id="50" w:name="_Toc151023696"/>
      <w:r w:rsidRPr="00396ACF">
        <w:rPr>
          <w:rFonts w:ascii="Times New Roman" w:hAnsi="Times New Roman" w:cs="Times New Roman"/>
        </w:rPr>
        <w:t>Face-to-Face Learning</w:t>
      </w:r>
      <w:bookmarkEnd w:id="50"/>
    </w:p>
    <w:p w14:paraId="5D1F84A3" w14:textId="78D1EDAA" w:rsidR="00AA7CD5" w:rsidRDefault="00AA7CD5" w:rsidP="008A6B75">
      <w:pPr>
        <w:spacing w:line="360" w:lineRule="auto"/>
        <w:rPr>
          <w:rFonts w:ascii="Times New Roman" w:hAnsi="Times New Roman" w:cs="Times New Roman"/>
        </w:rPr>
      </w:pPr>
      <w:r>
        <w:rPr>
          <w:rFonts w:ascii="Times New Roman" w:hAnsi="Times New Roman" w:cs="Times New Roman"/>
        </w:rPr>
        <w:t xml:space="preserve">Historically, face-to-face instruction has been the predominant teaching method for all facets of education despite the recent increase in distance learner enrollment </w:t>
      </w:r>
      <w:r>
        <w:rPr>
          <w:rFonts w:ascii="Times New Roman" w:hAnsi="Times New Roman" w:cs="Times New Roman"/>
        </w:rPr>
        <w:fldChar w:fldCharType="begin"/>
      </w:r>
      <w:r>
        <w:rPr>
          <w:rFonts w:ascii="Times New Roman" w:hAnsi="Times New Roman" w:cs="Times New Roman"/>
        </w:rPr>
        <w:instrText xml:space="preserve"> ADDIN EN.CITE &lt;EndNote&gt;&lt;Cite&gt;&lt;Author&gt;Allen&lt;/Author&gt;&lt;Year&gt;2013&lt;/Year&gt;&lt;RecNum&gt;37&lt;/RecNum&gt;&lt;DisplayText&gt;(Allen &amp;amp; Seaman, 2013)&lt;/DisplayText&gt;&lt;record&gt;&lt;rec-number&gt;37&lt;/rec-number&gt;&lt;foreign-keys&gt;&lt;key app="EN" db-id="xxs5w29drx0waserr05599fudw0rtv2p2vew" timestamp="1676989414"&gt;37&lt;/key&gt;&lt;/foreign-keys&gt;&lt;ref-type name="Book"&gt;6&lt;/ref-type&gt;&lt;contributors&gt;&lt;authors&gt;&lt;author&gt;Allen, I Elaine&lt;/author&gt;&lt;author&gt;Seaman, Jeff&lt;/author&gt;&lt;/authors&gt;&lt;/contributors&gt;&lt;titles&gt;&lt;title&gt;Changing course: Ten years of tracking online education in the United States&lt;/title&gt;&lt;/titles&gt;&lt;dates&gt;&lt;year&gt;2013&lt;/year&gt;&lt;/dates&gt;&lt;publisher&gt;ERIC&lt;/publisher&gt;&lt;isbn&gt;0984028838&lt;/isbn&gt;&lt;urls&gt;&lt;/urls&gt;&lt;/record&gt;&lt;/Cite&gt;&lt;/EndNote&gt;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(Allen &amp; Seaman, 2013)</w:t>
      </w:r>
      <w:r>
        <w:rPr>
          <w:rFonts w:ascii="Times New Roman" w:hAnsi="Times New Roman" w:cs="Times New Roman"/>
        </w:rPr>
        <w:fldChar w:fldCharType="end"/>
      </w:r>
      <w:r>
        <w:rPr>
          <w:rFonts w:ascii="Times New Roman" w:hAnsi="Times New Roman" w:cs="Times New Roman"/>
        </w:rPr>
        <w:t xml:space="preserve">. Traditional instruction is commonly implemented in a synchronous, physical format and utilizes techniques such as instructor-led classrooms and lectures, hands-on labs and workshops, and field trips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&lt;EndNote&gt;&lt;Cite&gt;&lt;Author&gt;Singh&lt;/Author&gt;&lt;Year&gt;2021&lt;/Year&gt;&lt;RecNum&gt;27&lt;/RecNum&gt;&lt;DisplayText&gt;(Singh, 2021)&lt;/DisplayText&gt;&lt;record&gt;&lt;rec-number&gt;27&lt;/rec-number&gt;&lt;foreign-keys&gt;&lt;key app="EN" db-id="xxs5w29drx0waserr05599fudw0rtv2p2vew" timestamp="1675105673"&gt;27&lt;/key&gt;&lt;/foreign-keys&gt;&lt;ref-type name="Book Section"&gt;5&lt;/ref-type&gt;&lt;contributors&gt;&lt;authors&gt;&lt;author&gt;Singh, Harvey&lt;/author&gt;&lt;/authors&gt;&lt;/contributors&gt;&lt;titles&gt;&lt;title&gt;Building Effective Blended Learning Programs&lt;/title&gt;&lt;alt-title&gt;Challenges and Opportunities for the Global Implementation of E-Learning Frameworks&lt;/alt-title&gt;&lt;/titles&gt;&lt;pages&gt;15-23&lt;/pages&gt;&lt;dates&gt;&lt;year&gt;2021&lt;/year&gt;&lt;/dates&gt;&lt;publisher&gt;IGI Global&lt;/publisher&gt;&lt;isbn&gt;2326-8905&lt;/isbn&gt;&lt;urls&gt;&lt;related-urls&gt;&lt;url&gt;https://dx.doi.org/10.4018/978-1-7998-7607-6.ch002&lt;/url&gt;&lt;/related-urls&gt;&lt;/urls&gt;&lt;electronic-resource-num&gt;10.4018/978-1-7998-7607-6.ch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(Singh, 2021)</w:t>
      </w:r>
      <w:r>
        <w:rPr>
          <w:rFonts w:ascii="Times New Roman" w:hAnsi="Times New Roman" w:cs="Times New Roman"/>
        </w:rPr>
        <w:fldChar w:fldCharType="end"/>
      </w:r>
      <w:r>
        <w:rPr>
          <w:rFonts w:ascii="Times New Roman" w:hAnsi="Times New Roman" w:cs="Times New Roman"/>
        </w:rPr>
        <w:t xml:space="preserve">. As with any form of education, certain tactics and techniques should be implemented to ensure learner retention and success across all age demographics. In fact, poor academic performance from most students can be directly linked to ineffective teaching methods implemented by instructors </w:t>
      </w:r>
      <w:r>
        <w:rPr>
          <w:rFonts w:ascii="Times New Roman" w:hAnsi="Times New Roman" w:cs="Times New Roman"/>
        </w:rPr>
        <w:fldChar w:fldCharType="begin"/>
      </w:r>
      <w:r>
        <w:rPr>
          <w:rFonts w:ascii="Times New Roman" w:hAnsi="Times New Roman" w:cs="Times New Roman"/>
        </w:rPr>
        <w:instrText xml:space="preserve"> ADDIN EN.CITE &lt;EndNote&gt;&lt;Cite&gt;&lt;Author&gt;Adunola&lt;/Author&gt;&lt;Year&gt;2011&lt;/Year&gt;&lt;RecNum&gt;38&lt;/RecNum&gt;&lt;DisplayText&gt;(Adunola, 2011)&lt;/DisplayText&gt;&lt;record&gt;&lt;rec-number&gt;38&lt;/rec-number&gt;&lt;foreign-keys&gt;&lt;key app="EN" db-id="xxs5w29drx0waserr05599fudw0rtv2p2vew" timestamp="1676993985"&gt;38&lt;/key&gt;&lt;/foreign-keys&gt;&lt;ref-type name="Generic"&gt;13&lt;/ref-type&gt;&lt;contributors&gt;&lt;authors&gt;&lt;author&gt;Adunola, OMOTERE&lt;/author&gt;&lt;/authors&gt;&lt;/contributors&gt;&lt;titles&gt;&lt;title&gt;The impact of teachers’ teaching methods on the academic performance of Primary School Pupils in Ijebu-Ode Local Cut Area of Ogun State&lt;/title&gt;&lt;/titles&gt;&lt;dates&gt;&lt;year&gt;2011&lt;/year&gt;&lt;/dates&gt;&lt;publisher&gt;Ego Booster Books, Ogun State, Nigeria&lt;/publisher&gt;&lt;urls&gt;&lt;/urls&gt;&lt;/record&gt;&lt;/Cite&gt;&lt;/EndNote&gt;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(Adunola, 2011)</w:t>
      </w:r>
      <w:r>
        <w:rPr>
          <w:rFonts w:ascii="Times New Roman" w:hAnsi="Times New Roman" w:cs="Times New Roman"/>
        </w:rPr>
        <w:fldChar w:fldCharType="end"/>
      </w:r>
      <w:r>
        <w:rPr>
          <w:rFonts w:ascii="Times New Roman" w:hAnsi="Times New Roman" w:cs="Times New Roman"/>
        </w:rPr>
        <w:t xml:space="preserve">. Common face-to-face instruction techniques include lectures, group discussions, case studies, brainstorming sessions, presentations, workshops, etc. </w:t>
      </w:r>
      <w:r>
        <w:rPr>
          <w:rFonts w:ascii="Times New Roman" w:hAnsi="Times New Roman" w:cs="Times New Roman"/>
        </w:rPr>
        <w:fldChar w:fldCharType="begin"/>
      </w:r>
      <w:r>
        <w:rPr>
          <w:rFonts w:ascii="Times New Roman" w:hAnsi="Times New Roman" w:cs="Times New Roman"/>
        </w:rPr>
        <w:instrText xml:space="preserve"> ADDIN EN.CITE &lt;EndNote&gt;&lt;Cite&gt;&lt;Author&gt;Sajjad&lt;/Author&gt;&lt;Year&gt;2010&lt;/Year&gt;&lt;RecNum&gt;24&lt;/RecNum&gt;&lt;DisplayText&gt;(Sajjad, 2010)&lt;/DisplayText&gt;&lt;record&gt;&lt;rec-number&gt;24&lt;/rec-number&gt;&lt;foreign-keys&gt;&lt;key app="EN" db-id="xxs5w29drx0waserr05599fudw0rtv2p2vew" timestamp="1675105005"&gt;24&lt;/key&gt;&lt;/foreign-keys&gt;&lt;ref-type name="Journal Article"&gt;17&lt;/ref-type&gt;&lt;contributors&gt;&lt;authors&gt;&lt;author&gt;Sajjad, Shahida&lt;/author&gt;&lt;/authors&gt;&lt;/contributors&gt;&lt;titles&gt;&lt;title&gt;Effective teaching methods at higher education level&lt;/title&gt;&lt;secondary-title&gt;Pakistan journal of special education&lt;/secondary-title&gt;&lt;/titles&gt;&lt;periodical&gt;&lt;full-title&gt;Pakistan journal of special education&lt;/full-title&gt;&lt;/periodical&gt;&lt;pages&gt;29-43&lt;/pages&gt;&lt;volume&gt;11&lt;/volume&gt;&lt;dates&gt;&lt;year&gt;2010&lt;/year&gt;&lt;/dates&gt;&lt;urls&gt;&lt;/urls&gt;&lt;/record&gt;&lt;/Cite&gt;&lt;/EndNote&gt;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(Sajjad, 2010)</w:t>
      </w:r>
      <w:r>
        <w:rPr>
          <w:rFonts w:ascii="Times New Roman" w:hAnsi="Times New Roman" w:cs="Times New Roman"/>
        </w:rPr>
        <w:fldChar w:fldCharType="end"/>
      </w:r>
      <w:r>
        <w:rPr>
          <w:rFonts w:ascii="Times New Roman" w:hAnsi="Times New Roman" w:cs="Times New Roman"/>
        </w:rPr>
        <w:t xml:space="preserve">. Surprisingly, when asked to rate various strategies of traditional education, students indicated that lectures were the most effective and accredited this to technique’s ability for instructors to deliver adequate information, the opportunity for learners to be attentive and take notes while learning though auditory engagement, and the ability for learners to ask for clarification or additional information if needed </w:t>
      </w:r>
      <w:r>
        <w:rPr>
          <w:rFonts w:ascii="Times New Roman" w:hAnsi="Times New Roman" w:cs="Times New Roman"/>
        </w:rPr>
        <w:fldChar w:fldCharType="begin"/>
      </w:r>
      <w:r>
        <w:rPr>
          <w:rFonts w:ascii="Times New Roman" w:hAnsi="Times New Roman" w:cs="Times New Roman"/>
        </w:rPr>
        <w:instrText xml:space="preserve"> ADDIN EN.CITE &lt;EndNote&gt;&lt;Cite&gt;&lt;Author&gt;Sajjad&lt;/Author&gt;&lt;Year&gt;2010&lt;/Year&gt;&lt;RecNum&gt;24&lt;/RecNum&gt;&lt;DisplayText&gt;(Sajjad, 2010)&lt;/DisplayText&gt;&lt;record&gt;&lt;rec-number&gt;24&lt;/rec-number&gt;&lt;foreign-keys&gt;&lt;key app="EN" db-id="xxs5w29drx0waserr05599fudw0rtv2p2vew" timestamp="1675105005"&gt;24&lt;/key&gt;&lt;/foreign-keys&gt;&lt;ref-type name="Journal Article"&gt;17&lt;/ref-type&gt;&lt;contributors&gt;&lt;authors&gt;&lt;author&gt;Sajjad, Shahida&lt;/author&gt;&lt;/authors&gt;&lt;/contributors&gt;&lt;titles&gt;&lt;title&gt;Effective teaching methods at higher education level&lt;/title&gt;&lt;secondary-title&gt;Pakistan journal of special education&lt;/secondary-title&gt;&lt;/titles&gt;&lt;periodical&gt;&lt;full-title&gt;Pakistan journal of special education&lt;/full-title&gt;&lt;/periodical&gt;&lt;pages&gt;29-43&lt;/pages&gt;&lt;volume&gt;11&lt;/volume&gt;&lt;dates&gt;&lt;year&gt;2010&lt;/year&gt;&lt;/dates&gt;&lt;urls&gt;&lt;/urls&gt;&lt;/record&gt;&lt;/Cite&gt;&lt;/EndNote&gt;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(Sajjad, 2010)</w:t>
      </w:r>
      <w:r>
        <w:rPr>
          <w:rFonts w:ascii="Times New Roman" w:hAnsi="Times New Roman" w:cs="Times New Roman"/>
        </w:rPr>
        <w:fldChar w:fldCharType="end"/>
      </w:r>
      <w:r>
        <w:rPr>
          <w:rFonts w:ascii="Times New Roman" w:hAnsi="Times New Roman" w:cs="Times New Roman"/>
        </w:rPr>
        <w:t xml:space="preserve">. On a 1-5 Likert scale, 40% of students rated lectures at 5, which is more than any other educational delivery method </w:t>
      </w:r>
      <w:r>
        <w:rPr>
          <w:rFonts w:ascii="Times New Roman" w:hAnsi="Times New Roman" w:cs="Times New Roman"/>
        </w:rPr>
        <w:fldChar w:fldCharType="begin"/>
      </w:r>
      <w:r>
        <w:rPr>
          <w:rFonts w:ascii="Times New Roman" w:hAnsi="Times New Roman" w:cs="Times New Roman"/>
        </w:rPr>
        <w:instrText xml:space="preserve"> ADDIN EN.CITE &lt;EndNote&gt;&lt;Cite&gt;&lt;Author&gt;Sajjad&lt;/Author&gt;&lt;Year&gt;2010&lt;/Year&gt;&lt;RecNum&gt;24&lt;/RecNum&gt;&lt;DisplayText&gt;(Sajjad, 2010)&lt;/DisplayText&gt;&lt;record&gt;&lt;rec-number&gt;24&lt;/rec-number&gt;&lt;foreign-keys&gt;&lt;key app="EN" db-id="xxs5w29drx0waserr05599fudw0rtv2p2vew" timestamp="1675105005"&gt;24&lt;/key&gt;&lt;/foreign-keys&gt;&lt;ref-type name="Journal Article"&gt;17&lt;/ref-type&gt;&lt;contributors&gt;&lt;authors&gt;&lt;author&gt;Sajjad, Shahida&lt;/author&gt;&lt;/authors&gt;&lt;/contributors&gt;&lt;titles&gt;&lt;title&gt;Effective teaching methods at higher education level&lt;/title&gt;&lt;secondary-title&gt;Pakistan journal of special education&lt;/secondary-title&gt;&lt;/titles&gt;&lt;periodical&gt;&lt;full-title&gt;Pakistan journal of special education&lt;/full-title&gt;&lt;/periodical&gt;&lt;pages&gt;29-43&lt;/pages&gt;&lt;volume&gt;11&lt;/volume&gt;&lt;dates&gt;&lt;year&gt;2010&lt;/year&gt;&lt;/dates&gt;&lt;urls&gt;&lt;/urls&gt;&lt;/record&gt;&lt;/Cite&gt;&lt;/EndNote&gt;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(Sajjad, 2010)</w:t>
      </w:r>
      <w:r>
        <w:rPr>
          <w:rFonts w:ascii="Times New Roman" w:hAnsi="Times New Roman" w:cs="Times New Roman"/>
        </w:rPr>
        <w:fldChar w:fldCharType="end"/>
      </w:r>
      <w:r>
        <w:rPr>
          <w:rFonts w:ascii="Times New Roman" w:hAnsi="Times New Roman" w:cs="Times New Roman"/>
        </w:rPr>
        <w:t xml:space="preserve">. The group discussion approach most closely followed lecture in perceived effectiveness by students with 36% of students rating this method at a 5 </w:t>
      </w:r>
      <w:r>
        <w:rPr>
          <w:rFonts w:ascii="Times New Roman" w:hAnsi="Times New Roman" w:cs="Times New Roman"/>
        </w:rPr>
        <w:fldChar w:fldCharType="begin"/>
      </w:r>
      <w:r>
        <w:rPr>
          <w:rFonts w:ascii="Times New Roman" w:hAnsi="Times New Roman" w:cs="Times New Roman"/>
        </w:rPr>
        <w:instrText xml:space="preserve"> ADDIN EN.CITE &lt;EndNote&gt;&lt;Cite&gt;&lt;Author&gt;Sajjad&lt;/Author&gt;&lt;Year&gt;2010&lt;/Year&gt;&lt;RecNum&gt;24&lt;/RecNum&gt;&lt;DisplayText&gt;(Sajjad, 2010)&lt;/DisplayText&gt;&lt;record&gt;&lt;rec-number&gt;24&lt;/rec-number&gt;&lt;foreign-keys&gt;&lt;key app="EN" db-id="xxs5w29drx0waserr05599fudw0rtv2p2vew" timestamp="1675105005"&gt;24&lt;/key&gt;&lt;/foreign-keys&gt;&lt;ref-type name="Journal Article"&gt;17&lt;/ref-type&gt;&lt;contributors&gt;&lt;authors&gt;&lt;author&gt;Sajjad, Shahida&lt;/author&gt;&lt;/authors&gt;&lt;/contributors&gt;&lt;titles&gt;&lt;title&gt;Effective teaching methods at higher education level&lt;/title&gt;&lt;secondary-title&gt;Pakistan journal of special education&lt;/secondary-title&gt;&lt;/titles&gt;&lt;periodical&gt;&lt;full-title&gt;Pakistan journal of special education&lt;/full-title&gt;&lt;/periodical&gt;&lt;pages&gt;29-43&lt;/pages&gt;&lt;volume&gt;11&lt;/volume&gt;&lt;dates&gt;&lt;year&gt;2010&lt;/year&gt;&lt;/dates&gt;&lt;urls&gt;&lt;/urls&gt;&lt;/record&gt;&lt;/Cite&gt;&lt;/EndNote&gt;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(Sajjad, 2010)</w:t>
      </w:r>
      <w:r>
        <w:rPr>
          <w:rFonts w:ascii="Times New Roman" w:hAnsi="Times New Roman" w:cs="Times New Roman"/>
        </w:rPr>
        <w:fldChar w:fldCharType="end"/>
      </w:r>
      <w:r>
        <w:rPr>
          <w:rFonts w:ascii="Times New Roman" w:hAnsi="Times New Roman" w:cs="Times New Roman"/>
        </w:rPr>
        <w:t xml:space="preserve">. It was indicated that this is due to the opportunity for social interaction with one another and their ability to share their personal outlooks and opinions with their peers in regard to course material and subject matter </w:t>
      </w:r>
      <w:r>
        <w:rPr>
          <w:rFonts w:ascii="Times New Roman" w:hAnsi="Times New Roman" w:cs="Times New Roman"/>
        </w:rPr>
        <w:fldChar w:fldCharType="begin"/>
      </w:r>
      <w:r>
        <w:rPr>
          <w:rFonts w:ascii="Times New Roman" w:hAnsi="Times New Roman" w:cs="Times New Roman"/>
        </w:rPr>
        <w:instrText xml:space="preserve"> ADDIN EN.CITE &lt;EndNote&gt;&lt;Cite&gt;&lt;Author&gt;Sajjad&lt;/Author&gt;&lt;Year&gt;2010&lt;/Year&gt;&lt;RecNum&gt;24&lt;/RecNum&gt;&lt;DisplayText&gt;(Sajjad, 2010)&lt;/DisplayText&gt;&lt;record&gt;&lt;rec-number&gt;24&lt;/rec-number&gt;&lt;foreign-keys&gt;&lt;key app="EN" db-id="xxs5w29drx0waserr05599fudw0rtv2p2vew" timestamp="1675105005"&gt;24&lt;/key&gt;&lt;/foreign-keys&gt;&lt;ref-type name="Journal Article"&gt;17&lt;/ref-type&gt;&lt;contributors&gt;&lt;authors&gt;&lt;author&gt;Sajjad, Shahida&lt;/author&gt;&lt;/authors&gt;&lt;/contributors&gt;&lt;titles&gt;&lt;title&gt;Effective teaching methods at higher education level&lt;/title&gt;&lt;secondary-title&gt;Pakistan journal of special education&lt;/secondary-title&gt;&lt;/titles&gt;&lt;periodical&gt;&lt;full-title&gt;Pakistan journal of special education&lt;/full-title&gt;&lt;/periodical&gt;&lt;pages&gt;29-43&lt;/pages&gt;&lt;volume&gt;11&lt;/volume&gt;&lt;dates&gt;&lt;year&gt;2010&lt;/year&gt;&lt;/dates&gt;&lt;urls&gt;&lt;/urls&gt;&lt;/record&gt;&lt;/Cite&gt;&lt;/EndNote&gt;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(Sajjad, 2010)</w:t>
      </w:r>
      <w:r>
        <w:rPr>
          <w:rFonts w:ascii="Times New Roman" w:hAnsi="Times New Roman" w:cs="Times New Roman"/>
        </w:rPr>
        <w:fldChar w:fldCharType="end"/>
      </w:r>
      <w:r>
        <w:rPr>
          <w:rFonts w:ascii="Times New Roman" w:hAnsi="Times New Roman" w:cs="Times New Roman"/>
        </w:rPr>
        <w:t xml:space="preserve">.  On the contrary, a separate study found that student test scores were highest when engaging in a student-teacher interactive approach to learning rather than a teacher-centered approach such as lecture style teaching </w:t>
      </w:r>
      <w:r>
        <w:rPr>
          <w:rFonts w:ascii="Times New Roman" w:hAnsi="Times New Roman" w:cs="Times New Roman"/>
        </w:rPr>
        <w:fldChar w:fldCharType="begin"/>
      </w:r>
      <w:r>
        <w:rPr>
          <w:rFonts w:ascii="Times New Roman" w:hAnsi="Times New Roman" w:cs="Times New Roman"/>
        </w:rPr>
        <w:instrText xml:space="preserve"> ADDIN EN.CITE &lt;EndNote&gt;&lt;Cite&gt;&lt;Author&gt;Ganyaupfu&lt;/Author&gt;&lt;Year&gt;2013&lt;/Year&gt;&lt;RecNum&gt;25&lt;/RecNum&gt;&lt;DisplayText&gt;(Ganyaupfu, 2013)&lt;/DisplayText&gt;&lt;record&gt;&lt;rec-number&gt;25&lt;/rec-number&gt;&lt;foreign-keys&gt;&lt;key app="EN" db-id="xxs5w29drx0waserr05599fudw0rtv2p2vew" timestamp="1675105238"&gt;25&lt;/key&gt;&lt;/foreign-keys&gt;&lt;ref-type name="Journal Article"&gt;17&lt;/ref-type&gt;&lt;contributors&gt;&lt;authors&gt;&lt;author&gt;Ganyaupfu, Elvis Munyaradzi&lt;/author&gt;&lt;/authors&gt;&lt;/contributors&gt;&lt;titles&gt;&lt;title&gt;Teaching methods and students’ academic performance&lt;/title&gt;&lt;secondary-title&gt;International Journal of Humanities and Social Science Invention&lt;/secondary-title&gt;&lt;/titles&gt;&lt;periodical&gt;&lt;full-title&gt;International Journal of Humanities and Social Science Invention&lt;/full-title&gt;&lt;/periodical&gt;&lt;pages&gt;29-35&lt;/pages&gt;&lt;volume&gt;2&lt;/volume&gt;&lt;number&gt;9&lt;/number&gt;&lt;dates&gt;&lt;year&gt;2013&lt;/year&gt;&lt;/dates&gt;&lt;urls&gt;&lt;/urls&gt;&lt;/record&gt;&lt;/Cite&gt;&lt;/EndNote&gt;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(Ganyaupfu, 2013)</w:t>
      </w:r>
      <w:r>
        <w:rPr>
          <w:rFonts w:ascii="Times New Roman" w:hAnsi="Times New Roman" w:cs="Times New Roman"/>
        </w:rPr>
        <w:fldChar w:fldCharType="end"/>
      </w:r>
      <w:r>
        <w:rPr>
          <w:rFonts w:ascii="Times New Roman" w:hAnsi="Times New Roman" w:cs="Times New Roman"/>
        </w:rPr>
        <w:t xml:space="preserve">. However, this study generated similar results in regard to student-centered educational methods where this technique yielded the second highest mean assessment score </w:t>
      </w:r>
      <w:r>
        <w:rPr>
          <w:rFonts w:ascii="Times New Roman" w:hAnsi="Times New Roman" w:cs="Times New Roman"/>
        </w:rPr>
        <w:fldChar w:fldCharType="begin"/>
      </w:r>
      <w:r>
        <w:rPr>
          <w:rFonts w:ascii="Times New Roman" w:hAnsi="Times New Roman" w:cs="Times New Roman"/>
        </w:rPr>
        <w:instrText xml:space="preserve"> ADDIN EN.CITE &lt;EndNote&gt;&lt;Cite&gt;&lt;Author&gt;Ganyaupfu&lt;/Author&gt;&lt;Year&gt;2013&lt;/Year&gt;&lt;RecNum&gt;25&lt;/RecNum&gt;&lt;DisplayText&gt;(Ganyaupfu, 2013)&lt;/DisplayText&gt;&lt;record&gt;&lt;rec-number&gt;25&lt;/rec-number&gt;&lt;foreign-keys&gt;&lt;key app="EN" db-id="xxs5w29drx0waserr05599fudw0rtv2p2vew" timestamp="1675105238"&gt;25&lt;/key&gt;&lt;/foreign-keys&gt;&lt;ref-type name="Journal Article"&gt;17&lt;/ref-type&gt;&lt;contributors&gt;&lt;authors&gt;&lt;author&gt;Ganyaupfu, Elvis Munyaradzi&lt;/author&gt;&lt;/authors&gt;&lt;/contributors&gt;&lt;titles&gt;&lt;title&gt;Teaching methods and students’ academic performance&lt;/title&gt;&lt;secondary-title&gt;International Journal of Humanities and Social Science Invention&lt;/secondary-title&gt;&lt;/titles&gt;&lt;periodical&gt;&lt;full-title&gt;International Journal of Humanities and Social Science Invention&lt;/full-title&gt;&lt;/periodical&gt;&lt;pages&gt;29-35&lt;/pages&gt;&lt;volume&gt;2&lt;/volume&gt;&lt;number&gt;9&lt;/number&gt;&lt;dates&gt;&lt;year&gt;2013&lt;/year&gt;&lt;/dates&gt;&lt;urls&gt;&lt;/urls&gt;&lt;/record&gt;&lt;/Cite&gt;&lt;/EndNote&gt;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(Ganyaupfu, 2013)</w:t>
      </w:r>
      <w:r>
        <w:rPr>
          <w:rFonts w:ascii="Times New Roman" w:hAnsi="Times New Roman" w:cs="Times New Roman"/>
        </w:rPr>
        <w:fldChar w:fldCharType="end"/>
      </w:r>
      <w:r>
        <w:rPr>
          <w:rFonts w:ascii="Times New Roman" w:hAnsi="Times New Roman" w:cs="Times New Roman"/>
        </w:rPr>
        <w:t>.</w:t>
      </w:r>
    </w:p>
    <w:p w14:paraId="1D3051D6" w14:textId="78D1EDAA" w:rsidR="00AA7CD5" w:rsidRPr="00396ACF" w:rsidRDefault="00AA7CD5" w:rsidP="008A6B75">
      <w:pPr>
        <w:pStyle w:val="Heading3"/>
        <w:spacing w:line="360" w:lineRule="auto"/>
        <w:rPr>
          <w:rFonts w:ascii="Times New Roman" w:hAnsi="Times New Roman" w:cs="Times New Roman"/>
        </w:rPr>
      </w:pPr>
      <w:bookmarkStart w:id="51" w:name="_Toc151023697"/>
      <w:r w:rsidRPr="00396ACF">
        <w:rPr>
          <w:rFonts w:ascii="Times New Roman" w:hAnsi="Times New Roman" w:cs="Times New Roman"/>
        </w:rPr>
        <w:lastRenderedPageBreak/>
        <w:t>Blended Learning Models</w:t>
      </w:r>
      <w:bookmarkEnd w:id="51"/>
    </w:p>
    <w:p w14:paraId="61C03271"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After discussing the techniques, strategies, and effectiveness of both face-to-face and distance instruction, it is then important to pose the question of whether one educational approach is superior to the other. Overall, it has been suggested in the literature that students have provided a slightly higher preference for face-to-face instruction when compared to a distance learning format but yielded little to no difference in satisfaction ratings </w:t>
      </w:r>
      <w:r>
        <w:rPr>
          <w:rFonts w:ascii="Times New Roman" w:hAnsi="Times New Roman" w:cs="Times New Roman"/>
        </w:rPr>
        <w:fldChar w:fldCharType="begin"/>
      </w:r>
      <w:r>
        <w:rPr>
          <w:rFonts w:ascii="Times New Roman" w:hAnsi="Times New Roman" w:cs="Times New Roman"/>
        </w:rPr>
        <w:instrText xml:space="preserve"> ADDIN EN.CITE &lt;EndNote&gt;&lt;Cite&gt;&lt;Author&gt;Allen&lt;/Author&gt;&lt;Year&gt;2002&lt;/Year&gt;&lt;RecNum&gt;22&lt;/RecNum&gt;&lt;DisplayText&gt;(Allen et al., 2002; Carrol &amp;amp; Burke, 2010)&lt;/DisplayText&gt;&lt;record&gt;&lt;rec-number&gt;22&lt;/rec-number&gt;&lt;foreign-keys&gt;&lt;key app="EN" db-id="xxs5w29drx0waserr05599fudw0rtv2p2vew" timestamp="1675104257"&gt;22&lt;/key&gt;&lt;/foreign-keys&gt;&lt;ref-type name="Journal Article"&gt;17&lt;/ref-type&gt;&lt;contributors&gt;&lt;authors&gt;&lt;author&gt;Allen, Mike&lt;/author&gt;&lt;author&gt;Bourhis, John&lt;/author&gt;&lt;author&gt;Burrell, Nancy&lt;/author&gt;&lt;author&gt;Mabry, Edward&lt;/author&gt;&lt;/authors&gt;&lt;/contributors&gt;&lt;titles&gt;&lt;title&gt;Comparing Student Satisfaction With Distance Education to Traditional Classrooms in Higher Education: A Meta-Analysis&lt;/title&gt;&lt;secondary-title&gt;American Journal of Distance Education&lt;/secondary-title&gt;&lt;/titles&gt;&lt;periodical&gt;&lt;full-title&gt;American Journal of Distance Education&lt;/full-title&gt;&lt;/periodical&gt;&lt;pages&gt;83-97&lt;/pages&gt;&lt;volume&gt;16&lt;/volume&gt;&lt;number&gt;2&lt;/number&gt;&lt;dates&gt;&lt;year&gt;2002&lt;/year&gt;&lt;/dates&gt;&lt;publisher&gt;Informa UK Limited&lt;/publisher&gt;&lt;isbn&gt;0892-3647&lt;/isbn&gt;&lt;urls&gt;&lt;related-urls&gt;&lt;url&gt;https://dx.doi.org/10.1207/s15389286ajde1602_3&lt;/url&gt;&lt;/related-urls&gt;&lt;/urls&gt;&lt;electronic-resource-num&gt;10.1207/s15389286ajde1602_3&lt;/electronic-resource-num&gt;&lt;/record&gt;&lt;/Cite&gt;&lt;Cite&gt;&lt;Author&gt;Carrol&lt;/Author&gt;&lt;Year&gt;2010&lt;/Year&gt;&lt;RecNum&gt;18&lt;/RecNum&gt;&lt;record&gt;&lt;rec-number&gt;18&lt;/rec-number&gt;&lt;foreign-keys&gt;&lt;key app="EN" db-id="xxs5w29drx0waserr05599fudw0rtv2p2vew" timestamp="1673291257"&gt;18&lt;/key&gt;&lt;/foreign-keys&gt;&lt;ref-type name="Journal Article"&gt;17&lt;/ref-type&gt;&lt;contributors&gt;&lt;authors&gt;&lt;author&gt;Carrol, Norman E&lt;/author&gt;&lt;author&gt;Burke, Molly&lt;/author&gt;&lt;/authors&gt;&lt;/contributors&gt;&lt;titles&gt;&lt;title&gt;Learning Effectiveness Using Different Teaching Modalities&lt;/title&gt;&lt;secondary-title&gt;American Journal of Business Education&lt;/secondary-title&gt;&lt;/titles&gt;&lt;periodical&gt;&lt;full-title&gt;American Journal of Business Education&lt;/full-title&gt;&lt;/periodical&gt;&lt;pages&gt;65-76&lt;/pages&gt;&lt;volume&gt;3&lt;/volume&gt;&lt;number&gt;12&lt;/number&gt;&lt;dates&gt;&lt;year&gt;2010&lt;/year&gt;&lt;/dates&gt;&lt;isbn&gt;1942-2504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(Allen et al., 2002; Carrol &amp; Burke, 2010)</w:t>
      </w:r>
      <w:r>
        <w:rPr>
          <w:rFonts w:ascii="Times New Roman" w:hAnsi="Times New Roman" w:cs="Times New Roman"/>
        </w:rPr>
        <w:fldChar w:fldCharType="end"/>
      </w:r>
      <w:r>
        <w:rPr>
          <w:rFonts w:ascii="Times New Roman" w:hAnsi="Times New Roman" w:cs="Times New Roman"/>
        </w:rPr>
        <w:t xml:space="preserve">. However, opinions can differ based on a variety of factors and personal preferences such as perceptions of technology, personality, attitude, and skill level </w:t>
      </w:r>
      <w:r>
        <w:rPr>
          <w:rFonts w:ascii="Times New Roman" w:hAnsi="Times New Roman" w:cs="Times New Roman"/>
        </w:rPr>
        <w:fldChar w:fldCharType="begin"/>
      </w:r>
      <w:r>
        <w:rPr>
          <w:rFonts w:ascii="Times New Roman" w:hAnsi="Times New Roman" w:cs="Times New Roman"/>
        </w:rPr>
        <w:instrText xml:space="preserve"> ADDIN EN.CITE &lt;EndNote&gt;&lt;Cite&gt;&lt;Author&gt;Allen&lt;/Author&gt;&lt;Year&gt;2002&lt;/Year&gt;&lt;RecNum&gt;22&lt;/RecNum&gt;&lt;DisplayText&gt;(Allen et al., 2002)&lt;/DisplayText&gt;&lt;record&gt;&lt;rec-number&gt;22&lt;/rec-number&gt;&lt;foreign-keys&gt;&lt;key app="EN" db-id="xxs5w29drx0waserr05599fudw0rtv2p2vew" timestamp="1675104257"&gt;22&lt;/key&gt;&lt;/foreign-keys&gt;&lt;ref-type name="Journal Article"&gt;17&lt;/ref-type&gt;&lt;contributors&gt;&lt;authors&gt;&lt;author&gt;Allen, Mike&lt;/author&gt;&lt;author&gt;Bourhis, John&lt;/author&gt;&lt;author&gt;Burrell, Nancy&lt;/author&gt;&lt;author&gt;Mabry, Edward&lt;/author&gt;&lt;/authors&gt;&lt;/contributors&gt;&lt;titles&gt;&lt;title&gt;Comparing Student Satisfaction With Distance Education to Traditional Classrooms in Higher Education: A Meta-Analysis&lt;/title&gt;&lt;secondary-title&gt;American Journal of Distance Education&lt;/secondary-title&gt;&lt;/titles&gt;&lt;periodical&gt;&lt;full-title&gt;American Journal of Distance Education&lt;/full-title&gt;&lt;/periodical&gt;&lt;pages&gt;83-97&lt;/pages&gt;&lt;volume&gt;16&lt;/volume&gt;&lt;number&gt;2&lt;/number&gt;&lt;dates&gt;&lt;year&gt;2002&lt;/year&gt;&lt;/dates&gt;&lt;publisher&gt;Informa UK Limited&lt;/publisher&gt;&lt;isbn&gt;0892-3647&lt;/isbn&gt;&lt;urls&gt;&lt;related-urls&gt;&lt;url&gt;https://dx.doi.org/10.1207/s15389286ajde1602_3&lt;/url&gt;&lt;/related-urls&gt;&lt;/urls&gt;&lt;electronic-resource-num&gt;10.1207/s15389286ajde1602_3&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(Allen et al., 2002)</w:t>
      </w:r>
      <w:r>
        <w:rPr>
          <w:rFonts w:ascii="Times New Roman" w:hAnsi="Times New Roman" w:cs="Times New Roman"/>
        </w:rPr>
        <w:fldChar w:fldCharType="end"/>
      </w:r>
      <w:r>
        <w:rPr>
          <w:rFonts w:ascii="Times New Roman" w:hAnsi="Times New Roman" w:cs="Times New Roman"/>
        </w:rPr>
        <w:t xml:space="preserve">. As a result, vast differences in learning requirements and preferences, educational institutions across the globe have moved toward incorporating elements of both in-person and online distance instruction into more adaptive educational formats that came to be known as blended learning models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&lt;EndNote&gt;&lt;Cite&gt;&lt;Author&gt;Singh&lt;/Author&gt;&lt;Year&gt;2021&lt;/Year&gt;&lt;RecNum&gt;27&lt;/RecNum&gt;&lt;DisplayText&gt;(Singh, 2021)&lt;/DisplayText&gt;&lt;record&gt;&lt;rec-number&gt;27&lt;/rec-number&gt;&lt;foreign-keys&gt;&lt;key app="EN" db-id="xxs5w29drx0waserr05599fudw0rtv2p2vew" timestamp="1675105673"&gt;27&lt;/key&gt;&lt;/foreign-keys&gt;&lt;ref-type name="Book Section"&gt;5&lt;/ref-type&gt;&lt;contributors&gt;&lt;authors&gt;&lt;author&gt;Singh, Harvey&lt;/author&gt;&lt;/authors&gt;&lt;/contributors&gt;&lt;titles&gt;&lt;title&gt;Building Effective Blended Learning Programs&lt;/title&gt;&lt;alt-title&gt;Challenges and Opportunities for the Global Implementation of E-Learning Frameworks&lt;/alt-title&gt;&lt;/titles&gt;&lt;pages&gt;15-23&lt;/pages&gt;&lt;dates&gt;&lt;year&gt;2021&lt;/year&gt;&lt;/dates&gt;&lt;publisher&gt;IGI Global&lt;/publisher&gt;&lt;isbn&gt;2326-8905&lt;/isbn&gt;&lt;urls&gt;&lt;related-urls&gt;&lt;url&gt;https://dx.doi.org/10.4018/978-1-7998-7607-6.ch002&lt;/url&gt;&lt;/related-urls&gt;&lt;/urls&gt;&lt;electronic-resource-num&gt;10.4018/978-1-7998-7607-6.ch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(Singh, 2021)</w:t>
      </w:r>
      <w:r>
        <w:rPr>
          <w:rFonts w:ascii="Times New Roman" w:hAnsi="Times New Roman" w:cs="Times New Roman"/>
        </w:rPr>
        <w:fldChar w:fldCharType="end"/>
      </w:r>
      <w:r>
        <w:rPr>
          <w:rFonts w:ascii="Times New Roman" w:hAnsi="Times New Roman" w:cs="Times New Roman"/>
        </w:rPr>
        <w:t xml:space="preserve">. These hybrid models are often comprised of a mixture of self-paced online modules, live webinars or virtual class sessions, and scheduled face-to-face meetings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&lt;EndNote&gt;&lt;Cite&gt;&lt;Author&gt;Singh&lt;/Author&gt;&lt;Year&gt;2021&lt;/Year&gt;&lt;RecNum&gt;27&lt;/RecNum&gt;&lt;DisplayText&gt;(Singh, 2021)&lt;/DisplayText&gt;&lt;record&gt;&lt;rec-number&gt;27&lt;/rec-number&gt;&lt;foreign-keys&gt;&lt;key app="EN" db-id="xxs5w29drx0waserr05599fudw0rtv2p2vew" timestamp="1675105673"&gt;27&lt;/key&gt;&lt;/foreign-keys&gt;&lt;ref-type name="Book Section"&gt;5&lt;/ref-type&gt;&lt;contributors&gt;&lt;authors&gt;&lt;author&gt;Singh, Harvey&lt;/author&gt;&lt;/authors&gt;&lt;/contributors&gt;&lt;titles&gt;&lt;title&gt;Building Effective Blended Learning Programs&lt;/title&gt;&lt;alt-title&gt;Challenges and Opportunities for the Global Implementation of E-Learning Frameworks&lt;/alt-title&gt;&lt;/titles&gt;&lt;pages&gt;15-23&lt;/pages&gt;&lt;dates&gt;&lt;year&gt;2021&lt;/year&gt;&lt;/dates&gt;&lt;publisher&gt;IGI Global&lt;/publisher&gt;&lt;isbn&gt;2326-8905&lt;/isbn&gt;&lt;urls&gt;&lt;related-urls&gt;&lt;url&gt;https://dx.doi.org/10.4018/978-1-7998-7607-6.ch002&lt;/url&gt;&lt;/related-urls&gt;&lt;/urls&gt;&lt;electronic-resource-num&gt;10.4018/978-1-7998-7607-6.ch002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(Singh, 2021)</w:t>
      </w:r>
      <w:r>
        <w:rPr>
          <w:rFonts w:ascii="Times New Roman" w:hAnsi="Times New Roman" w:cs="Times New Roman"/>
        </w:rPr>
        <w:fldChar w:fldCharType="end"/>
      </w:r>
      <w:r>
        <w:rPr>
          <w:rFonts w:ascii="Times New Roman" w:hAnsi="Times New Roman" w:cs="Times New Roman"/>
        </w:rPr>
        <w:t xml:space="preserve">. Hybrid learning models provide benefits of both traditional and online learning formats by allowing individuals to attend a classroom-based training while simultaneously allowing others to participate virtually, thus, extending the educational opportunity to individuals that would otherwise be unable to participate due to the time or location restraints of a strictly in-person approach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&lt;EndNote&gt;&lt;Cite&gt;&lt;Author&gt;Singh&lt;/Author&gt;&lt;Year&gt;2001&lt;/Year&gt;&lt;RecNum&gt;39&lt;/RecNum&gt;&lt;DisplayText&gt;(Singh &amp;amp; Reed, 2001)&lt;/DisplayText&gt;&lt;record&gt;&lt;rec-number&gt;39&lt;/rec-number&gt;&lt;foreign-keys&gt;&lt;key app="EN" db-id="xxs5w29drx0waserr05599fudw0rtv2p2vew" timestamp="1677003712"&gt;39&lt;/key&gt;&lt;/foreign-keys&gt;&lt;ref-type name="Journal Article"&gt;17&lt;/ref-type&gt;&lt;contributors&gt;&lt;authors&gt;&lt;author&gt;Singh, Harvi&lt;/author&gt;&lt;author&gt;Reed, Chris&lt;/author&gt;&lt;/authors&gt;&lt;/contributors&gt;&lt;titles&gt;&lt;title&gt;A white paper: Achieving success with blended learning&lt;/title&gt;&lt;secondary-title&gt;Centra software&lt;/secondary-title&gt;&lt;/titles&gt;&lt;periodical&gt;&lt;full-title&gt;Centra software&lt;/full-title&gt;&lt;/periodical&gt;&lt;pages&gt;1-11&lt;/pages&gt;&lt;volume&gt;1&lt;/volume&gt;&lt;dates&gt;&lt;year&gt;2001&lt;/year&gt;&lt;/dates&gt;&lt;urls&gt;&lt;/urls&gt;&lt;/record&gt;&lt;/Cite&gt;&lt;/EndNote&gt;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(Singh &amp; Reed, 2001)</w:t>
      </w:r>
      <w:r>
        <w:rPr>
          <w:rFonts w:ascii="Times New Roman" w:hAnsi="Times New Roman" w:cs="Times New Roman"/>
        </w:rPr>
        <w:fldChar w:fldCharType="end"/>
      </w:r>
      <w:r>
        <w:rPr>
          <w:rFonts w:ascii="Times New Roman" w:hAnsi="Times New Roman" w:cs="Times New Roman"/>
        </w:rPr>
        <w:t xml:space="preserve">. Blended models also allow for optimized development time and cost associated with the production of educational programs. For example, fully immersive, asynchronous online programs can become expensive to create due to software requirements and solely face-to-face options pose the aforementioned time constraints </w:t>
      </w:r>
      <w:r>
        <w:rPr>
          <w:rFonts w:ascii="Times New Roman" w:hAnsi="Times New Roman" w:cs="Times New Roman"/>
        </w:rPr>
        <w:fldChar w:fldCharType="begin"/>
      </w:r>
      <w:r>
        <w:rPr>
          <w:rFonts w:ascii="Times New Roman" w:hAnsi="Times New Roman" w:cs="Times New Roman"/>
        </w:rPr>
        <w:instrText xml:space="preserve"> ADDIN EN.CITE &lt;EndNote&gt;&lt;Cite&gt;&lt;Author&gt;Singh&lt;/Author&gt;&lt;Year&gt;2001&lt;/Year&gt;&lt;RecNum&gt;39&lt;/RecNum&gt;&lt;DisplayText&gt;(Singh &amp;amp; Reed, 2001)&lt;/DisplayText&gt;&lt;record&gt;&lt;rec-number&gt;39&lt;/rec-number&gt;&lt;foreign-keys&gt;&lt;key app="EN" db-id="xxs5w29drx0waserr05599fudw0rtv2p2vew" timestamp="1677003712"&gt;39&lt;/key&gt;&lt;/foreign-keys&gt;&lt;ref-type name="Journal Article"&gt;17&lt;/ref-type&gt;&lt;contributors&gt;&lt;authors&gt;&lt;author&gt;Singh, Harvi&lt;/author&gt;&lt;author&gt;Reed, Chris&lt;/author&gt;&lt;/authors&gt;&lt;/contributors&gt;&lt;titles&gt;&lt;title&gt;A white paper: Achieving success with blended learning&lt;/title&gt;&lt;secondary-title&gt;Centra software&lt;/secondary-title&gt;&lt;/titles&gt;&lt;periodical&gt;&lt;full-title&gt;Centra software&lt;/full-title&gt;&lt;/periodical&gt;&lt;pages&gt;1-11&lt;/pages&gt;&lt;volume&gt;1&lt;/volume&gt;&lt;dates&gt;&lt;year&gt;2001&lt;/year&gt;&lt;/dates&gt;&lt;urls&gt;&lt;/urls&gt;&lt;/record&gt;&lt;/Cite&gt;&lt;/EndNote&gt;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(Singh &amp; Reed, 2001)</w:t>
      </w:r>
      <w:r>
        <w:rPr>
          <w:rFonts w:ascii="Times New Roman" w:hAnsi="Times New Roman" w:cs="Times New Roman"/>
        </w:rPr>
        <w:fldChar w:fldCharType="end"/>
      </w:r>
      <w:r>
        <w:rPr>
          <w:rFonts w:ascii="Times New Roman" w:hAnsi="Times New Roman" w:cs="Times New Roman"/>
        </w:rPr>
        <w:t xml:space="preserve">. An overall performance increase from learners has been reflected when engaging in a well-executed blended learning model compared to both face-to-face and online learning platforms </w:t>
      </w:r>
      <w:r>
        <w:rPr>
          <w:rFonts w:ascii="Times New Roman" w:hAnsi="Times New Roman" w:cs="Times New Roman"/>
        </w:rPr>
        <w:fldChar w:fldCharType="begin"/>
      </w:r>
      <w:r>
        <w:rPr>
          <w:rFonts w:ascii="Times New Roman" w:hAnsi="Times New Roman" w:cs="Times New Roman"/>
        </w:rPr>
        <w:instrText xml:space="preserve"> ADDIN EN.CITE &lt;EndNote&gt;&lt;Cite&gt;&lt;Author&gt;Hughes&lt;/Author&gt;&lt;Year&gt;2007&lt;/Year&gt;&lt;RecNum&gt;4&lt;/RecNum&gt;&lt;DisplayText&gt;(Hughes, 2007)&lt;/DisplayText&gt;&lt;record&gt;&lt;rec-number&gt;4&lt;/rec-number&gt;&lt;foreign-keys&gt;&lt;key app="EN" db-id="xxs5w29drx0waserr05599fudw0rtv2p2vew" timestamp="1672852469"&gt;4&lt;/key&gt;&lt;/foreign-keys&gt;&lt;ref-type name="Journal Article"&gt;17&lt;/ref-type&gt;&lt;contributors&gt;&lt;authors&gt;&lt;author&gt;Hughes, Gwyneth&lt;/author&gt;&lt;/authors&gt;&lt;/contributors&gt;&lt;titles&gt;&lt;title&gt;Using blended learning to increase learner support and improve retention&lt;/title&gt;&lt;secondary-title&gt;Teaching in Higher Education&lt;/secondary-title&gt;&lt;/titles&gt;&lt;periodical&gt;&lt;full-title&gt;Teaching in Higher Education&lt;/full-title&gt;&lt;/periodical&gt;&lt;pages&gt;349-363&lt;/pages&gt;&lt;volume&gt;12&lt;/volume&gt;&lt;number&gt;3&lt;/number&gt;&lt;dates&gt;&lt;year&gt;2007&lt;/year&gt;&lt;/dates&gt;&lt;publisher&gt;Informa UK Limited&lt;/publisher&gt;&lt;isbn&gt;1356-2517&lt;/isbn&gt;&lt;urls&gt;&lt;related-urls&gt;&lt;url&gt;https://dx.doi.org/10.1080/13562510701278690&lt;/url&gt;&lt;/related-urls&gt;&lt;/urls&gt;&lt;electronic-resource-num&gt;10.1080/13562510701278690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(Hughes, 2007)</w:t>
      </w:r>
      <w:r>
        <w:rPr>
          <w:rFonts w:ascii="Times New Roman" w:hAnsi="Times New Roman" w:cs="Times New Roman"/>
        </w:rPr>
        <w:fldChar w:fldCharType="end"/>
      </w:r>
      <w:r>
        <w:rPr>
          <w:rFonts w:ascii="Times New Roman" w:hAnsi="Times New Roman" w:cs="Times New Roman"/>
        </w:rPr>
        <w:t xml:space="preserve">. A significantly lower failure rate was observed along with an increased rate of submitted assignments, thus suggesting that when utilized properly, blended learning formats can prove very beneficial to learner retention </w:t>
      </w:r>
      <w:r>
        <w:rPr>
          <w:rFonts w:ascii="Times New Roman" w:hAnsi="Times New Roman" w:cs="Times New Roman"/>
        </w:rPr>
        <w:fldChar w:fldCharType="begin"/>
      </w:r>
      <w:r>
        <w:rPr>
          <w:rFonts w:ascii="Times New Roman" w:hAnsi="Times New Roman" w:cs="Times New Roman"/>
        </w:rPr>
        <w:instrText xml:space="preserve"> ADDIN EN.CITE &lt;EndNote&gt;&lt;Cite&gt;&lt;Author&gt;Hughes&lt;/Author&gt;&lt;Year&gt;2007&lt;/Year&gt;&lt;RecNum&gt;4&lt;/RecNum&gt;&lt;DisplayText&gt;(Hughes, 2007)&lt;/DisplayText&gt;&lt;record&gt;&lt;rec-number&gt;4&lt;/rec-number&gt;&lt;foreign-keys&gt;&lt;key app="EN" db-id="xxs5w29drx0waserr05599fudw0rtv2p2vew" timestamp="1672852469"&gt;4&lt;/key&gt;&lt;/foreign-keys&gt;&lt;ref-type name="Journal Article"&gt;17&lt;/ref-type&gt;&lt;contributors&gt;&lt;authors&gt;&lt;author&gt;Hughes, Gwyneth&lt;/author&gt;&lt;/authors&gt;&lt;/contributors&gt;&lt;titles&gt;&lt;title&gt;Using blended learning to increase learner support and improve retention&lt;/title&gt;&lt;secondary-title&gt;Teaching in Higher Education&lt;/secondary-title&gt;&lt;/titles&gt;&lt;periodical&gt;&lt;full-title&gt;Teaching in Higher Education&lt;/full-title&gt;&lt;/periodical&gt;&lt;pages&gt;349-363&lt;/pages&gt;&lt;volume&gt;12&lt;/volume&gt;&lt;number&gt;3&lt;/number&gt;&lt;dates&gt;&lt;year&gt;2007&lt;/year&gt;&lt;/dates&gt;&lt;publisher&gt;Informa UK Limited&lt;/publisher&gt;&lt;isbn&gt;1356-2517&lt;/isbn&gt;&lt;urls&gt;&lt;related-urls&gt;&lt;url&gt;https://dx.doi.org/10.1080/13562510701278690&lt;/url&gt;&lt;/related-urls&gt;&lt;/urls&gt;&lt;electronic-resource-num&gt;10.1080/13562510701278690&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(Hughes, 2007)</w:t>
      </w:r>
      <w:r>
        <w:rPr>
          <w:rFonts w:ascii="Times New Roman" w:hAnsi="Times New Roman" w:cs="Times New Roman"/>
        </w:rPr>
        <w:fldChar w:fldCharType="end"/>
      </w:r>
      <w:r>
        <w:rPr>
          <w:rFonts w:ascii="Times New Roman" w:hAnsi="Times New Roman" w:cs="Times New Roman"/>
        </w:rPr>
        <w:t xml:space="preserve">. </w:t>
      </w:r>
    </w:p>
    <w:p w14:paraId="255BFFA1" w14:textId="77777777" w:rsidR="00AA7CD5" w:rsidRDefault="00AA7CD5" w:rsidP="008A6B75">
      <w:pPr>
        <w:spacing w:line="360" w:lineRule="auto"/>
        <w:rPr>
          <w:rFonts w:ascii="Times New Roman" w:hAnsi="Times New Roman" w:cs="Times New Roman"/>
        </w:rPr>
      </w:pPr>
    </w:p>
    <w:p w14:paraId="556A9083"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When implementing educational programming through Extension, in-person, online, and blended models are utilized. However, little research has been done to evaluate and compare the </w:t>
      </w:r>
      <w:r>
        <w:rPr>
          <w:rFonts w:ascii="Times New Roman" w:hAnsi="Times New Roman" w:cs="Times New Roman"/>
        </w:rPr>
        <w:lastRenderedPageBreak/>
        <w:t>frequency and audience preferences of these models in an Extension setting. Additionally, there is a lack of research in the literature that evaluates the overall effectiveness of these models in the realm of Extension.</w:t>
      </w:r>
    </w:p>
    <w:p w14:paraId="7436E74D" w14:textId="77777777" w:rsidR="00AA7CD5" w:rsidRDefault="00AA7CD5" w:rsidP="008A6B75">
      <w:pPr>
        <w:spacing w:line="360" w:lineRule="auto"/>
        <w:rPr>
          <w:rFonts w:ascii="Times New Roman" w:hAnsi="Times New Roman" w:cs="Times New Roman"/>
        </w:rPr>
      </w:pPr>
    </w:p>
    <w:p w14:paraId="79545C85" w14:textId="77777777" w:rsidR="00AA7CD5" w:rsidRPr="00396ACF" w:rsidRDefault="00AA7CD5" w:rsidP="008A6B75">
      <w:pPr>
        <w:pStyle w:val="Heading2"/>
        <w:spacing w:line="360" w:lineRule="auto"/>
        <w:rPr>
          <w:rFonts w:ascii="Times New Roman" w:hAnsi="Times New Roman" w:cs="Times New Roman"/>
          <w:sz w:val="24"/>
          <w:szCs w:val="24"/>
        </w:rPr>
      </w:pPr>
      <w:bookmarkStart w:id="52" w:name="_Toc139831945"/>
      <w:bookmarkStart w:id="53" w:name="_Toc151023698"/>
      <w:r w:rsidRPr="00396ACF">
        <w:rPr>
          <w:rFonts w:ascii="Times New Roman" w:hAnsi="Times New Roman" w:cs="Times New Roman"/>
          <w:sz w:val="24"/>
          <w:szCs w:val="24"/>
        </w:rPr>
        <w:t>Extension/Agriculture Education</w:t>
      </w:r>
      <w:bookmarkEnd w:id="52"/>
      <w:bookmarkEnd w:id="53"/>
    </w:p>
    <w:p w14:paraId="346E5BB8" w14:textId="77777777" w:rsidR="00AA7CD5" w:rsidRPr="00396ACF" w:rsidRDefault="00AA7CD5" w:rsidP="008A6B75">
      <w:pPr>
        <w:pStyle w:val="Heading3"/>
        <w:spacing w:line="360" w:lineRule="auto"/>
        <w:rPr>
          <w:rFonts w:ascii="Times New Roman" w:hAnsi="Times New Roman" w:cs="Times New Roman"/>
        </w:rPr>
      </w:pPr>
      <w:bookmarkStart w:id="54" w:name="_Toc151023699"/>
      <w:r w:rsidRPr="00396ACF">
        <w:rPr>
          <w:rFonts w:ascii="Times New Roman" w:hAnsi="Times New Roman" w:cs="Times New Roman"/>
        </w:rPr>
        <w:t>Importance/Overview</w:t>
      </w:r>
      <w:bookmarkEnd w:id="54"/>
    </w:p>
    <w:p w14:paraId="08C16FFF"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As previously noted, the mission of land grant institutions is rooted in providing solutions to every day issues in regard to agriculture and natural resource production, management, and sustainability </w:t>
      </w:r>
      <w:r>
        <w:rPr>
          <w:rFonts w:ascii="Times New Roman" w:hAnsi="Times New Roman" w:cs="Times New Roman"/>
        </w:rPr>
        <w:fldChar w:fldCharType="begin"/>
      </w:r>
      <w:r>
        <w:rPr>
          <w:rFonts w:ascii="Times New Roman" w:hAnsi="Times New Roman" w:cs="Times New Roman"/>
        </w:rPr>
        <w:instrText xml:space="preserve"> ADDIN EN.CITE &lt;EndNote&gt;&lt;Cite&gt;&lt;Author&gt;Grant&lt;/Author&gt;&lt;Year&gt;2000&lt;/Year&gt;&lt;RecNum&gt;19&lt;/RecNum&gt;&lt;DisplayText&gt;(Grant et al., 2000)&lt;/DisplayText&gt;&lt;record&gt;&lt;rec-number&gt;19&lt;/rec-number&gt;&lt;foreign-keys&gt;&lt;key app="EN" db-id="xxs5w29drx0waserr05599fudw0rtv2p2vew" timestamp="1675102531"&gt;19&lt;/key&gt;&lt;/foreign-keys&gt;&lt;ref-type name="Journal Article"&gt;17&lt;/ref-type&gt;&lt;contributors&gt;&lt;authors&gt;&lt;author&gt;Grant, PM&lt;/author&gt;&lt;author&gt;Field, TG&lt;/author&gt;&lt;author&gt;Green, RD&lt;/author&gt;&lt;author&gt;Rollin, BE&lt;/author&gt;&lt;/authors&gt;&lt;/contributors&gt;&lt;titles&gt;&lt;title&gt;The importance of comprehensive agricultural education in land-grant institutions: A historical perspective&lt;/title&gt;&lt;secondary-title&gt;Journal of animal science&lt;/secondary-title&gt;&lt;/titles&gt;&lt;periodical&gt;&lt;full-title&gt;Journal of animal science&lt;/full-title&gt;&lt;/periodical&gt;&lt;pages&gt;1684-1689&lt;/pages&gt;&lt;volume&gt;78&lt;/volume&gt;&lt;number&gt;6&lt;/number&gt;&lt;dates&gt;&lt;year&gt;2000&lt;/year&gt;&lt;/dates&gt;&lt;isbn&gt;0021-8812&lt;/isbn&gt;&lt;urls&gt;&lt;/urls&gt;&lt;/record&gt;&lt;/Cite&gt;&lt;/EndNote&gt;</w:instrText>
      </w:r>
      <w:r>
        <w:rPr>
          <w:rFonts w:ascii="Times New Roman" w:hAnsi="Times New Roman" w:cs="Times New Roman"/>
        </w:rPr>
        <w:fldChar w:fldCharType="separate"/>
      </w:r>
      <w:r>
        <w:rPr>
          <w:rFonts w:ascii="Times New Roman" w:hAnsi="Times New Roman" w:cs="Times New Roman"/>
          <w:noProof/>
        </w:rPr>
        <w:t>(Grant et al., 2000)</w:t>
      </w:r>
      <w:r>
        <w:rPr>
          <w:rFonts w:ascii="Times New Roman" w:hAnsi="Times New Roman" w:cs="Times New Roman"/>
        </w:rPr>
        <w:fldChar w:fldCharType="end"/>
      </w:r>
      <w:r>
        <w:rPr>
          <w:rFonts w:ascii="Times New Roman" w:hAnsi="Times New Roman" w:cs="Times New Roman"/>
        </w:rPr>
        <w:t xml:space="preserve">. The first step to accomplishing this mission is effectively staffing institutions with personnel that are well-versed and properly educated in these content areas. Thus, agriculture education plays a vital role in the success of university extension programs. Traditionally, agriculture education takes the form of a three-circle model consisting of classroom instruction, experiential learning via supervised experiences, and leadership activities </w:t>
      </w:r>
      <w:r>
        <w:rPr>
          <w:rFonts w:ascii="Times New Roman" w:hAnsi="Times New Roman" w:cs="Times New Roman"/>
        </w:rPr>
        <w:fldChar w:fldCharType="begin"/>
      </w:r>
      <w:r>
        <w:rPr>
          <w:rFonts w:ascii="Times New Roman" w:hAnsi="Times New Roman" w:cs="Times New Roman"/>
        </w:rPr>
        <w:instrText xml:space="preserve"> ADDIN EN.CITE &lt;EndNote&gt;&lt;Cite&gt;&lt;Author&gt;Dailey&lt;/Author&gt;&lt;Year&gt;2001&lt;/Year&gt;&lt;RecNum&gt;40&lt;/RecNum&gt;&lt;DisplayText&gt;(Dailey et al., 2001)&lt;/DisplayText&gt;&lt;record&gt;&lt;rec-number&gt;40&lt;/rec-number&gt;&lt;foreign-keys&gt;&lt;key app="EN" db-id="xxs5w29drx0waserr05599fudw0rtv2p2vew" timestamp="1677169322"&gt;40&lt;/key&gt;&lt;/foreign-keys&gt;&lt;ref-type name="Journal Article"&gt;17&lt;/ref-type&gt;&lt;contributors&gt;&lt;authors&gt;&lt;author&gt;Dailey, Amber L&lt;/author&gt;&lt;author&gt;Conroy, Carol A&lt;/author&gt;&lt;author&gt;Shelley-Tolbert, Cynthia A&lt;/author&gt;&lt;/authors&gt;&lt;/contributors&gt;&lt;titles&gt;&lt;title&gt;Using agricultural education as the context to teach life skills&lt;/title&gt;&lt;secondary-title&gt;Journal of Agricultural Education&lt;/secondary-title&gt;&lt;/titles&gt;&lt;periodical&gt;&lt;full-title&gt;Journal of Agricultural Education&lt;/full-title&gt;&lt;/periodical&gt;&lt;pages&gt;10-19&lt;/pages&gt;&lt;volume&gt;42&lt;/volume&gt;&lt;number&gt;1&lt;/number&gt;&lt;dates&gt;&lt;year&gt;2001&lt;/year&gt;&lt;/dates&gt;&lt;isbn&gt;1042-0541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(Dailey et al., 2001)</w:t>
      </w:r>
      <w:r>
        <w:rPr>
          <w:rFonts w:ascii="Times New Roman" w:hAnsi="Times New Roman" w:cs="Times New Roman"/>
        </w:rPr>
        <w:fldChar w:fldCharType="end"/>
      </w:r>
      <w:r>
        <w:rPr>
          <w:rFonts w:ascii="Times New Roman" w:hAnsi="Times New Roman" w:cs="Times New Roman"/>
        </w:rPr>
        <w:t xml:space="preserve">. When implemented in a properly designed program, agriculture education as a three-circle model provides learners with not only content knowledge but also hands-on experience and soft skills that will prove beneficial in any agricultural field of work including that in a university extension setting </w:t>
      </w:r>
      <w:r>
        <w:rPr>
          <w:rFonts w:ascii="Times New Roman" w:hAnsi="Times New Roman" w:cs="Times New Roman"/>
        </w:rPr>
        <w:fldChar w:fldCharType="begin"/>
      </w:r>
      <w:r>
        <w:rPr>
          <w:rFonts w:ascii="Times New Roman" w:hAnsi="Times New Roman" w:cs="Times New Roman"/>
        </w:rPr>
        <w:instrText xml:space="preserve"> ADDIN EN.CITE &lt;EndNote&gt;&lt;Cite&gt;&lt;Author&gt;Dailey&lt;/Author&gt;&lt;Year&gt;2001&lt;/Year&gt;&lt;RecNum&gt;40&lt;/RecNum&gt;&lt;DisplayText&gt;(Dailey et al., 2001)&lt;/DisplayText&gt;&lt;record&gt;&lt;rec-number&gt;40&lt;/rec-number&gt;&lt;foreign-keys&gt;&lt;key app="EN" db-id="xxs5w29drx0waserr05599fudw0rtv2p2vew" timestamp="1677169322"&gt;40&lt;/key&gt;&lt;/foreign-keys&gt;&lt;ref-type name="Journal Article"&gt;17&lt;/ref-type&gt;&lt;contributors&gt;&lt;authors&gt;&lt;author&gt;Dailey, Amber L&lt;/author&gt;&lt;author&gt;Conroy, Carol A&lt;/author&gt;&lt;author&gt;Shelley-Tolbert, Cynthia A&lt;/author&gt;&lt;/authors&gt;&lt;/contributors&gt;&lt;titles&gt;&lt;title&gt;Using agricultural education as the context to teach life skills&lt;/title&gt;&lt;secondary-title&gt;Journal of Agricultural Education&lt;/secondary-title&gt;&lt;/titles&gt;&lt;periodical&gt;&lt;full-title&gt;Journal of Agricultural Education&lt;/full-title&gt;&lt;/periodical&gt;&lt;pages&gt;10-19&lt;/pages&gt;&lt;volume&gt;42&lt;/volume&gt;&lt;number&gt;1&lt;/number&gt;&lt;dates&gt;&lt;year&gt;2001&lt;/year&gt;&lt;/dates&gt;&lt;isbn&gt;1042-0541&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(Dailey et al., 2001)</w:t>
      </w:r>
      <w:r>
        <w:rPr>
          <w:rFonts w:ascii="Times New Roman" w:hAnsi="Times New Roman" w:cs="Times New Roman"/>
        </w:rPr>
        <w:fldChar w:fldCharType="end"/>
      </w:r>
      <w:r>
        <w:rPr>
          <w:rFonts w:ascii="Times New Roman" w:hAnsi="Times New Roman" w:cs="Times New Roman"/>
        </w:rPr>
        <w:t>.</w:t>
      </w:r>
    </w:p>
    <w:p w14:paraId="7FF24E6B" w14:textId="77777777" w:rsidR="00AA7CD5" w:rsidRDefault="00AA7CD5" w:rsidP="008A6B75">
      <w:pPr>
        <w:spacing w:line="360" w:lineRule="auto"/>
        <w:rPr>
          <w:rFonts w:ascii="Times New Roman" w:hAnsi="Times New Roman" w:cs="Times New Roman"/>
        </w:rPr>
      </w:pPr>
    </w:p>
    <w:p w14:paraId="0DB75556" w14:textId="77777777" w:rsidR="00AA7CD5" w:rsidRDefault="00AA7CD5" w:rsidP="008A6B75">
      <w:pPr>
        <w:spacing w:line="360" w:lineRule="auto"/>
        <w:rPr>
          <w:rFonts w:ascii="Times New Roman" w:hAnsi="Times New Roman" w:cs="Times New Roman"/>
        </w:rPr>
      </w:pPr>
    </w:p>
    <w:p w14:paraId="4D517E76" w14:textId="77777777" w:rsidR="00AA7CD5" w:rsidRPr="00396ACF" w:rsidRDefault="00AA7CD5" w:rsidP="008A6B75">
      <w:pPr>
        <w:pStyle w:val="Heading3"/>
        <w:spacing w:line="360" w:lineRule="auto"/>
        <w:rPr>
          <w:rFonts w:ascii="Times New Roman" w:hAnsi="Times New Roman" w:cs="Times New Roman"/>
        </w:rPr>
      </w:pPr>
      <w:bookmarkStart w:id="55" w:name="_Toc151023700"/>
      <w:r w:rsidRPr="00396ACF">
        <w:rPr>
          <w:rFonts w:ascii="Times New Roman" w:hAnsi="Times New Roman" w:cs="Times New Roman"/>
        </w:rPr>
        <w:t>Extension Agent Background</w:t>
      </w:r>
      <w:bookmarkEnd w:id="55"/>
    </w:p>
    <w:p w14:paraId="4A6D53E0"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Within the University of Tennessee Extension system, all 95 counties in the state employee agents that serve as representatives of the university to carry out various adult and youth programs within their respective counties. Each county extension agent is categorized into one of three program areas (ANR, 4-H, or FCS) with some agents having split appointments between multiple program areas. Adult education and programing geared toward agriculture and natural resources falls under the responsibility of ANR agents whereas youth programming, 4-H clubs, and school outreach is overseen by 4-H agents. In many cases, ANR and 4-H agents will work hand-in-hand to conduct certain programs based the knowledge and skills possessed by each </w:t>
      </w:r>
      <w:r>
        <w:rPr>
          <w:rFonts w:ascii="Times New Roman" w:hAnsi="Times New Roman" w:cs="Times New Roman"/>
        </w:rPr>
        <w:lastRenderedPageBreak/>
        <w:t>agent. For example, a county 4-H agent may lack knowledge and background in livestock production and will reach out to the county ANR agent to help coach a judging team. Despite this system’s overall success, it is common for this vast array of difference in knowledge between county extension agents to leave some counties lacking in certain topic areas (i.e., a county lacks a successful 4-H horse program due to county agents lacking equine focused knowledge or skills). Additionally, the county ANR agent may lack a background in animal agriculture altogether. This creates an even greater knowledge gap in county Extension personnel especially when partnered with a 4-H agent that also lack knowledge in animal-related topics. Regardless of knowledge, skills, and background, agents are often required to implement programs outside of their given specialty area. This practice often creates knowledge gaps in individuals across different counties. Often, agents have appointments with split responsibilities between ANR and 4-H programming which further exacerbates the ability to create effective educational opportunities in all topic areas. Furthermore, it is imperative that county extension agents continue to learn and develop their skills while embedded in the occupation. This is especially true regarding topic areas, content, and programming of which they consider unfamiliar. By obtaining knowledge of additional subject matter, county extension agents can expand their programs and create additional opportunities for youth and adults alike.</w:t>
      </w:r>
    </w:p>
    <w:p w14:paraId="5F379E80" w14:textId="77777777" w:rsidR="00AA7CD5" w:rsidRDefault="00AA7CD5" w:rsidP="008A6B75">
      <w:pPr>
        <w:spacing w:line="360" w:lineRule="auto"/>
        <w:rPr>
          <w:rFonts w:ascii="Times New Roman" w:hAnsi="Times New Roman" w:cs="Times New Roman"/>
        </w:rPr>
      </w:pPr>
    </w:p>
    <w:p w14:paraId="73C88471"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 Often, county Extension agents rely on volunteers from the community to aid in conducting youth programming. This is especially true for those agents responsible for overseeing programs outside of their knowledge areas. For example, a county agent may rely on a knowledgeable equine enthusiast from their community to coach a horse judging team due to the agent’s lack of equine-specific knowledge. In counties where this is the case, it is vital for those agents to recruit quality volunteers to lead youth clubs and programs in their county. </w:t>
      </w:r>
    </w:p>
    <w:p w14:paraId="6E8DCB20" w14:textId="77777777" w:rsidR="00AA7CD5" w:rsidRDefault="00AA7CD5" w:rsidP="008A6B75">
      <w:pPr>
        <w:spacing w:line="360" w:lineRule="auto"/>
        <w:rPr>
          <w:rFonts w:ascii="Times New Roman" w:hAnsi="Times New Roman" w:cs="Times New Roman"/>
          <w:i/>
          <w:iCs/>
        </w:rPr>
      </w:pPr>
    </w:p>
    <w:p w14:paraId="50B67001" w14:textId="77777777" w:rsidR="00AA7CD5" w:rsidRPr="00396ACF" w:rsidRDefault="00AA7CD5" w:rsidP="008A6B75">
      <w:pPr>
        <w:pStyle w:val="Heading3"/>
        <w:spacing w:line="360" w:lineRule="auto"/>
        <w:rPr>
          <w:rFonts w:ascii="Times New Roman" w:hAnsi="Times New Roman" w:cs="Times New Roman"/>
        </w:rPr>
      </w:pPr>
      <w:bookmarkStart w:id="56" w:name="_Toc151023701"/>
      <w:r w:rsidRPr="00396ACF">
        <w:rPr>
          <w:rFonts w:ascii="Times New Roman" w:hAnsi="Times New Roman" w:cs="Times New Roman"/>
        </w:rPr>
        <w:t>Previous Research Efforts on Educating Extension Personnel</w:t>
      </w:r>
      <w:bookmarkEnd w:id="56"/>
    </w:p>
    <w:p w14:paraId="01F3A711"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University of Tennessee Extension service along with other land-grant based extension services across the world implement successful programming to teach and train youth and adults across a vast variety of subject areas. With the growth and expansion of successful programming </w:t>
      </w:r>
      <w:r>
        <w:rPr>
          <w:rFonts w:ascii="Times New Roman" w:hAnsi="Times New Roman" w:cs="Times New Roman"/>
        </w:rPr>
        <w:lastRenderedPageBreak/>
        <w:t xml:space="preserve">come the need to train educators on successful delivery and utilization of said programs </w:t>
      </w:r>
      <w:r>
        <w:rPr>
          <w:rFonts w:ascii="Times New Roman" w:hAnsi="Times New Roman" w:cs="Times New Roman"/>
        </w:rPr>
        <w:fldChar w:fldCharType="begin"/>
      </w:r>
      <w:r>
        <w:rPr>
          <w:rFonts w:ascii="Times New Roman" w:hAnsi="Times New Roman" w:cs="Times New Roman"/>
        </w:rPr>
        <w:instrText xml:space="preserve"> ADDIN EN.CITE &lt;EndNote&gt;&lt;Cite&gt;&lt;Author&gt;Richards&lt;/Author&gt;&lt;Year&gt;2012&lt;/Year&gt;&lt;RecNum&gt;16&lt;/RecNum&gt;&lt;DisplayText&gt;(Richards et al., 2012)&lt;/DisplayText&gt;&lt;record&gt;&lt;rec-number&gt;16&lt;/rec-number&gt;&lt;foreign-keys&gt;&lt;key app="EN" db-id="xxs5w29drx0waserr05599fudw0rtv2p2vew" timestamp="1673290920"&gt;16&lt;/key&gt;&lt;/foreign-keys&gt;&lt;ref-type name="Journal Article"&gt;17&lt;/ref-type&gt;&lt;contributors&gt;&lt;authors&gt;&lt;author&gt;Richards, Jennifer&lt;/author&gt;&lt;author&gt;Pratt, Carrie&lt;/author&gt;&lt;author&gt;Skolits, Gary J&lt;/author&gt;&lt;author&gt;Burney, Janie&lt;/author&gt;&lt;/authors&gt;&lt;/contributors&gt;&lt;titles&gt;&lt;title&gt;Developing and evaluating the impact of an extension-based train-the-trainer model for effectively disseminating food safety education to middle school students&lt;/title&gt;&lt;secondary-title&gt;Journal of Extension&lt;/secondary-title&gt;&lt;/titles&gt;&lt;periodical&gt;&lt;full-title&gt;Journal of Extension&lt;/full-title&gt;&lt;/periodical&gt;&lt;pages&gt;4FEA6&lt;/pages&gt;&lt;volume&gt;50&lt;/volume&gt;&lt;number&gt;4&lt;/number&gt;&lt;dates&gt;&lt;year&gt;2012&lt;/year&gt;&lt;/dates&gt;&lt;urls&gt;&lt;/urls&gt;&lt;/record&gt;&lt;/Cite&gt;&lt;/EndNote&gt;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(Richards et al., 2012)</w:t>
      </w:r>
      <w:r>
        <w:rPr>
          <w:rFonts w:ascii="Times New Roman" w:hAnsi="Times New Roman" w:cs="Times New Roman"/>
        </w:rPr>
        <w:fldChar w:fldCharType="end"/>
      </w:r>
      <w:r>
        <w:rPr>
          <w:rFonts w:ascii="Times New Roman" w:hAnsi="Times New Roman" w:cs="Times New Roman"/>
        </w:rPr>
        <w:t xml:space="preserve">. This is especially true for county extension agents who are required to delivery programming beyond the scope of their specialty areas. </w:t>
      </w:r>
    </w:p>
    <w:p w14:paraId="7B5CDC56" w14:textId="77777777" w:rsidR="00AA7CD5" w:rsidRDefault="00AA7CD5" w:rsidP="008A6B75">
      <w:pPr>
        <w:spacing w:line="360" w:lineRule="auto"/>
        <w:rPr>
          <w:rFonts w:ascii="Times New Roman" w:hAnsi="Times New Roman" w:cs="Times New Roman"/>
        </w:rPr>
      </w:pPr>
    </w:p>
    <w:p w14:paraId="347DD30B"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overall effectiveness of Virginia’s New Extension Agent Training (NEAT) program </w:t>
      </w:r>
      <w:r>
        <w:rPr>
          <w:rFonts w:ascii="Times New Roman" w:hAnsi="Times New Roman" w:cs="Times New Roman"/>
        </w:rPr>
        <w:fldChar w:fldCharType="begin"/>
      </w:r>
      <w:r>
        <w:rPr>
          <w:rFonts w:ascii="Times New Roman" w:hAnsi="Times New Roman" w:cs="Times New Roman"/>
        </w:rPr>
        <w:instrText xml:space="preserve"> ADDIN EN.CITE &lt;EndNote&gt;&lt;Cite&gt;&lt;Author&gt;Brown&lt;/Author&gt;&lt;Year&gt;2008&lt;/Year&gt;&lt;RecNum&gt;15&lt;/RecNum&gt;&lt;DisplayText&gt;(Brown et al., 2008)&lt;/DisplayText&gt;&lt;record&gt;&lt;rec-number&gt;15&lt;/rec-number&gt;&lt;foreign-keys&gt;&lt;key app="EN" db-id="xxs5w29drx0waserr05599fudw0rtv2p2vew" timestamp="1673290860"&gt;15&lt;/key&gt;&lt;/foreign-keys&gt;&lt;ref-type name="Journal Article"&gt;17&lt;/ref-type&gt;&lt;contributors&gt;&lt;authors&gt;&lt;author&gt;Brown, Almeshia S&lt;/author&gt;&lt;author&gt;Gibson, Jerry D&lt;/author&gt;&lt;author&gt;Stewart, Daisy L&lt;/author&gt;&lt;/authors&gt;&lt;/contributors&gt;&lt;titles&gt;&lt;title&gt;An assessment of Virginia cooperative Extension&amp;apos;s new Extension agent training program&lt;/title&gt;&lt;secondary-title&gt;The Journal of Extension&lt;/secondary-title&gt;&lt;/titles&gt;&lt;periodical&gt;&lt;full-title&gt;The Journal of Extension&lt;/full-title&gt;&lt;/periodical&gt;&lt;pages&gt;9&lt;/pages&gt;&lt;volume&gt;46&lt;/volume&gt;&lt;number&gt;4&lt;/number&gt;&lt;dates&gt;&lt;year&gt;2008&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(Brown et al., 2008)</w:t>
      </w:r>
      <w:r>
        <w:rPr>
          <w:rFonts w:ascii="Times New Roman" w:hAnsi="Times New Roman" w:cs="Times New Roman"/>
        </w:rPr>
        <w:fldChar w:fldCharType="end"/>
      </w:r>
      <w:r>
        <w:rPr>
          <w:rFonts w:ascii="Times New Roman" w:hAnsi="Times New Roman" w:cs="Times New Roman"/>
        </w:rPr>
        <w:t xml:space="preserve"> was evaluated based the perceived importance and effectiveness of 70 Virginia Cooperative Extension employees who participated in the NEAT program regarding several competencies covered during the training </w:t>
      </w:r>
      <w:r>
        <w:rPr>
          <w:rFonts w:ascii="Times New Roman" w:hAnsi="Times New Roman" w:cs="Times New Roman"/>
        </w:rPr>
        <w:fldChar w:fldCharType="begin"/>
      </w:r>
      <w:r>
        <w:rPr>
          <w:rFonts w:ascii="Times New Roman" w:hAnsi="Times New Roman" w:cs="Times New Roman"/>
        </w:rPr>
        <w:instrText xml:space="preserve"> ADDIN EN.CITE &lt;EndNote&gt;&lt;Cite&gt;&lt;Author&gt;Brown&lt;/Author&gt;&lt;Year&gt;2008&lt;/Year&gt;&lt;RecNum&gt;15&lt;/RecNum&gt;&lt;DisplayText&gt;(Brown et al., 2008)&lt;/DisplayText&gt;&lt;record&gt;&lt;rec-number&gt;15&lt;/rec-number&gt;&lt;foreign-keys&gt;&lt;key app="EN" db-id="xxs5w29drx0waserr05599fudw0rtv2p2vew" timestamp="1673290860"&gt;15&lt;/key&gt;&lt;/foreign-keys&gt;&lt;ref-type name="Journal Article"&gt;17&lt;/ref-type&gt;&lt;contributors&gt;&lt;authors&gt;&lt;author&gt;Brown, Almeshia S&lt;/author&gt;&lt;author&gt;Gibson, Jerry D&lt;/author&gt;&lt;author&gt;Stewart, Daisy L&lt;/author&gt;&lt;/authors&gt;&lt;/contributors&gt;&lt;titles&gt;&lt;title&gt;An assessment of Virginia cooperative Extension&amp;apos;s new Extension agent training program&lt;/title&gt;&lt;secondary-title&gt;The Journal of Extension&lt;/secondary-title&gt;&lt;/titles&gt;&lt;periodical&gt;&lt;full-title&gt;The Journal of Extension&lt;/full-title&gt;&lt;/periodical&gt;&lt;pages&gt;9&lt;/pages&gt;&lt;volume&gt;46&lt;/volume&gt;&lt;number&gt;4&lt;/number&gt;&lt;dates&gt;&lt;year&gt;2008&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(Brown et al., 2008)</w:t>
      </w:r>
      <w:r>
        <w:rPr>
          <w:rFonts w:ascii="Times New Roman" w:hAnsi="Times New Roman" w:cs="Times New Roman"/>
        </w:rPr>
        <w:fldChar w:fldCharType="end"/>
      </w:r>
      <w:r>
        <w:rPr>
          <w:rFonts w:ascii="Times New Roman" w:hAnsi="Times New Roman" w:cs="Times New Roman"/>
        </w:rPr>
        <w:t xml:space="preserve">. Overall, the NEAT program was vital when onboarding new agents and was also important in furthering the success of existing personnel </w:t>
      </w:r>
      <w:r>
        <w:rPr>
          <w:rFonts w:ascii="Times New Roman" w:hAnsi="Times New Roman" w:cs="Times New Roman"/>
        </w:rPr>
        <w:fldChar w:fldCharType="begin"/>
      </w:r>
      <w:r>
        <w:rPr>
          <w:rFonts w:ascii="Times New Roman" w:hAnsi="Times New Roman" w:cs="Times New Roman"/>
        </w:rPr>
        <w:instrText xml:space="preserve"> ADDIN EN.CITE &lt;EndNote&gt;&lt;Cite&gt;&lt;Author&gt;Brown&lt;/Author&gt;&lt;Year&gt;2008&lt;/Year&gt;&lt;RecNum&gt;15&lt;/RecNum&gt;&lt;DisplayText&gt;(Brown et al., 2008)&lt;/DisplayText&gt;&lt;record&gt;&lt;rec-number&gt;15&lt;/rec-number&gt;&lt;foreign-keys&gt;&lt;key app="EN" db-id="xxs5w29drx0waserr05599fudw0rtv2p2vew" timestamp="1673290860"&gt;15&lt;/key&gt;&lt;/foreign-keys&gt;&lt;ref-type name="Journal Article"&gt;17&lt;/ref-type&gt;&lt;contributors&gt;&lt;authors&gt;&lt;author&gt;Brown, Almeshia S&lt;/author&gt;&lt;author&gt;Gibson, Jerry D&lt;/author&gt;&lt;author&gt;Stewart, Daisy L&lt;/author&gt;&lt;/authors&gt;&lt;/contributors&gt;&lt;titles&gt;&lt;title&gt;An assessment of Virginia cooperative Extension&amp;apos;s new Extension agent training program&lt;/title&gt;&lt;secondary-title&gt;The Journal of Extension&lt;/secondary-title&gt;&lt;/titles&gt;&lt;periodical&gt;&lt;full-title&gt;The Journal of Extension&lt;/full-title&gt;&lt;/periodical&gt;&lt;pages&gt;9&lt;/pages&gt;&lt;volume&gt;46&lt;/volume&gt;&lt;number&gt;4&lt;/number&gt;&lt;dates&gt;&lt;year&gt;2008&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(Brown et al., 2008)</w:t>
      </w:r>
      <w:r>
        <w:rPr>
          <w:rFonts w:ascii="Times New Roman" w:hAnsi="Times New Roman" w:cs="Times New Roman"/>
        </w:rPr>
        <w:fldChar w:fldCharType="end"/>
      </w:r>
      <w:r>
        <w:rPr>
          <w:rFonts w:ascii="Times New Roman" w:hAnsi="Times New Roman" w:cs="Times New Roman"/>
        </w:rPr>
        <w:t xml:space="preserve">. Results of this study indicated that the highest effectiveness ratings were given to the communication, educational processes, and program planning categories, furthering the idea that extension employees find value and benefit in annual training to better grow and expand the varying programs they oversee </w:t>
      </w:r>
      <w:r>
        <w:rPr>
          <w:rFonts w:ascii="Times New Roman" w:hAnsi="Times New Roman" w:cs="Times New Roman"/>
        </w:rPr>
        <w:fldChar w:fldCharType="begin"/>
      </w:r>
      <w:r>
        <w:rPr>
          <w:rFonts w:ascii="Times New Roman" w:hAnsi="Times New Roman" w:cs="Times New Roman"/>
        </w:rPr>
        <w:instrText xml:space="preserve"> ADDIN EN.CITE &lt;EndNote&gt;&lt;Cite&gt;&lt;Author&gt;Brown&lt;/Author&gt;&lt;Year&gt;2008&lt;/Year&gt;&lt;RecNum&gt;15&lt;/RecNum&gt;&lt;DisplayText&gt;(Brown et al., 2008)&lt;/DisplayText&gt;&lt;record&gt;&lt;rec-number&gt;15&lt;/rec-number&gt;&lt;foreign-keys&gt;&lt;key app="EN" db-id="xxs5w29drx0waserr05599fudw0rtv2p2vew" timestamp="1673290860"&gt;15&lt;/key&gt;&lt;/foreign-keys&gt;&lt;ref-type name="Journal Article"&gt;17&lt;/ref-type&gt;&lt;contributors&gt;&lt;authors&gt;&lt;author&gt;Brown, Almeshia S&lt;/author&gt;&lt;author&gt;Gibson, Jerry D&lt;/author&gt;&lt;author&gt;Stewart, Daisy L&lt;/author&gt;&lt;/authors&gt;&lt;/contributors&gt;&lt;titles&gt;&lt;title&gt;An assessment of Virginia cooperative Extension&amp;apos;s new Extension agent training program&lt;/title&gt;&lt;secondary-title&gt;The Journal of Extension&lt;/secondary-title&gt;&lt;/titles&gt;&lt;periodical&gt;&lt;full-title&gt;The Journal of Extension&lt;/full-title&gt;&lt;/periodical&gt;&lt;pages&gt;9&lt;/pages&gt;&lt;volume&gt;46&lt;/volume&gt;&lt;number&gt;4&lt;/number&gt;&lt;dates&gt;&lt;year&gt;2008&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(Brown et al., 2008)</w:t>
      </w:r>
      <w:r>
        <w:rPr>
          <w:rFonts w:ascii="Times New Roman" w:hAnsi="Times New Roman" w:cs="Times New Roman"/>
        </w:rPr>
        <w:fldChar w:fldCharType="end"/>
      </w:r>
      <w:r>
        <w:rPr>
          <w:rFonts w:ascii="Times New Roman" w:hAnsi="Times New Roman" w:cs="Times New Roman"/>
        </w:rPr>
        <w:t xml:space="preserve">. Barriers and effective educational strategies were determined in order to develop the professional competencies of extension agents in North Carolina </w:t>
      </w:r>
      <w:r>
        <w:rPr>
          <w:rFonts w:ascii="Times New Roman" w:hAnsi="Times New Roman" w:cs="Times New Roman"/>
        </w:rPr>
        <w:fldChar w:fldCharType="begin"/>
      </w:r>
      <w:r>
        <w:rPr>
          <w:rFonts w:ascii="Times New Roman" w:hAnsi="Times New Roman" w:cs="Times New Roman"/>
        </w:rPr>
        <w:instrText xml:space="preserve"> ADDIN EN.CITE &lt;EndNote&gt;&lt;Cite&gt;&lt;Author&gt;Lakai&lt;/Author&gt;&lt;Year&gt;2012&lt;/Year&gt;&lt;RecNum&gt;7&lt;/RecNum&gt;&lt;DisplayText&gt;(Lakai et al., 2012)&lt;/DisplayText&gt;&lt;record&gt;&lt;rec-number&gt;7&lt;/rec-number&gt;&lt;foreign-keys&gt;&lt;key app="EN" db-id="xxs5w29drx0waserr05599fudw0rtv2p2vew" timestamp="1673280435"&gt;7&lt;/key&gt;&lt;/foreign-keys&gt;&lt;ref-type name="Journal Article"&gt;17&lt;/ref-type&gt;&lt;contributors&gt;&lt;authors&gt;&lt;author&gt;Lakai, Dona&lt;/author&gt;&lt;author&gt;Jayaratne, KSU&lt;/author&gt;&lt;author&gt;Moore, Gary E&lt;/author&gt;&lt;author&gt;Kistler, Mark J&lt;/author&gt;&lt;/authors&gt;&lt;/contributors&gt;&lt;titles&gt;&lt;title&gt;Barriers and effective educational strategies to develop extension agents’ professional competencies&lt;/title&gt;&lt;secondary-title&gt;Journal of Extension&lt;/secondary-title&gt;&lt;/titles&gt;&lt;periodical&gt;&lt;full-title&gt;Journal of Extension&lt;/full-title&gt;&lt;/periodical&gt;&lt;pages&gt;1-7&lt;/pages&gt;&lt;volume&gt;50&lt;/volume&gt;&lt;number&gt;4&lt;/number&gt;&lt;dates&gt;&lt;year&gt;2012&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(Lakai et al., 2012)</w:t>
      </w:r>
      <w:r>
        <w:rPr>
          <w:rFonts w:ascii="Times New Roman" w:hAnsi="Times New Roman" w:cs="Times New Roman"/>
        </w:rPr>
        <w:fldChar w:fldCharType="end"/>
      </w:r>
      <w:r>
        <w:rPr>
          <w:rFonts w:ascii="Times New Roman" w:hAnsi="Times New Roman" w:cs="Times New Roman"/>
        </w:rPr>
        <w:t xml:space="preserve">. Respondents indicated that the three biggest barriers they faced on the job were increased work load, lack of time, and lack of funding </w:t>
      </w:r>
      <w:r>
        <w:rPr>
          <w:rFonts w:ascii="Times New Roman" w:hAnsi="Times New Roman" w:cs="Times New Roman"/>
        </w:rPr>
        <w:fldChar w:fldCharType="begin"/>
      </w:r>
      <w:r>
        <w:rPr>
          <w:rFonts w:ascii="Times New Roman" w:hAnsi="Times New Roman" w:cs="Times New Roman"/>
        </w:rPr>
        <w:instrText xml:space="preserve"> ADDIN EN.CITE &lt;EndNote&gt;&lt;Cite&gt;&lt;Author&gt;Lakai&lt;/Author&gt;&lt;Year&gt;2012&lt;/Year&gt;&lt;RecNum&gt;7&lt;/RecNum&gt;&lt;DisplayText&gt;(Lakai et al., 2012)&lt;/DisplayText&gt;&lt;record&gt;&lt;rec-number&gt;7&lt;/rec-number&gt;&lt;foreign-keys&gt;&lt;key app="EN" db-id="xxs5w29drx0waserr05599fudw0rtv2p2vew" timestamp="1673280435"&gt;7&lt;/key&gt;&lt;/foreign-keys&gt;&lt;ref-type name="Journal Article"&gt;17&lt;/ref-type&gt;&lt;contributors&gt;&lt;authors&gt;&lt;author&gt;Lakai, Dona&lt;/author&gt;&lt;author&gt;Jayaratne, KSU&lt;/author&gt;&lt;author&gt;Moore, Gary E&lt;/author&gt;&lt;author&gt;Kistler, Mark J&lt;/author&gt;&lt;/authors&gt;&lt;/contributors&gt;&lt;titles&gt;&lt;title&gt;Barriers and effective educational strategies to develop extension agents’ professional competencies&lt;/title&gt;&lt;secondary-title&gt;Journal of Extension&lt;/secondary-title&gt;&lt;/titles&gt;&lt;periodical&gt;&lt;full-title&gt;Journal of Extension&lt;/full-title&gt;&lt;/periodical&gt;&lt;pages&gt;1-7&lt;/pages&gt;&lt;volume&gt;50&lt;/volume&gt;&lt;number&gt;4&lt;/number&gt;&lt;dates&gt;&lt;year&gt;2012&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(Lakai et al., 2012)</w:t>
      </w:r>
      <w:r>
        <w:rPr>
          <w:rFonts w:ascii="Times New Roman" w:hAnsi="Times New Roman" w:cs="Times New Roman"/>
        </w:rPr>
        <w:fldChar w:fldCharType="end"/>
      </w:r>
      <w:r>
        <w:rPr>
          <w:rFonts w:ascii="Times New Roman" w:hAnsi="Times New Roman" w:cs="Times New Roman"/>
        </w:rPr>
        <w:t xml:space="preserve">. However, lack of training opportunities and ineffective training delivery methods were also experienced to a somewhat large extend </w:t>
      </w:r>
      <w:r>
        <w:rPr>
          <w:rFonts w:ascii="Times New Roman" w:hAnsi="Times New Roman" w:cs="Times New Roman"/>
        </w:rPr>
        <w:fldChar w:fldCharType="begin"/>
      </w:r>
      <w:r>
        <w:rPr>
          <w:rFonts w:ascii="Times New Roman" w:hAnsi="Times New Roman" w:cs="Times New Roman"/>
        </w:rPr>
        <w:instrText xml:space="preserve"> ADDIN EN.CITE &lt;EndNote&gt;&lt;Cite&gt;&lt;Author&gt;Lakai&lt;/Author&gt;&lt;Year&gt;2012&lt;/Year&gt;&lt;RecNum&gt;7&lt;/RecNum&gt;&lt;DisplayText&gt;(Lakai et al., 2012)&lt;/DisplayText&gt;&lt;record&gt;&lt;rec-number&gt;7&lt;/rec-number&gt;&lt;foreign-keys&gt;&lt;key app="EN" db-id="xxs5w29drx0waserr05599fudw0rtv2p2vew" timestamp="1673280435"&gt;7&lt;/key&gt;&lt;/foreign-keys&gt;&lt;ref-type name="Journal Article"&gt;17&lt;/ref-type&gt;&lt;contributors&gt;&lt;authors&gt;&lt;author&gt;Lakai, Dona&lt;/author&gt;&lt;author&gt;Jayaratne, KSU&lt;/author&gt;&lt;author&gt;Moore, Gary E&lt;/author&gt;&lt;author&gt;Kistler, Mark J&lt;/author&gt;&lt;/authors&gt;&lt;/contributors&gt;&lt;titles&gt;&lt;title&gt;Barriers and effective educational strategies to develop extension agents’ professional competencies&lt;/title&gt;&lt;secondary-title&gt;Journal of Extension&lt;/secondary-title&gt;&lt;/titles&gt;&lt;periodical&gt;&lt;full-title&gt;Journal of Extension&lt;/full-title&gt;&lt;/periodical&gt;&lt;pages&gt;1-7&lt;/pages&gt;&lt;volume&gt;50&lt;/volume&gt;&lt;number&gt;4&lt;/number&gt;&lt;dates&gt;&lt;year&gt;2012&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(Lakai et al., 2012)</w:t>
      </w:r>
      <w:r>
        <w:rPr>
          <w:rFonts w:ascii="Times New Roman" w:hAnsi="Times New Roman" w:cs="Times New Roman"/>
        </w:rPr>
        <w:fldChar w:fldCharType="end"/>
      </w:r>
      <w:r>
        <w:rPr>
          <w:rFonts w:ascii="Times New Roman" w:hAnsi="Times New Roman" w:cs="Times New Roman"/>
        </w:rPr>
        <w:t xml:space="preserve">. This is indicative that extension agents are not only open to engaging in training opportunities but are actively seeking out effective trainings to attend in attempt to greater their knowledge and skills, thus growing and expanding their facilitated programming. On the other hand, participants were asked to indicate the training strategies and formats that they perceived to be the most effective. Overall, responses reflected that the most preferred delivery method was face-to-face small group training workshops followed by a combination of two or more delivery methods and face-to-face large group training workshops </w:t>
      </w:r>
      <w:r>
        <w:rPr>
          <w:rFonts w:ascii="Times New Roman" w:hAnsi="Times New Roman" w:cs="Times New Roman"/>
        </w:rPr>
        <w:fldChar w:fldCharType="begin"/>
      </w:r>
      <w:r>
        <w:rPr>
          <w:rFonts w:ascii="Times New Roman" w:hAnsi="Times New Roman" w:cs="Times New Roman"/>
        </w:rPr>
        <w:instrText xml:space="preserve"> ADDIN EN.CITE &lt;EndNote&gt;&lt;Cite&gt;&lt;Author&gt;Lakai&lt;/Author&gt;&lt;Year&gt;2012&lt;/Year&gt;&lt;RecNum&gt;7&lt;/RecNum&gt;&lt;DisplayText&gt;(Lakai et al., 2012)&lt;/DisplayText&gt;&lt;record&gt;&lt;rec-number&gt;7&lt;/rec-number&gt;&lt;foreign-keys&gt;&lt;key app="EN" db-id="xxs5w29drx0waserr05599fudw0rtv2p2vew" timestamp="1673280435"&gt;7&lt;/key&gt;&lt;/foreign-keys&gt;&lt;ref-type name="Journal Article"&gt;17&lt;/ref-type&gt;&lt;contributors&gt;&lt;authors&gt;&lt;author&gt;Lakai, Dona&lt;/author&gt;&lt;author&gt;Jayaratne, KSU&lt;/author&gt;&lt;author&gt;Moore, Gary E&lt;/author&gt;&lt;author&gt;Kistler, Mark J&lt;/author&gt;&lt;/authors&gt;&lt;/contributors&gt;&lt;titles&gt;&lt;title&gt;Barriers and effective educational strategies to develop extension agents’ professional competencies&lt;/title&gt;&lt;secondary-title&gt;Journal of Extension&lt;/secondary-title&gt;&lt;/titles&gt;&lt;periodical&gt;&lt;full-title&gt;Journal of Extension&lt;/full-title&gt;&lt;/periodical&gt;&lt;pages&gt;1-7&lt;/pages&gt;&lt;volume&gt;50&lt;/volume&gt;&lt;number&gt;4&lt;/number&gt;&lt;dates&gt;&lt;year&gt;2012&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(Lakai et al., 2012)</w:t>
      </w:r>
      <w:r>
        <w:rPr>
          <w:rFonts w:ascii="Times New Roman" w:hAnsi="Times New Roman" w:cs="Times New Roman"/>
        </w:rPr>
        <w:fldChar w:fldCharType="end"/>
      </w:r>
      <w:r>
        <w:rPr>
          <w:rFonts w:ascii="Times New Roman" w:hAnsi="Times New Roman" w:cs="Times New Roman"/>
        </w:rPr>
        <w:t xml:space="preserve">. It has also been determined that extension agents as a whole possess a large variety of preferred learning styles and modalities that contribute to their perceived success of a training session </w:t>
      </w:r>
      <w:r>
        <w:rPr>
          <w:rFonts w:ascii="Times New Roman" w:hAnsi="Times New Roman" w:cs="Times New Roman"/>
        </w:rPr>
        <w:fldChar w:fldCharType="begin"/>
      </w:r>
      <w:r>
        <w:rPr>
          <w:rFonts w:ascii="Times New Roman" w:hAnsi="Times New Roman" w:cs="Times New Roman"/>
        </w:rPr>
        <w:instrText xml:space="preserve"> ADDIN EN.CITE &lt;EndNote&gt;&lt;Cite&gt;&lt;Author&gt;Pigg&lt;/Author&gt;&lt;Year&gt;1980&lt;/Year&gt;&lt;RecNum&gt;5&lt;/RecNum&gt;&lt;DisplayText&gt;(Pigg et al., 1980)&lt;/DisplayText&gt;&lt;record&gt;&lt;rec-number&gt;5&lt;/rec-number&gt;&lt;foreign-keys&gt;&lt;key app="EN" db-id="xxs5w29drx0waserr05599fudw0rtv2p2vew" timestamp="1673279709"&gt;5&lt;/key&gt;&lt;/foreign-keys&gt;&lt;ref-type name="Journal Article"&gt;17&lt;/ref-type&gt;&lt;contributors&gt;&lt;authors&gt;&lt;author&gt;Pigg, Kenneth E.&lt;/author&gt;&lt;author&gt;Busch, Lawrence&lt;/author&gt;&lt;author&gt;Lacy, William B.&lt;/author&gt;&lt;/authors&gt;&lt;/contributors&gt;&lt;titles&gt;&lt;title&gt;Learning Styles in Adult Education: a Study of County Extension Agents&lt;/title&gt;&lt;secondary-title&gt;Adult Education&lt;/secondary-title&gt;&lt;/titles&gt;&lt;periodical&gt;&lt;full-title&gt;Adult Education&lt;/full-title&gt;&lt;/periodical&gt;&lt;pages&gt;233-244&lt;/pages&gt;&lt;volume&gt;30&lt;/volume&gt;&lt;number&gt;4&lt;/number&gt;&lt;dates&gt;&lt;year&gt;1980&lt;/year&gt;&lt;/dates&gt;&lt;urls&gt;&lt;related-urls&gt;&lt;url&gt;https://journals.sagepub.com/doi/abs/10.1177/074171368003000404&lt;/url&gt;&lt;/related-urls&gt;&lt;/urls&gt;&lt;electronic-resource-num&gt;10.1177/074171368003000404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(Pigg et al., 1980)</w:t>
      </w:r>
      <w:r>
        <w:rPr>
          <w:rFonts w:ascii="Times New Roman" w:hAnsi="Times New Roman" w:cs="Times New Roman"/>
        </w:rPr>
        <w:fldChar w:fldCharType="end"/>
      </w:r>
      <w:r>
        <w:rPr>
          <w:rFonts w:ascii="Times New Roman" w:hAnsi="Times New Roman" w:cs="Times New Roman"/>
        </w:rPr>
        <w:t xml:space="preserve">. </w:t>
      </w:r>
    </w:p>
    <w:p w14:paraId="5A162AE1" w14:textId="77777777" w:rsidR="00AA7CD5" w:rsidRDefault="00AA7CD5" w:rsidP="008A6B75">
      <w:pPr>
        <w:spacing w:line="360" w:lineRule="auto"/>
        <w:rPr>
          <w:rFonts w:ascii="Times New Roman" w:hAnsi="Times New Roman" w:cs="Times New Roman"/>
        </w:rPr>
      </w:pPr>
    </w:p>
    <w:p w14:paraId="1F77EA6F"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Adopting the findings of the aforementioned research on the effectiveness, barriers, and strategies associated with educating extension agents and specialists could prove useful when </w:t>
      </w:r>
      <w:r>
        <w:rPr>
          <w:rFonts w:ascii="Times New Roman" w:hAnsi="Times New Roman" w:cs="Times New Roman"/>
        </w:rPr>
        <w:lastRenderedPageBreak/>
        <w:t>designing and implementing new agent training programs as well as when adapting existing ones to be more effective. It is crucial to consider the array of various learning styles, preferences in training formats, and personality types when beginning to design any educational program. By designing a program that appeals to all types of learning modalities, adopts multiple formats in the same training, and allows for adaptability, extension agents and other professional staff can receive valuable knowledge and skills that can be taken back to their respective county or region and used to increase retention and success within their programming. This idea is prominent when considering those agents who facilitate educational programming outside of their predominant knowledge area.</w:t>
      </w:r>
    </w:p>
    <w:p w14:paraId="56695EFE" w14:textId="77777777" w:rsidR="00AA7CD5" w:rsidRDefault="00AA7CD5" w:rsidP="008A6B75">
      <w:pPr>
        <w:spacing w:line="360" w:lineRule="auto"/>
        <w:rPr>
          <w:rFonts w:ascii="Times New Roman" w:hAnsi="Times New Roman" w:cs="Times New Roman"/>
        </w:rPr>
      </w:pPr>
    </w:p>
    <w:p w14:paraId="236E18BB" w14:textId="77777777" w:rsidR="00AA7CD5" w:rsidRPr="00396ACF" w:rsidRDefault="00AA7CD5" w:rsidP="008A6B75">
      <w:pPr>
        <w:pStyle w:val="Heading3"/>
        <w:spacing w:line="360" w:lineRule="auto"/>
        <w:rPr>
          <w:rFonts w:ascii="Times New Roman" w:hAnsi="Times New Roman" w:cs="Times New Roman"/>
        </w:rPr>
      </w:pPr>
      <w:bookmarkStart w:id="57" w:name="_Toc151023702"/>
      <w:r w:rsidRPr="00396ACF">
        <w:rPr>
          <w:rFonts w:ascii="Times New Roman" w:hAnsi="Times New Roman" w:cs="Times New Roman"/>
        </w:rPr>
        <w:t>Measuring Performance</w:t>
      </w:r>
      <w:bookmarkEnd w:id="57"/>
    </w:p>
    <w:p w14:paraId="51B78B55"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When administering educational programming, it is necessary to gauge the effectiveness and success of the program to determine its overall success. When it comes to accomplishing this goal and measuring success, it is common for outcome indicators to be utilized. Outcome indicators are quite complex and a true definition has not been agreed upon </w:t>
      </w:r>
      <w:r>
        <w:rPr>
          <w:rFonts w:ascii="Times New Roman" w:hAnsi="Times New Roman" w:cs="Times New Roman"/>
        </w:rPr>
        <w:fldChar w:fldCharType="begin"/>
      </w:r>
      <w:r>
        <w:rPr>
          <w:rFonts w:ascii="Times New Roman" w:hAnsi="Times New Roman" w:cs="Times New Roman"/>
        </w:rPr>
        <w:instrText xml:space="preserve"> ADDIN EN.CITE &lt;EndNote&gt;&lt;Cite&gt;&lt;Author&gt;Shavelson&lt;/Author&gt;&lt;Year&gt;1990&lt;/Year&gt;&lt;RecNum&gt;41&lt;/RecNum&gt;&lt;DisplayText&gt;(Shavelson et al., 1990)&lt;/DisplayText&gt;&lt;record&gt;&lt;rec-number&gt;41&lt;/rec-number&gt;&lt;foreign-keys&gt;&lt;key app="EN" db-id="xxs5w29drx0waserr05599fudw0rtv2p2vew" timestamp="1677511728"&gt;41&lt;/key&gt;&lt;/foreign-keys&gt;&lt;ref-type name="Journal Article"&gt;17&lt;/ref-type&gt;&lt;contributors&gt;&lt;authors&gt;&lt;author&gt;Shavelson, Richard J&lt;/author&gt;&lt;author&gt;McDonnell, Lorraine&lt;/author&gt;&lt;author&gt;Oakes, Jeannie&lt;/author&gt;&lt;/authors&gt;&lt;/contributors&gt;&lt;titles&gt;&lt;title&gt;What are educational indicators and indicator systems?&lt;/title&gt;&lt;secondary-title&gt;Practical Assessment, Research, and Evaluation&lt;/secondary-title&gt;&lt;/titles&gt;&lt;periodical&gt;&lt;full-title&gt;Practical Assessment, Research, and Evaluation&lt;/full-title&gt;&lt;/periodical&gt;&lt;pages&gt;11&lt;/pages&gt;&lt;volume&gt;2&lt;/volume&gt;&lt;number&gt;1&lt;/number&gt;&lt;dates&gt;&lt;year&gt;1990&lt;/year&gt;&lt;/dates&gt;&lt;isbn&gt;1531-7714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(Shavelson et al., 1990)</w:t>
      </w:r>
      <w:r>
        <w:rPr>
          <w:rFonts w:ascii="Times New Roman" w:hAnsi="Times New Roman" w:cs="Times New Roman"/>
        </w:rPr>
        <w:fldChar w:fldCharType="end"/>
      </w:r>
      <w:r>
        <w:rPr>
          <w:rFonts w:ascii="Times New Roman" w:hAnsi="Times New Roman" w:cs="Times New Roman"/>
        </w:rPr>
        <w:t xml:space="preserve">. However, they are often described as statistics that are used to quantify complex scenarios that could be subjective to human judgement </w:t>
      </w:r>
      <w:r>
        <w:rPr>
          <w:rFonts w:ascii="Times New Roman" w:hAnsi="Times New Roman" w:cs="Times New Roman"/>
        </w:rPr>
        <w:fldChar w:fldCharType="begin"/>
      </w:r>
      <w:r>
        <w:rPr>
          <w:rFonts w:ascii="Times New Roman" w:hAnsi="Times New Roman" w:cs="Times New Roman"/>
        </w:rPr>
        <w:instrText xml:space="preserve"> ADDIN EN.CITE &lt;EndNote&gt;&lt;Cite&gt;&lt;Author&gt;Shavelson&lt;/Author&gt;&lt;Year&gt;1990&lt;/Year&gt;&lt;RecNum&gt;41&lt;/RecNum&gt;&lt;DisplayText&gt;(Shavelson et al., 1990)&lt;/DisplayText&gt;&lt;record&gt;&lt;rec-number&gt;41&lt;/rec-number&gt;&lt;foreign-keys&gt;&lt;key app="EN" db-id="xxs5w29drx0waserr05599fudw0rtv2p2vew" timestamp="1677511728"&gt;41&lt;/key&gt;&lt;/foreign-keys&gt;&lt;ref-type name="Journal Article"&gt;17&lt;/ref-type&gt;&lt;contributors&gt;&lt;authors&gt;&lt;author&gt;Shavelson, Richard J&lt;/author&gt;&lt;author&gt;McDonnell, Lorraine&lt;/author&gt;&lt;author&gt;Oakes, Jeannie&lt;/author&gt;&lt;/authors&gt;&lt;/contributors&gt;&lt;titles&gt;&lt;title&gt;What are educational indicators and indicator systems?&lt;/title&gt;&lt;secondary-title&gt;Practical Assessment, Research, and Evaluation&lt;/secondary-title&gt;&lt;/titles&gt;&lt;periodical&gt;&lt;full-title&gt;Practical Assessment, Research, and Evaluation&lt;/full-title&gt;&lt;/periodical&gt;&lt;pages&gt;11&lt;/pages&gt;&lt;volume&gt;2&lt;/volume&gt;&lt;number&gt;1&lt;/number&gt;&lt;dates&gt;&lt;year&gt;1990&lt;/year&gt;&lt;/dates&gt;&lt;isbn&gt;1531-7714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(Shavelson et al., 1990)</w:t>
      </w:r>
      <w:r>
        <w:rPr>
          <w:rFonts w:ascii="Times New Roman" w:hAnsi="Times New Roman" w:cs="Times New Roman"/>
        </w:rPr>
        <w:fldChar w:fldCharType="end"/>
      </w:r>
      <w:r>
        <w:rPr>
          <w:rFonts w:ascii="Times New Roman" w:hAnsi="Times New Roman" w:cs="Times New Roman"/>
        </w:rPr>
        <w:t xml:space="preserve">. Commonly, tests and exams are used to measure student success </w:t>
      </w:r>
      <w:r>
        <w:rPr>
          <w:rFonts w:ascii="Times New Roman" w:hAnsi="Times New Roman" w:cs="Times New Roman"/>
        </w:rPr>
        <w:fldChar w:fldCharType="begin"/>
      </w:r>
      <w:r>
        <w:rPr>
          <w:rFonts w:ascii="Times New Roman" w:hAnsi="Times New Roman" w:cs="Times New Roman"/>
        </w:rPr>
        <w:instrText xml:space="preserve"> ADDIN EN.CITE &lt;EndNote&gt;&lt;Cite&gt;&lt;Author&gt;Scheerens&lt;/Author&gt;&lt;Year&gt;2011&lt;/Year&gt;&lt;RecNum&gt;42&lt;/RecNum&gt;&lt;DisplayText&gt;(Scheerens et al., 2011)&lt;/DisplayText&gt;&lt;record&gt;&lt;rec-number&gt;42&lt;/rec-number&gt;&lt;foreign-keys&gt;&lt;key app="EN" db-id="xxs5w29drx0waserr05599fudw0rtv2p2vew" timestamp="1677512566"&gt;42&lt;/key&gt;&lt;/foreign-keys&gt;&lt;ref-type name="Book Section"&gt;5&lt;/ref-type&gt;&lt;contributors&gt;&lt;authors&gt;&lt;author&gt;Scheerens, Jaap&lt;/author&gt;&lt;author&gt;Luyten, Hans&lt;/author&gt;&lt;author&gt;Van Ravens, Jan&lt;/author&gt;&lt;/authors&gt;&lt;/contributors&gt;&lt;titles&gt;&lt;title&gt;Measuring Educational Quality by Means of Indicators&lt;/title&gt;&lt;alt-title&gt;Perspectives on Educational Quality&lt;/alt-title&gt;&lt;/titles&gt;&lt;pages&gt;35-50&lt;/pages&gt;&lt;dates&gt;&lt;year&gt;2011&lt;/year&gt;&lt;/dates&gt;&lt;publisher&gt;Springer Netherlands&lt;/publisher&gt;&lt;isbn&gt;2211-1921&lt;/isbn&gt;&lt;urls&gt;&lt;related-urls&gt;&lt;url&gt;https://dx.doi.org/10.1007/978-94-007-0926-3_2&lt;/url&gt;&lt;/related-urls&gt;&lt;/urls&gt;&lt;electronic-resource-num&gt;10.1007/978-94-007-0926-3_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(Scheerens et al., 2011)</w:t>
      </w:r>
      <w:r>
        <w:rPr>
          <w:rFonts w:ascii="Times New Roman" w:hAnsi="Times New Roman" w:cs="Times New Roman"/>
        </w:rPr>
        <w:fldChar w:fldCharType="end"/>
      </w:r>
      <w:r>
        <w:rPr>
          <w:rFonts w:ascii="Times New Roman" w:hAnsi="Times New Roman" w:cs="Times New Roman"/>
        </w:rPr>
        <w:t xml:space="preserve">. This includes tests from textbooks, state curricula, national curricula, teacher-designed curricula, and multi-faceted competencies </w:t>
      </w:r>
      <w:r>
        <w:rPr>
          <w:rFonts w:ascii="Times New Roman" w:hAnsi="Times New Roman" w:cs="Times New Roman"/>
        </w:rPr>
        <w:fldChar w:fldCharType="begin"/>
      </w:r>
      <w:r>
        <w:rPr>
          <w:rFonts w:ascii="Times New Roman" w:hAnsi="Times New Roman" w:cs="Times New Roman"/>
        </w:rPr>
        <w:instrText xml:space="preserve"> ADDIN EN.CITE &lt;EndNote&gt;&lt;Cite&gt;&lt;Author&gt;Scheerens&lt;/Author&gt;&lt;Year&gt;2011&lt;/Year&gt;&lt;RecNum&gt;42&lt;/RecNum&gt;&lt;DisplayText&gt;(Scheerens et al., 2011)&lt;/DisplayText&gt;&lt;record&gt;&lt;rec-number&gt;42&lt;/rec-number&gt;&lt;foreign-keys&gt;&lt;key app="EN" db-id="xxs5w29drx0waserr05599fudw0rtv2p2vew" timestamp="1677512566"&gt;42&lt;/key&gt;&lt;/foreign-keys&gt;&lt;ref-type name="Book Section"&gt;5&lt;/ref-type&gt;&lt;contributors&gt;&lt;authors&gt;&lt;author&gt;Scheerens, Jaap&lt;/author&gt;&lt;author&gt;Luyten, Hans&lt;/author&gt;&lt;author&gt;Van Ravens, Jan&lt;/author&gt;&lt;/authors&gt;&lt;/contributors&gt;&lt;titles&gt;&lt;title&gt;Measuring Educational Quality by Means of Indicators&lt;/title&gt;&lt;alt-title&gt;Perspectives on Educational Quality&lt;/alt-title&gt;&lt;/titles&gt;&lt;pages&gt;35-50&lt;/pages&gt;&lt;dates&gt;&lt;year&gt;2011&lt;/year&gt;&lt;/dates&gt;&lt;publisher&gt;Springer Netherlands&lt;/publisher&gt;&lt;isbn&gt;2211-1921&lt;/isbn&gt;&lt;urls&gt;&lt;related-urls&gt;&lt;url&gt;https://dx.doi.org/10.1007/978-94-007-0926-3_2&lt;/url&gt;&lt;/related-urls&gt;&lt;/urls&gt;&lt;electronic-resource-num&gt;10.1007/978-94-007-0926-3_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(Scheerens et al., 2011)</w:t>
      </w:r>
      <w:r>
        <w:rPr>
          <w:rFonts w:ascii="Times New Roman" w:hAnsi="Times New Roman" w:cs="Times New Roman"/>
        </w:rPr>
        <w:fldChar w:fldCharType="end"/>
      </w:r>
      <w:r>
        <w:rPr>
          <w:rFonts w:ascii="Times New Roman" w:hAnsi="Times New Roman" w:cs="Times New Roman"/>
        </w:rPr>
        <w:t xml:space="preserve">. When using testing as a tool for knowledge evaluation, several things must be taken into consideration. Firstly, the format in which responses are recorded (multiple choice, open-ended, etc.) play an important role in administering tests </w:t>
      </w:r>
      <w:r>
        <w:rPr>
          <w:rFonts w:ascii="Times New Roman" w:hAnsi="Times New Roman" w:cs="Times New Roman"/>
        </w:rPr>
        <w:fldChar w:fldCharType="begin"/>
      </w:r>
      <w:r>
        <w:rPr>
          <w:rFonts w:ascii="Times New Roman" w:hAnsi="Times New Roman" w:cs="Times New Roman"/>
        </w:rPr>
        <w:instrText xml:space="preserve"> ADDIN EN.CITE &lt;EndNote&gt;&lt;Cite&gt;&lt;Author&gt;Schuwirth&lt;/Author&gt;&lt;Year&gt;2004&lt;/Year&gt;&lt;RecNum&gt;28&lt;/RecNum&gt;&lt;DisplayText&gt;(Schuwirth &amp;amp; Van Der Vleuten, 2004)&lt;/DisplayText&gt;&lt;record&gt;&lt;rec-number&gt;28&lt;/rec-number&gt;&lt;foreign-keys&gt;&lt;key app="EN" db-id="xxs5w29drx0waserr05599fudw0rtv2p2vew" timestamp="1675106861"&gt;28&lt;/key&gt;&lt;/foreign-keys&gt;&lt;ref-type name="Journal Article"&gt;17&lt;/ref-type&gt;&lt;contributors&gt;&lt;authors&gt;&lt;author&gt;Schuwirth, Lambert W. T.&lt;/author&gt;&lt;author&gt;Van Der Vleuten, Cees P. M.&lt;/author&gt;&lt;/authors&gt;&lt;/contributors&gt;&lt;titles&gt;&lt;title&gt;Different written assessment methods: what can be said about their strengths and weaknesses?&lt;/title&gt;&lt;secondary-title&gt;Medical Education&lt;/secondary-title&gt;&lt;/titles&gt;&lt;periodical&gt;&lt;full-title&gt;Medical Education&lt;/full-title&gt;&lt;/periodical&gt;&lt;pages&gt;974-979&lt;/pages&gt;&lt;volume&gt;38&lt;/volume&gt;&lt;number&gt;9&lt;/number&gt;&lt;dates&gt;&lt;year&gt;2004&lt;/year&gt;&lt;/dates&gt;&lt;publisher&gt;Wiley&lt;/publisher&gt;&lt;isbn&gt;0308-0110&lt;/isbn&gt;&lt;urls&gt;&lt;related-urls&gt;&lt;url&gt;https://dx.doi.org/10.1111/j.1365-2929.2004.01916.x&lt;/url&gt;&lt;/related-urls&gt;&lt;/urls&gt;&lt;electronic-resource-num&gt;10.1111/j.1365-2929.2004.01916.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(Schuwirth &amp; Van Der Vleuten, 2004)</w:t>
      </w:r>
      <w:r>
        <w:rPr>
          <w:rFonts w:ascii="Times New Roman" w:hAnsi="Times New Roman" w:cs="Times New Roman"/>
        </w:rPr>
        <w:fldChar w:fldCharType="end"/>
      </w:r>
      <w:r>
        <w:rPr>
          <w:rFonts w:ascii="Times New Roman" w:hAnsi="Times New Roman" w:cs="Times New Roman"/>
        </w:rPr>
        <w:t xml:space="preserve">. It is recommended that open-ended questions be used to only to evaluate that which cannot be accurately recorded using multiple choice questions </w:t>
      </w:r>
      <w:r>
        <w:rPr>
          <w:rFonts w:ascii="Times New Roman" w:hAnsi="Times New Roman" w:cs="Times New Roman"/>
        </w:rPr>
        <w:fldChar w:fldCharType="begin"/>
      </w:r>
      <w:r>
        <w:rPr>
          <w:rFonts w:ascii="Times New Roman" w:hAnsi="Times New Roman" w:cs="Times New Roman"/>
        </w:rPr>
        <w:instrText xml:space="preserve"> ADDIN EN.CITE &lt;EndNote&gt;&lt;Cite&gt;&lt;Author&gt;Schuwirth&lt;/Author&gt;&lt;Year&gt;2004&lt;/Year&gt;&lt;RecNum&gt;28&lt;/RecNum&gt;&lt;DisplayText&gt;(Schuwirth &amp;amp; Van Der Vleuten, 2004)&lt;/DisplayText&gt;&lt;record&gt;&lt;rec-number&gt;28&lt;/rec-number&gt;&lt;foreign-keys&gt;&lt;key app="EN" db-id="xxs5w29drx0waserr05599fudw0rtv2p2vew" timestamp="1675106861"&gt;28&lt;/key&gt;&lt;/foreign-keys&gt;&lt;ref-type name="Journal Article"&gt;17&lt;/ref-type&gt;&lt;contributors&gt;&lt;authors&gt;&lt;author&gt;Schuwirth, Lambert W. T.&lt;/author&gt;&lt;author&gt;Van Der Vleuten, Cees P. M.&lt;/author&gt;&lt;/authors&gt;&lt;/contributors&gt;&lt;titles&gt;&lt;title&gt;Different written assessment methods: what can be said about their strengths and weaknesses?&lt;/title&gt;&lt;secondary-title&gt;Medical Education&lt;/secondary-title&gt;&lt;/titles&gt;&lt;periodical&gt;&lt;full-title&gt;Medical Education&lt;/full-title&gt;&lt;/periodical&gt;&lt;pages&gt;974-979&lt;/pages&gt;&lt;volume&gt;38&lt;/volume&gt;&lt;number&gt;9&lt;/number&gt;&lt;dates&gt;&lt;year&gt;2004&lt;/year&gt;&lt;/dates&gt;&lt;publisher&gt;Wiley&lt;/publisher&gt;&lt;isbn&gt;0308-0110&lt;/isbn&gt;&lt;urls&gt;&lt;related-urls&gt;&lt;url&gt;https://dx.doi.org/10.1111/j.1365-2929.2004.01916.x&lt;/url&gt;&lt;/related-urls&gt;&lt;/urls&gt;&lt;electronic-resource-num&gt;10.1111/j.1365-2929.2004.01916.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(Schuwirth &amp; Van Der Vleuten, 2004)</w:t>
      </w:r>
      <w:r>
        <w:rPr>
          <w:rFonts w:ascii="Times New Roman" w:hAnsi="Times New Roman" w:cs="Times New Roman"/>
        </w:rPr>
        <w:fldChar w:fldCharType="end"/>
      </w:r>
      <w:r>
        <w:rPr>
          <w:rFonts w:ascii="Times New Roman" w:hAnsi="Times New Roman" w:cs="Times New Roman"/>
        </w:rPr>
        <w:t xml:space="preserve">. Additionally, the format of the stimulus or how the question on the test is constructed is more important than response formats when developing effective tests </w:t>
      </w:r>
      <w:r>
        <w:rPr>
          <w:rFonts w:ascii="Times New Roman" w:hAnsi="Times New Roman" w:cs="Times New Roman"/>
        </w:rPr>
        <w:fldChar w:fldCharType="begin"/>
      </w:r>
      <w:r>
        <w:rPr>
          <w:rFonts w:ascii="Times New Roman" w:hAnsi="Times New Roman" w:cs="Times New Roman"/>
        </w:rPr>
        <w:instrText xml:space="preserve"> ADDIN EN.CITE &lt;EndNote&gt;&lt;Cite&gt;&lt;Author&gt;Schuwirth&lt;/Author&gt;&lt;Year&gt;2004&lt;/Year&gt;&lt;RecNum&gt;28&lt;/RecNum&gt;&lt;DisplayText&gt;(Schuwirth &amp;amp; Van Der Vleuten, 2004)&lt;/DisplayText&gt;&lt;record&gt;&lt;rec-number&gt;28&lt;/rec-number&gt;&lt;foreign-keys&gt;&lt;key app="EN" db-id="xxs5w29drx0waserr05599fudw0rtv2p2vew" timestamp="1675106861"&gt;28&lt;/key&gt;&lt;/foreign-keys&gt;&lt;ref-type name="Journal Article"&gt;17&lt;/ref-type&gt;&lt;contributors&gt;&lt;authors&gt;&lt;author&gt;Schuwirth, Lambert W. T.&lt;/author&gt;&lt;author&gt;Van Der Vleuten, Cees P. M.&lt;/author&gt;&lt;/authors&gt;&lt;/contributors&gt;&lt;titles&gt;&lt;title&gt;Different written assessment methods: what can be said about their strengths and weaknesses?&lt;/title&gt;&lt;secondary-title&gt;Medical Education&lt;/secondary-title&gt;&lt;/titles&gt;&lt;periodical&gt;&lt;full-title&gt;Medical Education&lt;/full-title&gt;&lt;/periodical&gt;&lt;pages&gt;974-979&lt;/pages&gt;&lt;volume&gt;38&lt;/volume&gt;&lt;number&gt;9&lt;/number&gt;&lt;dates&gt;&lt;year&gt;2004&lt;/year&gt;&lt;/dates&gt;&lt;publisher&gt;Wiley&lt;/publisher&gt;&lt;isbn&gt;0308-0110&lt;/isbn&gt;&lt;urls&gt;&lt;related-urls&gt;&lt;url&gt;https://dx.doi.org/10.1111/j.1365-2929.2004.01916.x&lt;/url&gt;&lt;/related-urls&gt;&lt;/urls&gt;&lt;electronic-resource-num&gt;10.1111/j.1365-2929.2004.01916.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(Schuwirth &amp; Van Der Vleuten, 2004)</w:t>
      </w:r>
      <w:r>
        <w:rPr>
          <w:rFonts w:ascii="Times New Roman" w:hAnsi="Times New Roman" w:cs="Times New Roman"/>
        </w:rPr>
        <w:fldChar w:fldCharType="end"/>
      </w:r>
      <w:r>
        <w:rPr>
          <w:rFonts w:ascii="Times New Roman" w:hAnsi="Times New Roman" w:cs="Times New Roman"/>
        </w:rPr>
        <w:t xml:space="preserve">. Furthermore, the stimulus format relates to the content of the question itself and whether knowledge alone is being evaluated or if the test taker is asked to use their knowledge in an applied or contextual scenario </w:t>
      </w:r>
      <w:r>
        <w:rPr>
          <w:rFonts w:ascii="Times New Roman" w:hAnsi="Times New Roman" w:cs="Times New Roman"/>
        </w:rPr>
        <w:fldChar w:fldCharType="begin"/>
      </w:r>
      <w:r>
        <w:rPr>
          <w:rFonts w:ascii="Times New Roman" w:hAnsi="Times New Roman" w:cs="Times New Roman"/>
        </w:rPr>
        <w:instrText xml:space="preserve"> ADDIN EN.CITE &lt;EndNote&gt;&lt;Cite&gt;&lt;Author&gt;Schuwirth&lt;/Author&gt;&lt;Year&gt;2004&lt;/Year&gt;&lt;RecNum&gt;28&lt;/RecNum&gt;&lt;DisplayText&gt;(Schuwirth &amp;amp; Van Der Vleuten, 2004)&lt;/DisplayText&gt;&lt;record&gt;&lt;rec-number&gt;28&lt;/rec-number&gt;&lt;foreign-keys&gt;&lt;key app="EN" db-id="xxs5w29drx0waserr05599fudw0rtv2p2vew" timestamp="1675106861"&gt;28&lt;/key&gt;&lt;/foreign-keys&gt;&lt;ref-type name="Journal Article"&gt;17&lt;/ref-type&gt;&lt;contributors&gt;&lt;authors&gt;&lt;author&gt;Schuwirth, Lambert W. T.&lt;/author&gt;&lt;author&gt;Van Der Vleuten, Cees P. M.&lt;/author&gt;&lt;/authors&gt;&lt;/contributors&gt;&lt;titles&gt;&lt;title&gt;Different written assessment methods: what can be said about their strengths and weaknesses?&lt;/title&gt;&lt;secondary-title&gt;Medical Education&lt;/secondary-title&gt;&lt;/titles&gt;&lt;periodical&gt;&lt;full-title&gt;Medical Education&lt;/full-title&gt;&lt;/periodical&gt;&lt;pages&gt;974-979&lt;/pages&gt;&lt;volume&gt;38&lt;/volume&gt;&lt;number&gt;9&lt;/number&gt;&lt;dates&gt;&lt;year&gt;2004&lt;/year&gt;&lt;/dates&gt;&lt;publisher&gt;Wiley&lt;/publisher&gt;&lt;isbn&gt;0308-0110&lt;/isbn&gt;&lt;urls&gt;&lt;related-urls&gt;&lt;url&gt;https://dx.doi.org/10.1111/j.1365-2929.2004.01916.x&lt;/url&gt;&lt;/related-urls&gt;&lt;/urls&gt;&lt;electronic-resource-num&gt;10.1111/j.1365-2929.2004.01916.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 xml:space="preserve">(Schuwirth &amp; Van Der </w:t>
      </w:r>
      <w:r>
        <w:rPr>
          <w:rFonts w:ascii="Times New Roman" w:hAnsi="Times New Roman" w:cs="Times New Roman"/>
          <w:noProof/>
        </w:rPr>
        <w:lastRenderedPageBreak/>
        <w:t>Vleuten, 2004)</w:t>
      </w:r>
      <w:r>
        <w:rPr>
          <w:rFonts w:ascii="Times New Roman" w:hAnsi="Times New Roman" w:cs="Times New Roman"/>
        </w:rPr>
        <w:fldChar w:fldCharType="end"/>
      </w:r>
      <w:r>
        <w:rPr>
          <w:rFonts w:ascii="Times New Roman" w:hAnsi="Times New Roman" w:cs="Times New Roman"/>
        </w:rPr>
        <w:t xml:space="preserve">. </w:t>
      </w:r>
      <w:r w:rsidRPr="00DE384C">
        <w:rPr>
          <w:rFonts w:ascii="Times New Roman" w:hAnsi="Times New Roman" w:cs="Times New Roman"/>
        </w:rPr>
        <w:t>V</w:t>
      </w:r>
      <w:r w:rsidRPr="007024BD">
        <w:rPr>
          <w:rFonts w:ascii="Times New Roman" w:hAnsi="Times New Roman" w:cs="Times New Roman"/>
        </w:rPr>
        <w:t>ery little research has been observed regarding the use of contest results as a means of knowledge evaluation.</w:t>
      </w:r>
      <w:r>
        <w:rPr>
          <w:rFonts w:ascii="Times New Roman" w:hAnsi="Times New Roman" w:cs="Times New Roman"/>
        </w:rPr>
        <w:t xml:space="preserve"> </w:t>
      </w:r>
    </w:p>
    <w:p w14:paraId="09692E13" w14:textId="77777777" w:rsidR="00AA7CD5" w:rsidRDefault="00AA7CD5" w:rsidP="008A6B75">
      <w:pPr>
        <w:spacing w:line="360" w:lineRule="auto"/>
        <w:rPr>
          <w:rFonts w:ascii="Times New Roman" w:hAnsi="Times New Roman" w:cs="Times New Roman"/>
        </w:rPr>
      </w:pPr>
    </w:p>
    <w:p w14:paraId="23193B7D"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The 4-H Horse Hippology contest aims to prepare youth for success in the equine industry and test their knowledge against their peers in the form of competition. This contest has presence at the regional, state, and national level. The Tennessee Regional 4-H Horse Hippology contest is a multi-faceted youth competition where participants complete a written exam, slides phase, and judging phase to test their overall knowledge of horses and the equine industry. Based on their performance, participants then have the opportunity to advance to the state-level contest where they will compete in a similar contest with the addition of a stations phase. The Eastern National 4-H Hippology contest is only open competitors in the senior age division. This contest is structured similar to the Tennessee state contest. However, during the stations phase, competitors must complete the stations on their own as opposed to working as a team.</w:t>
      </w:r>
    </w:p>
    <w:p w14:paraId="1A0BE0D0" w14:textId="77777777" w:rsidR="00AA7CD5" w:rsidRDefault="00AA7CD5" w:rsidP="008A6B75">
      <w:pPr>
        <w:spacing w:line="360" w:lineRule="auto"/>
        <w:rPr>
          <w:rFonts w:ascii="Times New Roman" w:hAnsi="Times New Roman" w:cs="Times New Roman"/>
        </w:rPr>
      </w:pPr>
    </w:p>
    <w:p w14:paraId="54BC3A18" w14:textId="77777777" w:rsidR="00AA7CD5" w:rsidRPr="00396ACF" w:rsidRDefault="00AA7CD5" w:rsidP="008A6B75">
      <w:pPr>
        <w:pStyle w:val="Heading2"/>
        <w:spacing w:line="360" w:lineRule="auto"/>
        <w:rPr>
          <w:rFonts w:ascii="Times New Roman" w:hAnsi="Times New Roman" w:cs="Times New Roman"/>
          <w:sz w:val="24"/>
          <w:szCs w:val="24"/>
        </w:rPr>
      </w:pPr>
      <w:bookmarkStart w:id="58" w:name="_Toc139831946"/>
      <w:bookmarkStart w:id="59" w:name="_Toc151023703"/>
      <w:r w:rsidRPr="00396ACF">
        <w:rPr>
          <w:rFonts w:ascii="Times New Roman" w:hAnsi="Times New Roman" w:cs="Times New Roman"/>
          <w:sz w:val="24"/>
          <w:szCs w:val="24"/>
        </w:rPr>
        <w:t>Train-the-Trainer Models</w:t>
      </w:r>
      <w:bookmarkEnd w:id="58"/>
      <w:bookmarkEnd w:id="59"/>
    </w:p>
    <w:p w14:paraId="540D7CD7"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An important aspect of creating successful professionals is providing them with a good mentor. It has been stated that good mentoring is critical to success, especially in the world of education and academia </w:t>
      </w:r>
      <w:r>
        <w:rPr>
          <w:rFonts w:ascii="Times New Roman" w:hAnsi="Times New Roman" w:cs="Times New Roman"/>
        </w:rPr>
        <w:fldChar w:fldCharType="begin"/>
      </w:r>
      <w:r>
        <w:rPr>
          <w:rFonts w:ascii="Times New Roman" w:hAnsi="Times New Roman" w:cs="Times New Roman"/>
        </w:rPr>
        <w:instrText xml:space="preserve"> ADDIN EN.CITE &lt;EndNote&gt;&lt;Cite&gt;&lt;Author&gt;Sood&lt;/Author&gt;&lt;Year&gt;2016&lt;/Year&gt;&lt;RecNum&gt;12&lt;/RecNum&gt;&lt;DisplayText&gt;(Sood et al., 2016)&lt;/DisplayText&gt;&lt;record&gt;&lt;rec-number&gt;12&lt;/rec-number&gt;&lt;foreign-keys&gt;&lt;key app="EN" db-id="xxs5w29drx0waserr05599fudw0rtv2p2vew" timestamp="1673290543"&gt;12&lt;/key&gt;&lt;/foreign-keys&gt;&lt;ref-type name="Journal Article"&gt;17&lt;/ref-type&gt;&lt;contributors&gt;&lt;authors&gt;&lt;author&gt;Sood, Akshay&lt;/author&gt;&lt;author&gt;Tigges, Beth&lt;/author&gt;&lt;author&gt;Helitzer, Deborah&lt;/author&gt;&lt;/authors&gt;&lt;/contributors&gt;&lt;titles&gt;&lt;title&gt;Mentoring early-career faculty researchers is important—but first “train the trainer”&lt;/title&gt;&lt;secondary-title&gt;Academic medicine: journal of the Association of American Medical Colleges&lt;/secondary-title&gt;&lt;/titles&gt;&lt;periodical&gt;&lt;full-title&gt;Academic medicine: journal of the Association of American Medical Colleges&lt;/full-title&gt;&lt;/periodical&gt;&lt;pages&gt;1598&lt;/pages&gt;&lt;volume&gt;91&lt;/volume&gt;&lt;number&gt;12&lt;/number&gt;&lt;dates&gt;&lt;year&gt;2016&lt;/year&gt;&lt;/dates&gt;&lt;urls&gt;&lt;/urls&gt;&lt;/record&gt;&lt;/Cite&gt;&lt;/EndNote&gt;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(Sood et al., 2016)</w:t>
      </w:r>
      <w:r>
        <w:rPr>
          <w:rFonts w:ascii="Times New Roman" w:hAnsi="Times New Roman" w:cs="Times New Roman"/>
        </w:rPr>
        <w:fldChar w:fldCharType="end"/>
      </w:r>
      <w:r>
        <w:rPr>
          <w:rFonts w:ascii="Times New Roman" w:hAnsi="Times New Roman" w:cs="Times New Roman"/>
        </w:rPr>
        <w:t xml:space="preserve">. One strategy for establish good quality mentors and giving equipping them with the skills they need to mentor others is a Train-the-Trainer (TTT) approach. Train-the-Trainer models are educational systems often used by institutions containing subject matter experts to provide education, curriculum, instructional guidelines, and teaching methods and materials to other individuals in order to equip them to train on a particular subject </w:t>
      </w:r>
      <w:r>
        <w:rPr>
          <w:rFonts w:ascii="Times New Roman" w:hAnsi="Times New Roman" w:cs="Times New Roman"/>
        </w:rPr>
        <w:fldChar w:fldCharType="begin"/>
      </w:r>
      <w:r>
        <w:rPr>
          <w:rFonts w:ascii="Times New Roman" w:hAnsi="Times New Roman" w:cs="Times New Roman"/>
        </w:rPr>
        <w:instrText xml:space="preserve"> ADDIN EN.CITE &lt;EndNote&gt;&lt;Cite&gt;&lt;Author&gt;Orfaly&lt;/Author&gt;&lt;Year&gt;2005&lt;/Year&gt;&lt;RecNum&gt;9&lt;/RecNum&gt;&lt;DisplayText&gt;(Orfaly et al., 2005)&lt;/DisplayText&gt;&lt;record&gt;&lt;rec-number&gt;9&lt;/rec-number&gt;&lt;foreign-keys&gt;&lt;key app="EN" db-id="xxs5w29drx0waserr05599fudw0rtv2p2vew" timestamp="1673289748"&gt;9&lt;/key&gt;&lt;/foreign-keys&gt;&lt;ref-type name="Journal Article"&gt;17&lt;/ref-type&gt;&lt;contributors&gt;&lt;authors&gt;&lt;author&gt;Orfaly, Rebecca A&lt;/author&gt;&lt;author&gt;Frances, Joshua C&lt;/author&gt;&lt;author&gt;Campbell, Paul&lt;/author&gt;&lt;author&gt;Whittemore, Becky&lt;/author&gt;&lt;author&gt;Joly, Brenda&lt;/author&gt;&lt;author&gt;Koh, Howard&lt;/author&gt;&lt;/authors&gt;&lt;/contributors&gt;&lt;titles&gt;&lt;title&gt;Train-the-trainer as an educational model in public health preparedness&lt;/title&gt;&lt;secondary-title&gt;Journal of Public Health Management and Practice&lt;/secondary-title&gt;&lt;/titles&gt;&lt;periodical&gt;&lt;full-title&gt;Journal of Public Health Management and Practice&lt;/full-title&gt;&lt;/periodical&gt;&lt;pages&gt;S123-S127&lt;/pages&gt;&lt;volume&gt;11&lt;/volume&gt;&lt;number&gt;6&lt;/number&gt;&lt;dates&gt;&lt;year&gt;2005&lt;/year&gt;&lt;/dates&gt;&lt;isbn&gt;1078-4659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(Orfaly et al., 2005)</w:t>
      </w:r>
      <w:r>
        <w:rPr>
          <w:rFonts w:ascii="Times New Roman" w:hAnsi="Times New Roman" w:cs="Times New Roman"/>
        </w:rPr>
        <w:fldChar w:fldCharType="end"/>
      </w:r>
      <w:r>
        <w:rPr>
          <w:rFonts w:ascii="Times New Roman" w:hAnsi="Times New Roman" w:cs="Times New Roman"/>
        </w:rPr>
        <w:t xml:space="preserve">. Commonly, these methods have been used to create effective teaching professionals across numerous industries including agriculture, health, professional development, medicine, and academia </w: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bj48dXJscz48L3VybHM+PC9yZWNvcmQ+PC9DaXRlPjxDaXRlPjxBdXRob3I+T3JmYWx5PC9BdXRo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bj48dXJscz48L3VybHM+PC9yZWNvcmQ+PC9DaXRlPjxDaXRlPjxBdXRob3I+T3JmYWx5PC9BdXRo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(Bess et al., 2003; Carruth et al., 2010; Orfaly et al., 2005; Pancucci, 2007; Sood et al., 2016)</w:t>
      </w:r>
      <w:r>
        <w:rPr>
          <w:rFonts w:ascii="Times New Roman" w:hAnsi="Times New Roman" w:cs="Times New Roman"/>
        </w:rPr>
        <w:fldChar w:fldCharType="end"/>
      </w:r>
      <w:r>
        <w:rPr>
          <w:rFonts w:ascii="Times New Roman" w:hAnsi="Times New Roman" w:cs="Times New Roman"/>
        </w:rPr>
        <w:t>.</w:t>
      </w:r>
    </w:p>
    <w:p w14:paraId="247B20F2" w14:textId="77777777" w:rsidR="00AA7CD5" w:rsidRDefault="00AA7CD5" w:rsidP="008A6B75">
      <w:pPr>
        <w:spacing w:line="360" w:lineRule="auto"/>
        <w:rPr>
          <w:rFonts w:ascii="Times New Roman" w:hAnsi="Times New Roman" w:cs="Times New Roman"/>
        </w:rPr>
      </w:pPr>
    </w:p>
    <w:p w14:paraId="22AB996A"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Train-the-Trainer approaches have proven to be successful in the realm of public health preparedness according to a study done in Maine </w:t>
      </w:r>
      <w:r>
        <w:rPr>
          <w:rFonts w:ascii="Times New Roman" w:hAnsi="Times New Roman" w:cs="Times New Roman"/>
        </w:rPr>
        <w:fldChar w:fldCharType="begin"/>
      </w:r>
      <w:r>
        <w:rPr>
          <w:rFonts w:ascii="Times New Roman" w:hAnsi="Times New Roman" w:cs="Times New Roman"/>
        </w:rPr>
        <w:instrText xml:space="preserve"> ADDIN EN.CITE &lt;EndNote&gt;&lt;Cite&gt;&lt;Author&gt;Orfaly&lt;/Author&gt;&lt;Year&gt;2005&lt;/Year&gt;&lt;RecNum&gt;9&lt;/RecNum&gt;&lt;DisplayText&gt;(Orfaly et al., 2005)&lt;/DisplayText&gt;&lt;record&gt;&lt;rec-number&gt;9&lt;/rec-number&gt;&lt;foreign-keys&gt;&lt;key app="EN" db-id="xxs5w29drx0waserr05599fudw0rtv2p2vew" timestamp="1673289748"&gt;9&lt;/key&gt;&lt;/foreign-keys&gt;&lt;ref-type name="Journal Article"&gt;17&lt;/ref-type&gt;&lt;contributors&gt;&lt;authors&gt;&lt;author&gt;Orfaly, Rebecca A&lt;/author&gt;&lt;author&gt;Frances, Joshua C&lt;/author&gt;&lt;author&gt;Campbell, Paul&lt;/author&gt;&lt;author&gt;Whittemore, Becky&lt;/author&gt;&lt;author&gt;Joly, Brenda&lt;/author&gt;&lt;author&gt;Koh, Howard&lt;/author&gt;&lt;/authors&gt;&lt;/contributors&gt;&lt;titles&gt;&lt;title&gt;Train-the-trainer as an educational model in public health preparedness&lt;/title&gt;&lt;secondary-title&gt;Journal of Public Health Management and Practice&lt;/secondary-title&gt;&lt;/titles&gt;&lt;periodical&gt;&lt;full-title&gt;Journal of Public Health Management and Practice&lt;/full-title&gt;&lt;/periodical&gt;&lt;pages&gt;S123-S127&lt;/pages&gt;&lt;volume&gt;11&lt;/volume&gt;&lt;number&gt;6&lt;/number&gt;&lt;dates&gt;&lt;year&gt;2005&lt;/year&gt;&lt;/dates&gt;&lt;isbn&gt;1078-4659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(Orfaly et al., 2005)</w:t>
      </w:r>
      <w:r>
        <w:rPr>
          <w:rFonts w:ascii="Times New Roman" w:hAnsi="Times New Roman" w:cs="Times New Roman"/>
        </w:rPr>
        <w:fldChar w:fldCharType="end"/>
      </w:r>
      <w:r>
        <w:rPr>
          <w:rFonts w:ascii="Times New Roman" w:hAnsi="Times New Roman" w:cs="Times New Roman"/>
        </w:rPr>
        <w:t xml:space="preserve">. After 1 year of </w:t>
      </w:r>
      <w:r>
        <w:rPr>
          <w:rFonts w:ascii="Times New Roman" w:hAnsi="Times New Roman" w:cs="Times New Roman"/>
        </w:rPr>
        <w:lastRenderedPageBreak/>
        <w:t xml:space="preserve">implementation, results indicated an overall success in this program, but there was no definitive structures or components that ensure this success </w:t>
      </w:r>
      <w:r>
        <w:rPr>
          <w:rFonts w:ascii="Times New Roman" w:hAnsi="Times New Roman" w:cs="Times New Roman"/>
        </w:rPr>
        <w:fldChar w:fldCharType="begin"/>
      </w:r>
      <w:r>
        <w:rPr>
          <w:rFonts w:ascii="Times New Roman" w:hAnsi="Times New Roman" w:cs="Times New Roman"/>
        </w:rPr>
        <w:instrText xml:space="preserve"> ADDIN EN.CITE &lt;EndNote&gt;&lt;Cite&gt;&lt;Author&gt;Orfaly&lt;/Author&gt;&lt;Year&gt;2005&lt;/Year&gt;&lt;RecNum&gt;9&lt;/RecNum&gt;&lt;DisplayText&gt;(Orfaly et al., 2005)&lt;/DisplayText&gt;&lt;record&gt;&lt;rec-number&gt;9&lt;/rec-number&gt;&lt;foreign-keys&gt;&lt;key app="EN" db-id="xxs5w29drx0waserr05599fudw0rtv2p2vew" timestamp="1673289748"&gt;9&lt;/key&gt;&lt;/foreign-keys&gt;&lt;ref-type name="Journal Article"&gt;17&lt;/ref-type&gt;&lt;contributors&gt;&lt;authors&gt;&lt;author&gt;Orfaly, Rebecca A&lt;/author&gt;&lt;author&gt;Frances, Joshua C&lt;/author&gt;&lt;author&gt;Campbell, Paul&lt;/author&gt;&lt;author&gt;Whittemore, Becky&lt;/author&gt;&lt;author&gt;Joly, Brenda&lt;/author&gt;&lt;author&gt;Koh, Howard&lt;/author&gt;&lt;/authors&gt;&lt;/contributors&gt;&lt;titles&gt;&lt;title&gt;Train-the-trainer as an educational model in public health preparedness&lt;/title&gt;&lt;secondary-title&gt;Journal of Public Health Management and Practice&lt;/secondary-title&gt;&lt;/titles&gt;&lt;periodical&gt;&lt;full-title&gt;Journal of Public Health Management and Practice&lt;/full-title&gt;&lt;/periodical&gt;&lt;pages&gt;S123-S127&lt;/pages&gt;&lt;volume&gt;11&lt;/volume&gt;&lt;number&gt;6&lt;/number&gt;&lt;dates&gt;&lt;year&gt;2005&lt;/year&gt;&lt;/dates&gt;&lt;isbn&gt;1078-4659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(Orfaly et al., 2005)</w:t>
      </w:r>
      <w:r>
        <w:rPr>
          <w:rFonts w:ascii="Times New Roman" w:hAnsi="Times New Roman" w:cs="Times New Roman"/>
        </w:rPr>
        <w:fldChar w:fldCharType="end"/>
      </w:r>
      <w:r>
        <w:rPr>
          <w:rFonts w:ascii="Times New Roman" w:hAnsi="Times New Roman" w:cs="Times New Roman"/>
        </w:rPr>
        <w:t xml:space="preserve">. Additionally, only 20% of participants utilized the training they received within 6 months of completion due to lack of time and resources </w:t>
      </w:r>
      <w:r>
        <w:rPr>
          <w:rFonts w:ascii="Times New Roman" w:hAnsi="Times New Roman" w:cs="Times New Roman"/>
        </w:rPr>
        <w:fldChar w:fldCharType="begin"/>
      </w:r>
      <w:r>
        <w:rPr>
          <w:rFonts w:ascii="Times New Roman" w:hAnsi="Times New Roman" w:cs="Times New Roman"/>
        </w:rPr>
        <w:instrText xml:space="preserve"> ADDIN EN.CITE &lt;EndNote&gt;&lt;Cite&gt;&lt;Author&gt;Orfaly&lt;/Author&gt;&lt;Year&gt;2005&lt;/Year&gt;&lt;RecNum&gt;9&lt;/RecNum&gt;&lt;DisplayText&gt;(Orfaly et al., 2005)&lt;/DisplayText&gt;&lt;record&gt;&lt;rec-number&gt;9&lt;/rec-number&gt;&lt;foreign-keys&gt;&lt;key app="EN" db-id="xxs5w29drx0waserr05599fudw0rtv2p2vew" timestamp="1673289748"&gt;9&lt;/key&gt;&lt;/foreign-keys&gt;&lt;ref-type name="Journal Article"&gt;17&lt;/ref-type&gt;&lt;contributors&gt;&lt;authors&gt;&lt;author&gt;Orfaly, Rebecca A&lt;/author&gt;&lt;author&gt;Frances, Joshua C&lt;/author&gt;&lt;author&gt;Campbell, Paul&lt;/author&gt;&lt;author&gt;Whittemore, Becky&lt;/author&gt;&lt;author&gt;Joly, Brenda&lt;/author&gt;&lt;author&gt;Koh, Howard&lt;/author&gt;&lt;/authors&gt;&lt;/contributors&gt;&lt;titles&gt;&lt;title&gt;Train-the-trainer as an educational model in public health preparedness&lt;/title&gt;&lt;secondary-title&gt;Journal of Public Health Management and Practice&lt;/secondary-title&gt;&lt;/titles&gt;&lt;periodical&gt;&lt;full-title&gt;Journal of Public Health Management and Practice&lt;/full-title&gt;&lt;/periodical&gt;&lt;pages&gt;S123-S127&lt;/pages&gt;&lt;volume&gt;11&lt;/volume&gt;&lt;number&gt;6&lt;/number&gt;&lt;dates&gt;&lt;year&gt;2005&lt;/year&gt;&lt;/dates&gt;&lt;isbn&gt;1078-4659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(Orfaly et al., 2005)</w:t>
      </w:r>
      <w:r>
        <w:rPr>
          <w:rFonts w:ascii="Times New Roman" w:hAnsi="Times New Roman" w:cs="Times New Roman"/>
        </w:rPr>
        <w:fldChar w:fldCharType="end"/>
      </w:r>
      <w:r>
        <w:rPr>
          <w:rFonts w:ascii="Times New Roman" w:hAnsi="Times New Roman" w:cs="Times New Roman"/>
        </w:rPr>
        <w:t xml:space="preserve">. Thus, it is vital that institutions and organizations seeking to implement a TTT program remain flexible in regard to the overall structure and format of their TTT model to cater it to their specific needs </w:t>
      </w:r>
      <w:r>
        <w:rPr>
          <w:rFonts w:ascii="Times New Roman" w:hAnsi="Times New Roman" w:cs="Times New Roman"/>
        </w:rPr>
        <w:fldChar w:fldCharType="begin"/>
      </w:r>
      <w:r>
        <w:rPr>
          <w:rFonts w:ascii="Times New Roman" w:hAnsi="Times New Roman" w:cs="Times New Roman"/>
        </w:rPr>
        <w:instrText xml:space="preserve"> ADDIN EN.CITE &lt;EndNote&gt;&lt;Cite&gt;&lt;Author&gt;Orfaly&lt;/Author&gt;&lt;Year&gt;2005&lt;/Year&gt;&lt;RecNum&gt;9&lt;/RecNum&gt;&lt;DisplayText&gt;(Orfaly et al., 2005)&lt;/DisplayText&gt;&lt;record&gt;&lt;rec-number&gt;9&lt;/rec-number&gt;&lt;foreign-keys&gt;&lt;key app="EN" db-id="xxs5w29drx0waserr05599fudw0rtv2p2vew" timestamp="1673289748"&gt;9&lt;/key&gt;&lt;/foreign-keys&gt;&lt;ref-type name="Journal Article"&gt;17&lt;/ref-type&gt;&lt;contributors&gt;&lt;authors&gt;&lt;author&gt;Orfaly, Rebecca A&lt;/author&gt;&lt;author&gt;Frances, Joshua C&lt;/author&gt;&lt;author&gt;Campbell, Paul&lt;/author&gt;&lt;author&gt;Whittemore, Becky&lt;/author&gt;&lt;author&gt;Joly, Brenda&lt;/author&gt;&lt;author&gt;Koh, Howard&lt;/author&gt;&lt;/authors&gt;&lt;/contributors&gt;&lt;titles&gt;&lt;title&gt;Train-the-trainer as an educational model in public health preparedness&lt;/title&gt;&lt;secondary-title&gt;Journal of Public Health Management and Practice&lt;/secondary-title&gt;&lt;/titles&gt;&lt;periodical&gt;&lt;full-title&gt;Journal of Public Health Management and Practice&lt;/full-title&gt;&lt;/periodical&gt;&lt;pages&gt;S123-S127&lt;/pages&gt;&lt;volume&gt;11&lt;/volume&gt;&lt;number&gt;6&lt;/number&gt;&lt;dates&gt;&lt;year&gt;2005&lt;/year&gt;&lt;/dates&gt;&lt;isbn&gt;1078-4659&lt;/isbn&gt;&lt;urls&gt;&lt;/urls&gt;&lt;/record&gt;&lt;/Cite&gt;&lt;/EndNote&gt;</w:instrText>
      </w:r>
      <w:r>
        <w:rPr>
          <w:rFonts w:ascii="Times New Roman" w:hAnsi="Times New Roman" w:cs="Times New Roman"/>
        </w:rPr>
        <w:fldChar w:fldCharType="separate"/>
      </w:r>
      <w:r>
        <w:rPr>
          <w:rFonts w:ascii="Times New Roman" w:hAnsi="Times New Roman" w:cs="Times New Roman"/>
          <w:noProof/>
        </w:rPr>
        <w:t>(Orfaly et al., 2005)</w:t>
      </w:r>
      <w:r>
        <w:rPr>
          <w:rFonts w:ascii="Times New Roman" w:hAnsi="Times New Roman" w:cs="Times New Roman"/>
        </w:rPr>
        <w:fldChar w:fldCharType="end"/>
      </w:r>
      <w:r>
        <w:rPr>
          <w:rFonts w:ascii="Times New Roman" w:hAnsi="Times New Roman" w:cs="Times New Roman"/>
        </w:rPr>
        <w:t xml:space="preserve">. </w:t>
      </w:r>
    </w:p>
    <w:p w14:paraId="2C294582" w14:textId="77777777" w:rsidR="00AA7CD5" w:rsidRDefault="00AA7CD5" w:rsidP="008A6B75">
      <w:pPr>
        <w:spacing w:line="360" w:lineRule="auto"/>
        <w:rPr>
          <w:rFonts w:ascii="Times New Roman" w:hAnsi="Times New Roman" w:cs="Times New Roman"/>
        </w:rPr>
      </w:pPr>
    </w:p>
    <w:p w14:paraId="465C6970"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Additionally, TTT models have also seen success in professional development outlets and has proved to improve preparedness for teachers </w:t>
      </w:r>
      <w:r w:rsidRPr="006801EA">
        <w:rPr>
          <w:rFonts w:ascii="Times New Roman" w:hAnsi="Times New Roman" w:cs="Times New Roman"/>
        </w:rPr>
        <w:fldChar w:fldCharType="begin"/>
      </w:r>
      <w:r w:rsidRPr="006801EA">
        <w:rPr>
          <w:rFonts w:ascii="Times New Roman" w:hAnsi="Times New Roman" w:cs="Times New Roman"/>
        </w:rPr>
        <w:instrText xml:space="preserve"> ADDIN EN.CITE &lt;EndNote&gt;&lt;Cite&gt;&lt;Author&gt;Pancucci&lt;/Author&gt;&lt;Year&gt;2007&lt;/Year&gt;&lt;RecNum&gt;10&lt;/RecNum&gt;&lt;DisplayText&gt;(Pancucci, 2007)&lt;/DisplayText&gt;&lt;record&gt;&lt;rec-number&gt;10&lt;/rec-number&gt;&lt;foreign-keys&gt;&lt;key app="EN" db-id="xxs5w29drx0waserr05599fudw0rtv2p2vew" timestamp="1673290071"&gt;10&lt;/key&gt;&lt;/foreign-keys&gt;&lt;ref-type name="Journal Article"&gt;17&lt;/ref-type&gt;&lt;contributors&gt;&lt;authors&gt;&lt;author&gt;Pancucci, S&lt;/author&gt;&lt;/authors&gt;&lt;/contributors&gt;&lt;titles&gt;&lt;title&gt;Train the trainer: The bricks in the learning community scaffold of professional development&lt;/title&gt;&lt;secondary-title&gt;International Journal of Educational and Pedagogical Sciences&lt;/secondary-title&gt;&lt;/titles&gt;&lt;periodical&gt;&lt;full-title&gt;International Journal of Educational and Pedagogical Sciences&lt;/full-title&gt;&lt;/periodical&gt;&lt;pages&gt;597-604&lt;/pages&gt;&lt;volume&gt;1&lt;/volume&gt;&lt;number&gt;11&lt;/number&gt;&lt;dates&gt;&lt;year&gt;2007&lt;/year&gt;&lt;/dates&gt;&lt;urls&gt;&lt;/urls&gt;&lt;/record&gt;&lt;/Cite&gt;&lt;/EndNote&gt;</w:instrText>
      </w:r>
      <w:r w:rsidRPr="006801EA">
        <w:rPr>
          <w:rFonts w:ascii="Times New Roman" w:hAnsi="Times New Roman" w:cs="Times New Roman"/>
        </w:rPr>
        <w:fldChar w:fldCharType="separate"/>
      </w:r>
      <w:r w:rsidRPr="006801EA">
        <w:rPr>
          <w:rFonts w:ascii="Times New Roman" w:hAnsi="Times New Roman" w:cs="Times New Roman"/>
          <w:noProof/>
        </w:rPr>
        <w:t>(Pancucci, 2007)</w:t>
      </w:r>
      <w:r w:rsidRPr="006801EA">
        <w:rPr>
          <w:rFonts w:ascii="Times New Roman" w:hAnsi="Times New Roman" w:cs="Times New Roman"/>
        </w:rPr>
        <w:fldChar w:fldCharType="end"/>
      </w:r>
      <w:r w:rsidRPr="006801EA">
        <w:rPr>
          <w:rFonts w:ascii="Times New Roman" w:hAnsi="Times New Roman" w:cs="Times New Roman"/>
        </w:rPr>
        <w:t xml:space="preserve">. </w:t>
      </w:r>
      <w:r w:rsidRPr="00DE384C">
        <w:rPr>
          <w:rFonts w:ascii="Times New Roman" w:hAnsi="Times New Roman" w:cs="Times New Roman"/>
        </w:rPr>
        <w:t>P</w:t>
      </w:r>
      <w:r w:rsidRPr="006801EA">
        <w:rPr>
          <w:rFonts w:ascii="Times New Roman" w:hAnsi="Times New Roman" w:cs="Times New Roman"/>
        </w:rPr>
        <w:t xml:space="preserve">erceived effectiveness </w:t>
      </w:r>
      <w:r w:rsidRPr="00DE384C">
        <w:rPr>
          <w:rFonts w:ascii="Times New Roman" w:hAnsi="Times New Roman" w:cs="Times New Roman"/>
        </w:rPr>
        <w:t xml:space="preserve">was evaluated </w:t>
      </w:r>
      <w:r w:rsidRPr="006801EA">
        <w:rPr>
          <w:rFonts w:ascii="Times New Roman" w:hAnsi="Times New Roman" w:cs="Times New Roman"/>
        </w:rPr>
        <w:t xml:space="preserve">of a TTT model that was utilized to train 83 elementary school teachers on the subject of information technology </w:t>
      </w:r>
      <w:r w:rsidRPr="006801EA">
        <w:rPr>
          <w:rFonts w:ascii="Times New Roman" w:hAnsi="Times New Roman" w:cs="Times New Roman"/>
        </w:rPr>
        <w:fldChar w:fldCharType="begin"/>
      </w:r>
      <w:r w:rsidRPr="006801EA">
        <w:rPr>
          <w:rFonts w:ascii="Times New Roman" w:hAnsi="Times New Roman" w:cs="Times New Roman"/>
        </w:rPr>
        <w:instrText xml:space="preserve"> ADDIN EN.CITE &lt;EndNote&gt;&lt;Cite&gt;&lt;Author&gt;Pancucci&lt;/Author&gt;&lt;Year&gt;2007&lt;/Year&gt;&lt;RecNum&gt;10&lt;/RecNum&gt;&lt;DisplayText&gt;(Pancucci, 2007)&lt;/DisplayText&gt;&lt;record&gt;&lt;rec-number&gt;10&lt;/rec-number&gt;&lt;foreign-keys&gt;&lt;key app="EN" db-id="xxs5w29drx0waserr05599fudw0rtv2p2vew" timestamp="1673290071"&gt;10&lt;/key&gt;&lt;/foreign-keys&gt;&lt;ref-type name="Journal Article"&gt;17&lt;/ref-type&gt;&lt;contributors&gt;&lt;authors&gt;&lt;author&gt;Pancucci, S&lt;/author&gt;&lt;/authors&gt;&lt;/contributors&gt;&lt;titles&gt;&lt;title&gt;Train the trainer: The bricks in the learning community scaffold of professional development&lt;/title&gt;&lt;secondary-title&gt;International Journal of Educational and Pedagogical Sciences&lt;/secondary-title&gt;&lt;/titles&gt;&lt;periodical&gt;&lt;full-title&gt;International Journal of Educational and Pedagogical Sciences&lt;/full-title&gt;&lt;/periodical&gt;&lt;pages&gt;597-604&lt;/pages&gt;&lt;volume&gt;1&lt;/volume&gt;&lt;number&gt;11&lt;/number&gt;&lt;dates&gt;&lt;year&gt;2007&lt;/year&gt;&lt;/dates&gt;&lt;urls&gt;&lt;/urls&gt;&lt;/record&gt;&lt;/Cite&gt;&lt;/EndNote&gt;</w:instrText>
      </w:r>
      <w:r w:rsidRPr="006801EA">
        <w:rPr>
          <w:rFonts w:ascii="Times New Roman" w:hAnsi="Times New Roman" w:cs="Times New Roman"/>
        </w:rPr>
        <w:fldChar w:fldCharType="separate"/>
      </w:r>
      <w:r w:rsidRPr="006801EA">
        <w:rPr>
          <w:rFonts w:ascii="Times New Roman" w:hAnsi="Times New Roman" w:cs="Times New Roman"/>
          <w:noProof/>
        </w:rPr>
        <w:t>(Pancucci, 2007)</w:t>
      </w:r>
      <w:r w:rsidRPr="006801EA">
        <w:rPr>
          <w:rFonts w:ascii="Times New Roman" w:hAnsi="Times New Roman" w:cs="Times New Roman"/>
        </w:rPr>
        <w:fldChar w:fldCharType="end"/>
      </w:r>
      <w:r w:rsidRPr="006801EA">
        <w:rPr>
          <w:rFonts w:ascii="Times New Roman" w:hAnsi="Times New Roman" w:cs="Times New Roman"/>
        </w:rPr>
        <w:t>.</w:t>
      </w:r>
      <w:r>
        <w:rPr>
          <w:rFonts w:ascii="Times New Roman" w:hAnsi="Times New Roman" w:cs="Times New Roman"/>
        </w:rPr>
        <w:t xml:space="preserve"> Participating teachers engaged in four half-day trainings along with one after-school session and were asked to provide their perceived effectiveness of the training </w:t>
      </w:r>
      <w:r>
        <w:rPr>
          <w:rFonts w:ascii="Times New Roman" w:hAnsi="Times New Roman" w:cs="Times New Roman"/>
        </w:rPr>
        <w:fldChar w:fldCharType="begin"/>
      </w:r>
      <w:r>
        <w:rPr>
          <w:rFonts w:ascii="Times New Roman" w:hAnsi="Times New Roman" w:cs="Times New Roman"/>
        </w:rPr>
        <w:instrText xml:space="preserve"> ADDIN EN.CITE &lt;EndNote&gt;&lt;Cite&gt;&lt;Author&gt;Pancucci&lt;/Author&gt;&lt;Year&gt;2007&lt;/Year&gt;&lt;RecNum&gt;10&lt;/RecNum&gt;&lt;DisplayText&gt;(Pancucci, 2007)&lt;/DisplayText&gt;&lt;record&gt;&lt;rec-number&gt;10&lt;/rec-number&gt;&lt;foreign-keys&gt;&lt;key app="EN" db-id="xxs5w29drx0waserr05599fudw0rtv2p2vew" timestamp="1673290071"&gt;10&lt;/key&gt;&lt;/foreign-keys&gt;&lt;ref-type name="Journal Article"&gt;17&lt;/ref-type&gt;&lt;contributors&gt;&lt;authors&gt;&lt;author&gt;Pancucci, S&lt;/author&gt;&lt;/authors&gt;&lt;/contributors&gt;&lt;titles&gt;&lt;title&gt;Train the trainer: The bricks in the learning community scaffold of professional development&lt;/title&gt;&lt;secondary-title&gt;International Journal of Educational and Pedagogical Sciences&lt;/secondary-title&gt;&lt;/titles&gt;&lt;periodical&gt;&lt;full-title&gt;International Journal of Educational and Pedagogical Sciences&lt;/full-title&gt;&lt;/periodical&gt;&lt;pages&gt;597-604&lt;/pages&gt;&lt;volume&gt;1&lt;/volume&gt;&lt;number&gt;11&lt;/number&gt;&lt;dates&gt;&lt;year&gt;2007&lt;/year&gt;&lt;/dates&gt;&lt;urls&gt;&lt;/urls&gt;&lt;/record&gt;&lt;/Cite&gt;&lt;/EndNote&gt;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(Pancucci, 2007)</w:t>
      </w:r>
      <w:r>
        <w:rPr>
          <w:rFonts w:ascii="Times New Roman" w:hAnsi="Times New Roman" w:cs="Times New Roman"/>
        </w:rPr>
        <w:fldChar w:fldCharType="end"/>
      </w:r>
      <w:r>
        <w:rPr>
          <w:rFonts w:ascii="Times New Roman" w:hAnsi="Times New Roman" w:cs="Times New Roman"/>
        </w:rPr>
        <w:t xml:space="preserve">. Results indicated that teachers saw benefit in this TTT professional development training and gained confidence in their ability as Information Technology Coaches, proving that TTT models can be beneficial when incorporated into professional development activities in education </w:t>
      </w:r>
      <w:r>
        <w:rPr>
          <w:rFonts w:ascii="Times New Roman" w:hAnsi="Times New Roman" w:cs="Times New Roman"/>
        </w:rPr>
        <w:fldChar w:fldCharType="begin"/>
      </w:r>
      <w:r>
        <w:rPr>
          <w:rFonts w:ascii="Times New Roman" w:hAnsi="Times New Roman" w:cs="Times New Roman"/>
        </w:rPr>
        <w:instrText xml:space="preserve"> ADDIN EN.CITE &lt;EndNote&gt;&lt;Cite&gt;&lt;Author&gt;Pancucci&lt;/Author&gt;&lt;Year&gt;2007&lt;/Year&gt;&lt;RecNum&gt;10&lt;/RecNum&gt;&lt;DisplayText&gt;(Pancucci, 2007)&lt;/DisplayText&gt;&lt;record&gt;&lt;rec-number&gt;10&lt;/rec-number&gt;&lt;foreign-keys&gt;&lt;key app="EN" db-id="xxs5w29drx0waserr05599fudw0rtv2p2vew" timestamp="1673290071"&gt;10&lt;/key&gt;&lt;/foreign-keys&gt;&lt;ref-type name="Journal Article"&gt;17&lt;/ref-type&gt;&lt;contributors&gt;&lt;authors&gt;&lt;author&gt;Pancucci, S&lt;/author&gt;&lt;/authors&gt;&lt;/contributors&gt;&lt;titles&gt;&lt;title&gt;Train the trainer: The bricks in the learning community scaffold of professional development&lt;/title&gt;&lt;secondary-title&gt;International Journal of Educational and Pedagogical Sciences&lt;/secondary-title&gt;&lt;/titles&gt;&lt;periodical&gt;&lt;full-title&gt;International Journal of Educational and Pedagogical Sciences&lt;/full-title&gt;&lt;/periodical&gt;&lt;pages&gt;597-604&lt;/pages&gt;&lt;volume&gt;1&lt;/volume&gt;&lt;number&gt;11&lt;/number&gt;&lt;dates&gt;&lt;year&gt;2007&lt;/year&gt;&lt;/dates&gt;&lt;urls&gt;&lt;/urls&gt;&lt;/record&gt;&lt;/Cite&gt;&lt;/EndNote&gt;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(Pancucci, 2007)</w:t>
      </w:r>
      <w:r>
        <w:rPr>
          <w:rFonts w:ascii="Times New Roman" w:hAnsi="Times New Roman" w:cs="Times New Roman"/>
        </w:rPr>
        <w:fldChar w:fldCharType="end"/>
      </w:r>
      <w:r>
        <w:rPr>
          <w:rFonts w:ascii="Times New Roman" w:hAnsi="Times New Roman" w:cs="Times New Roman"/>
        </w:rPr>
        <w:t xml:space="preserve">. However, it was also determined that despite the success of this TTT program, it is vital to include a variety of additional training methods to successfully change teachers’ practice </w:t>
      </w:r>
      <w:r>
        <w:rPr>
          <w:rFonts w:ascii="Times New Roman" w:hAnsi="Times New Roman" w:cs="Times New Roman"/>
        </w:rPr>
        <w:fldChar w:fldCharType="begin"/>
      </w:r>
      <w:r>
        <w:rPr>
          <w:rFonts w:ascii="Times New Roman" w:hAnsi="Times New Roman" w:cs="Times New Roman"/>
        </w:rPr>
        <w:instrText xml:space="preserve"> ADDIN EN.CITE &lt;EndNote&gt;&lt;Cite&gt;&lt;Author&gt;Pancucci&lt;/Author&gt;&lt;Year&gt;2007&lt;/Year&gt;&lt;RecNum&gt;10&lt;/RecNum&gt;&lt;DisplayText&gt;(Pancucci, 2007)&lt;/DisplayText&gt;&lt;record&gt;&lt;rec-number&gt;10&lt;/rec-number&gt;&lt;foreign-keys&gt;&lt;key app="EN" db-id="xxs5w29drx0waserr05599fudw0rtv2p2vew" timestamp="1673290071"&gt;10&lt;/key&gt;&lt;/foreign-keys&gt;&lt;ref-type name="Journal Article"&gt;17&lt;/ref-type&gt;&lt;contributors&gt;&lt;authors&gt;&lt;author&gt;Pancucci, S&lt;/author&gt;&lt;/authors&gt;&lt;/contributors&gt;&lt;titles&gt;&lt;title&gt;Train the trainer: The bricks in the learning community scaffold of professional development&lt;/title&gt;&lt;secondary-title&gt;International Journal of Educational and Pedagogical Sciences&lt;/secondary-title&gt;&lt;/titles&gt;&lt;periodical&gt;&lt;full-title&gt;International Journal of Educational and Pedagogical Sciences&lt;/full-title&gt;&lt;/periodical&gt;&lt;pages&gt;597-604&lt;/pages&gt;&lt;volume&gt;1&lt;/volume&gt;&lt;number&gt;11&lt;/number&gt;&lt;dates&gt;&lt;year&gt;2007&lt;/year&gt;&lt;/dates&gt;&lt;urls&gt;&lt;/urls&gt;&lt;/record&gt;&lt;/Cite&gt;&lt;/EndNote&gt;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(Pancucci, 2007)</w:t>
      </w:r>
      <w:r>
        <w:rPr>
          <w:rFonts w:ascii="Times New Roman" w:hAnsi="Times New Roman" w:cs="Times New Roman"/>
        </w:rPr>
        <w:fldChar w:fldCharType="end"/>
      </w:r>
      <w:r>
        <w:rPr>
          <w:rFonts w:ascii="Times New Roman" w:hAnsi="Times New Roman" w:cs="Times New Roman"/>
        </w:rPr>
        <w:t xml:space="preserve">. </w:t>
      </w:r>
    </w:p>
    <w:p w14:paraId="6245C607" w14:textId="77777777" w:rsidR="00AA7CD5" w:rsidRDefault="00AA7CD5" w:rsidP="008A6B75">
      <w:pPr>
        <w:spacing w:line="360" w:lineRule="auto"/>
        <w:rPr>
          <w:rFonts w:ascii="Times New Roman" w:hAnsi="Times New Roman" w:cs="Times New Roman"/>
        </w:rPr>
      </w:pPr>
    </w:p>
    <w:p w14:paraId="29CADA4E"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In an academic setting, particularly higher education, TTT approaches are seen often when developing young and aspiring faculty members </w:t>
      </w:r>
      <w:r>
        <w:rPr>
          <w:rFonts w:ascii="Times New Roman" w:hAnsi="Times New Roman" w:cs="Times New Roman"/>
        </w:rPr>
        <w:fldChar w:fldCharType="begin"/>
      </w:r>
      <w:r>
        <w:rPr>
          <w:rFonts w:ascii="Times New Roman" w:hAnsi="Times New Roman" w:cs="Times New Roman"/>
        </w:rPr>
        <w:instrText xml:space="preserve"> ADDIN EN.CITE &lt;EndNote&gt;&lt;Cite&gt;&lt;Author&gt;Sood&lt;/Author&gt;&lt;Year&gt;2016&lt;/Year&gt;&lt;RecNum&gt;12&lt;/RecNum&gt;&lt;DisplayText&gt;(Sood et al., 2016)&lt;/DisplayText&gt;&lt;record&gt;&lt;rec-number&gt;12&lt;/rec-number&gt;&lt;foreign-keys&gt;&lt;key app="EN" db-id="xxs5w29drx0waserr05599fudw0rtv2p2vew" timestamp="1673290543"&gt;12&lt;/key&gt;&lt;/foreign-keys&gt;&lt;ref-type name="Journal Article"&gt;17&lt;/ref-type&gt;&lt;contributors&gt;&lt;authors&gt;&lt;author&gt;Sood, Akshay&lt;/author&gt;&lt;author&gt;Tigges, Beth&lt;/author&gt;&lt;author&gt;Helitzer, Deborah&lt;/author&gt;&lt;/authors&gt;&lt;/contributors&gt;&lt;titles&gt;&lt;title&gt;Mentoring early-career faculty researchers is important—but first “train the trainer”&lt;/title&gt;&lt;secondary-title&gt;Academic medicine: journal of the Association of American Medical Colleges&lt;/secondary-title&gt;&lt;/titles&gt;&lt;periodical&gt;&lt;full-title&gt;Academic medicine: journal of the Association of American Medical Colleges&lt;/full-title&gt;&lt;/periodical&gt;&lt;pages&gt;1598&lt;/pages&gt;&lt;volume&gt;91&lt;/volume&gt;&lt;number&gt;12&lt;/number&gt;&lt;dates&gt;&lt;year&gt;2016&lt;/year&gt;&lt;/dates&gt;&lt;urls&gt;&lt;/urls&gt;&lt;/record&gt;&lt;/Cite&gt;&lt;/EndNote&gt;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(Sood et al., 2016)</w:t>
      </w:r>
      <w:r>
        <w:rPr>
          <w:rFonts w:ascii="Times New Roman" w:hAnsi="Times New Roman" w:cs="Times New Roman"/>
        </w:rPr>
        <w:fldChar w:fldCharType="end"/>
      </w:r>
      <w:r>
        <w:rPr>
          <w:rFonts w:ascii="Times New Roman" w:hAnsi="Times New Roman" w:cs="Times New Roman"/>
        </w:rPr>
        <w:t xml:space="preserve">. In fact, seasoned faculty that also possess the skills of a great mentor are in short supply, thus the need for a TTT program that strives to build upon the mentorship skills of faculty that primarily engage in research </w:t>
      </w:r>
      <w:r>
        <w:rPr>
          <w:rFonts w:ascii="Times New Roman" w:hAnsi="Times New Roman" w:cs="Times New Roman"/>
        </w:rPr>
        <w:fldChar w:fldCharType="begin"/>
      </w:r>
      <w:r>
        <w:rPr>
          <w:rFonts w:ascii="Times New Roman" w:hAnsi="Times New Roman" w:cs="Times New Roman"/>
        </w:rPr>
        <w:instrText xml:space="preserve"> ADDIN EN.CITE &lt;EndNote&gt;&lt;Cite&gt;&lt;Author&gt;Sood&lt;/Author&gt;&lt;Year&gt;2016&lt;/Year&gt;&lt;RecNum&gt;12&lt;/RecNum&gt;&lt;DisplayText&gt;(Sood et al., 2016)&lt;/DisplayText&gt;&lt;record&gt;&lt;rec-number&gt;12&lt;/rec-number&gt;&lt;foreign-keys&gt;&lt;key app="EN" db-id="xxs5w29drx0waserr05599fudw0rtv2p2vew" timestamp="1673290543"&gt;12&lt;/key&gt;&lt;/foreign-keys&gt;&lt;ref-type name="Journal Article"&gt;17&lt;/ref-type&gt;&lt;contributors&gt;&lt;authors&gt;&lt;author&gt;Sood, Akshay&lt;/author&gt;&lt;author&gt;Tigges, Beth&lt;/author&gt;&lt;author&gt;Helitzer, Deborah&lt;/author&gt;&lt;/authors&gt;&lt;/contributors&gt;&lt;titles&gt;&lt;title&gt;Mentoring early-career faculty researchers is important—but first “train the trainer”&lt;/title&gt;&lt;secondary-title&gt;Academic medicine: journal of the Association of American Medical Colleges&lt;/secondary-title&gt;&lt;/titles&gt;&lt;periodical&gt;&lt;full-title&gt;Academic medicine: journal of the Association of American Medical Colleges&lt;/full-title&gt;&lt;/periodical&gt;&lt;pages&gt;1598&lt;/pages&gt;&lt;volume&gt;91&lt;/volume&gt;&lt;number&gt;12&lt;/number&gt;&lt;dates&gt;&lt;year&gt;2016&lt;/year&gt;&lt;/dates&gt;&lt;urls&gt;&lt;/urls&gt;&lt;/record&gt;&lt;/Cite&gt;&lt;/EndNote&gt;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(Sood et al., 2016)</w:t>
      </w:r>
      <w:r>
        <w:rPr>
          <w:rFonts w:ascii="Times New Roman" w:hAnsi="Times New Roman" w:cs="Times New Roman"/>
        </w:rPr>
        <w:fldChar w:fldCharType="end"/>
      </w:r>
      <w:r>
        <w:rPr>
          <w:rFonts w:ascii="Times New Roman" w:hAnsi="Times New Roman" w:cs="Times New Roman"/>
        </w:rPr>
        <w:t xml:space="preserve">. It has been suggested that two-pronged framework consisting of individual competencies and institutional climate for mentoring be used when developing and administering a TTT program for faculty mentors </w:t>
      </w:r>
      <w:r>
        <w:rPr>
          <w:rFonts w:ascii="Times New Roman" w:hAnsi="Times New Roman" w:cs="Times New Roman"/>
        </w:rPr>
        <w:fldChar w:fldCharType="begin"/>
      </w:r>
      <w:r>
        <w:rPr>
          <w:rFonts w:ascii="Times New Roman" w:hAnsi="Times New Roman" w:cs="Times New Roman"/>
        </w:rPr>
        <w:instrText xml:space="preserve"> ADDIN EN.CITE &lt;EndNote&gt;&lt;Cite&gt;&lt;Author&gt;Sood&lt;/Author&gt;&lt;Year&gt;2016&lt;/Year&gt;&lt;RecNum&gt;12&lt;/RecNum&gt;&lt;DisplayText&gt;(Sood et al., 2016)&lt;/DisplayText&gt;&lt;record&gt;&lt;rec-number&gt;12&lt;/rec-number&gt;&lt;foreign-keys&gt;&lt;key app="EN" db-id="xxs5w29drx0waserr05599fudw0rtv2p2vew" timestamp="1673290543"&gt;12&lt;/key&gt;&lt;/foreign-keys&gt;&lt;ref-type name="Journal Article"&gt;17&lt;/ref-type&gt;&lt;contributors&gt;&lt;authors&gt;&lt;author&gt;Sood, Akshay&lt;/author&gt;&lt;author&gt;Tigges, Beth&lt;/author&gt;&lt;author&gt;Helitzer, Deborah&lt;/author&gt;&lt;/authors&gt;&lt;/contributors&gt;&lt;titles&gt;&lt;title&gt;Mentoring early-career faculty researchers is important—but first “train the trainer”&lt;/title&gt;&lt;secondary-title&gt;Academic medicine: journal of the Association of American Medical Colleges&lt;/secondary-title&gt;&lt;/titles&gt;&lt;periodical&gt;&lt;full-title&gt;Academic medicine: journal of the Association of American Medical Colleges&lt;/full-title&gt;&lt;/periodical&gt;&lt;pages&gt;1598&lt;/pages&gt;&lt;volume&gt;91&lt;/volume&gt;&lt;number&gt;12&lt;/number&gt;&lt;dates&gt;&lt;year&gt;2016&lt;/year&gt;&lt;/dates&gt;&lt;urls&gt;&lt;/urls&gt;&lt;/record&gt;&lt;/Cite&gt;&lt;/EndNote&gt;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(Sood et al., 2016)</w:t>
      </w:r>
      <w:r>
        <w:rPr>
          <w:rFonts w:ascii="Times New Roman" w:hAnsi="Times New Roman" w:cs="Times New Roman"/>
        </w:rPr>
        <w:fldChar w:fldCharType="end"/>
      </w:r>
      <w:r>
        <w:rPr>
          <w:rFonts w:ascii="Times New Roman" w:hAnsi="Times New Roman" w:cs="Times New Roman"/>
        </w:rPr>
        <w:t xml:space="preserve">. </w:t>
      </w:r>
    </w:p>
    <w:p w14:paraId="66259B0E" w14:textId="77777777" w:rsidR="00AA7CD5" w:rsidRDefault="00AA7CD5" w:rsidP="008A6B75">
      <w:pPr>
        <w:spacing w:line="360" w:lineRule="auto"/>
        <w:rPr>
          <w:rFonts w:ascii="Times New Roman" w:hAnsi="Times New Roman" w:cs="Times New Roman"/>
        </w:rPr>
      </w:pPr>
    </w:p>
    <w:p w14:paraId="4BBA552E"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In the realm of agriculture and extension education, the use of TTT programs has seen much less attention in the literature when compared to applications of similar approaches in other disciplines. However, a study was done on high school agriculture education students to </w:t>
      </w:r>
      <w:r>
        <w:rPr>
          <w:rFonts w:ascii="Times New Roman" w:hAnsi="Times New Roman" w:cs="Times New Roman"/>
        </w:rPr>
        <w:lastRenderedPageBreak/>
        <w:t xml:space="preserve">determine if a TTT approach had an effect on knowledge gain and anticipatory action when compared to those who did not receive the training </w:t>
      </w:r>
      <w:r>
        <w:rPr>
          <w:rFonts w:ascii="Times New Roman" w:hAnsi="Times New Roman" w:cs="Times New Roman"/>
        </w:rPr>
        <w:fldChar w:fldCharType="begin"/>
      </w:r>
      <w:r>
        <w:rPr>
          <w:rFonts w:ascii="Times New Roman" w:hAnsi="Times New Roman" w:cs="Times New Roman"/>
        </w:rPr>
        <w:instrText xml:space="preserve"> ADDIN EN.CITE &lt;EndNote&gt;&lt;Cite&gt;&lt;Author&gt;Carruth&lt;/Author&gt;&lt;Year&gt;2010&lt;/Year&gt;&lt;RecNum&gt;3&lt;/RecNum&gt;&lt;DisplayText&gt;(Carruth et al., 2010)&lt;/DisplayText&gt;&lt;record&gt;&lt;rec-number&gt;3&lt;/rec-number&gt;&lt;foreign-keys&gt;&lt;key app="EN" db-id="xxs5w29drx0waserr05599fudw0rtv2p2vew" timestamp="1672852430"&gt;3&lt;/key&gt;&lt;/foreign-keys&gt;&lt;ref-type name="Journal Article"&gt;17&lt;/ref-type&gt;&lt;contributors&gt;&lt;authors&gt;&lt;author&gt;Carruth, Ann K.&lt;/author&gt;&lt;author&gt;Pryor, Susan&lt;/author&gt;&lt;author&gt;Cormier, Cathy&lt;/author&gt;&lt;author&gt;Bateman, Aaron&lt;/author&gt;&lt;author&gt;Matzke, Brenda&lt;/author&gt;&lt;author&gt;Gilmore, Karen&lt;/author&gt;&lt;/authors&gt;&lt;/contributors&gt;&lt;titles&gt;&lt;title&gt;Evaluation of a School-Based Train-the-Trainer Intervention Program to Teach First Aid and Risk Reduction Among High School Students&lt;/title&gt;&lt;secondary-title&gt;Journal of School Health&lt;/secondary-title&gt;&lt;/titles&gt;&lt;periodical&gt;&lt;full-title&gt;Journal of School Health&lt;/full-title&gt;&lt;/periodical&gt;&lt;pages&gt;453-460&lt;/pages&gt;&lt;volume&gt;80&lt;/volume&gt;&lt;number&gt;9&lt;/number&gt;&lt;dates&gt;&lt;year&gt;2010&lt;/year&gt;&lt;/dates&gt;&lt;publisher&gt;Wiley&lt;/publisher&gt;&lt;isbn&gt;0022-4391&lt;/isbn&gt;&lt;urls&gt;&lt;related-urls&gt;&lt;url&gt;https://dx.doi.org/10.1111/j.1746-1561.2010.00527.x&lt;/url&gt;&lt;url&gt;https://onlinelibrary.wiley.com/doi/pdfdirect/10.1111/j.1746-1561.2010.00527.x?download=true&lt;/url&gt;&lt;/related-urls&gt;&lt;/urls&gt;&lt;electronic-resource-num&gt;10.1111/j.1746-1561.2010.00527.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(Carruth et al., 2010)</w:t>
      </w:r>
      <w:r>
        <w:rPr>
          <w:rFonts w:ascii="Times New Roman" w:hAnsi="Times New Roman" w:cs="Times New Roman"/>
        </w:rPr>
        <w:fldChar w:fldCharType="end"/>
      </w:r>
      <w:r>
        <w:rPr>
          <w:rFonts w:ascii="Times New Roman" w:hAnsi="Times New Roman" w:cs="Times New Roman"/>
        </w:rPr>
        <w:t xml:space="preserve">. Results of this study indicate that individuals exposed to the training program reflected an increase in anticipatory action, but did not see an increase in overall knowledge acquisition </w:t>
      </w:r>
      <w:r>
        <w:rPr>
          <w:rFonts w:ascii="Times New Roman" w:hAnsi="Times New Roman" w:cs="Times New Roman"/>
        </w:rPr>
        <w:fldChar w:fldCharType="begin"/>
      </w:r>
      <w:r>
        <w:rPr>
          <w:rFonts w:ascii="Times New Roman" w:hAnsi="Times New Roman" w:cs="Times New Roman"/>
        </w:rPr>
        <w:instrText xml:space="preserve"> ADDIN EN.CITE &lt;EndNote&gt;&lt;Cite&gt;&lt;Author&gt;Carruth&lt;/Author&gt;&lt;Year&gt;2010&lt;/Year&gt;&lt;RecNum&gt;3&lt;/RecNum&gt;&lt;DisplayText&gt;(Carruth et al., 2010)&lt;/DisplayText&gt;&lt;record&gt;&lt;rec-number&gt;3&lt;/rec-number&gt;&lt;foreign-keys&gt;&lt;key app="EN" db-id="xxs5w29drx0waserr05599fudw0rtv2p2vew" timestamp="1672852430"&gt;3&lt;/key&gt;&lt;/foreign-keys&gt;&lt;ref-type name="Journal Article"&gt;17&lt;/ref-type&gt;&lt;contributors&gt;&lt;authors&gt;&lt;author&gt;Carruth, Ann K.&lt;/author&gt;&lt;author&gt;Pryor, Susan&lt;/author&gt;&lt;author&gt;Cormier, Cathy&lt;/author&gt;&lt;author&gt;Bateman, Aaron&lt;/author&gt;&lt;author&gt;Matzke, Brenda&lt;/author&gt;&lt;author&gt;Gilmore, Karen&lt;/author&gt;&lt;/authors&gt;&lt;/contributors&gt;&lt;titles&gt;&lt;title&gt;Evaluation of a School-Based Train-the-Trainer Intervention Program to Teach First Aid and Risk Reduction Among High School Students&lt;/title&gt;&lt;secondary-title&gt;Journal of School Health&lt;/secondary-title&gt;&lt;/titles&gt;&lt;periodical&gt;&lt;full-title&gt;Journal of School Health&lt;/full-title&gt;&lt;/periodical&gt;&lt;pages&gt;453-460&lt;/pages&gt;&lt;volume&gt;80&lt;/volume&gt;&lt;number&gt;9&lt;/number&gt;&lt;dates&gt;&lt;year&gt;2010&lt;/year&gt;&lt;/dates&gt;&lt;publisher&gt;Wiley&lt;/publisher&gt;&lt;isbn&gt;0022-4391&lt;/isbn&gt;&lt;urls&gt;&lt;related-urls&gt;&lt;url&gt;https://dx.doi.org/10.1111/j.1746-1561.2010.00527.x&lt;/url&gt;&lt;url&gt;https://onlinelibrary.wiley.com/doi/pdfdirect/10.1111/j.1746-1561.2010.00527.x?download=true&lt;/url&gt;&lt;/related-urls&gt;&lt;/urls&gt;&lt;electronic-resource-num&gt;10.1111/j.1746-1561.2010.00527.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(Carruth et al., 2010)</w:t>
      </w:r>
      <w:r>
        <w:rPr>
          <w:rFonts w:ascii="Times New Roman" w:hAnsi="Times New Roman" w:cs="Times New Roman"/>
        </w:rPr>
        <w:fldChar w:fldCharType="end"/>
      </w:r>
      <w:r>
        <w:rPr>
          <w:rFonts w:ascii="Times New Roman" w:hAnsi="Times New Roman" w:cs="Times New Roman"/>
        </w:rPr>
        <w:t xml:space="preserve">. Additionally, students indicated that they enjoy learning from their peers and those individuals that participated in the TTT program indicated that they felt more confident in their ability to teach their peers </w:t>
      </w:r>
      <w:r>
        <w:rPr>
          <w:rFonts w:ascii="Times New Roman" w:hAnsi="Times New Roman" w:cs="Times New Roman"/>
        </w:rPr>
        <w:fldChar w:fldCharType="begin"/>
      </w:r>
      <w:r>
        <w:rPr>
          <w:rFonts w:ascii="Times New Roman" w:hAnsi="Times New Roman" w:cs="Times New Roman"/>
        </w:rPr>
        <w:instrText xml:space="preserve"> ADDIN EN.CITE &lt;EndNote&gt;&lt;Cite&gt;&lt;Author&gt;Carruth&lt;/Author&gt;&lt;Year&gt;2010&lt;/Year&gt;&lt;RecNum&gt;3&lt;/RecNum&gt;&lt;DisplayText&gt;(Carruth et al., 2010)&lt;/DisplayText&gt;&lt;record&gt;&lt;rec-number&gt;3&lt;/rec-number&gt;&lt;foreign-keys&gt;&lt;key app="EN" db-id="xxs5w29drx0waserr05599fudw0rtv2p2vew" timestamp="1672852430"&gt;3&lt;/key&gt;&lt;/foreign-keys&gt;&lt;ref-type name="Journal Article"&gt;17&lt;/ref-type&gt;&lt;contributors&gt;&lt;authors&gt;&lt;author&gt;Carruth, Ann K.&lt;/author&gt;&lt;author&gt;Pryor, Susan&lt;/author&gt;&lt;author&gt;Cormier, Cathy&lt;/author&gt;&lt;author&gt;Bateman, Aaron&lt;/author&gt;&lt;author&gt;Matzke, Brenda&lt;/author&gt;&lt;author&gt;Gilmore, Karen&lt;/author&gt;&lt;/authors&gt;&lt;/contributors&gt;&lt;titles&gt;&lt;title&gt;Evaluation of a School-Based Train-the-Trainer Intervention Program to Teach First Aid and Risk Reduction Among High School Students&lt;/title&gt;&lt;secondary-title&gt;Journal of School Health&lt;/secondary-title&gt;&lt;/titles&gt;&lt;periodical&gt;&lt;full-title&gt;Journal of School Health&lt;/full-title&gt;&lt;/periodical&gt;&lt;pages&gt;453-460&lt;/pages&gt;&lt;volume&gt;80&lt;/volume&gt;&lt;number&gt;9&lt;/number&gt;&lt;dates&gt;&lt;year&gt;2010&lt;/year&gt;&lt;/dates&gt;&lt;publisher&gt;Wiley&lt;/publisher&gt;&lt;isbn&gt;0022-4391&lt;/isbn&gt;&lt;urls&gt;&lt;related-urls&gt;&lt;url&gt;https://dx.doi.org/10.1111/j.1746-1561.2010.00527.x&lt;/url&gt;&lt;url&gt;https://onlinelibrary.wiley.com/doi/pdfdirect/10.1111/j.1746-1561.2010.00527.x?download=true&lt;/url&gt;&lt;/related-urls&gt;&lt;/urls&gt;&lt;electronic-resource-num&gt;10.1111/j.1746-1561.2010.00527.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(Carruth et al., 2010)</w:t>
      </w:r>
      <w:r>
        <w:rPr>
          <w:rFonts w:ascii="Times New Roman" w:hAnsi="Times New Roman" w:cs="Times New Roman"/>
        </w:rPr>
        <w:fldChar w:fldCharType="end"/>
      </w:r>
      <w:r>
        <w:rPr>
          <w:rFonts w:ascii="Times New Roman" w:hAnsi="Times New Roman" w:cs="Times New Roman"/>
        </w:rPr>
        <w:t>.</w:t>
      </w:r>
    </w:p>
    <w:p w14:paraId="4662B188" w14:textId="77777777" w:rsidR="00AA7CD5" w:rsidRDefault="00AA7CD5" w:rsidP="008A6B75">
      <w:pPr>
        <w:spacing w:line="360" w:lineRule="auto"/>
        <w:rPr>
          <w:rFonts w:ascii="Times New Roman" w:hAnsi="Times New Roman" w:cs="Times New Roman"/>
        </w:rPr>
      </w:pPr>
    </w:p>
    <w:p w14:paraId="534196DB" w14:textId="77777777" w:rsidR="00AA7CD5" w:rsidRPr="00396ACF" w:rsidRDefault="00AA7CD5" w:rsidP="008A6B75">
      <w:pPr>
        <w:pStyle w:val="Heading2"/>
        <w:spacing w:line="360" w:lineRule="auto"/>
        <w:rPr>
          <w:rFonts w:ascii="Times New Roman" w:hAnsi="Times New Roman" w:cs="Times New Roman"/>
          <w:sz w:val="24"/>
          <w:szCs w:val="24"/>
        </w:rPr>
      </w:pPr>
      <w:bookmarkStart w:id="60" w:name="_Toc151023704"/>
      <w:r>
        <w:rPr>
          <w:rFonts w:ascii="Times New Roman" w:hAnsi="Times New Roman" w:cs="Times New Roman"/>
          <w:sz w:val="24"/>
          <w:szCs w:val="24"/>
        </w:rPr>
        <w:t>Implications and Future Directions</w:t>
      </w:r>
      <w:bookmarkEnd w:id="60"/>
    </w:p>
    <w:p w14:paraId="16453158"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Keeping these things in mind, it has been identified that there is a prominent lack of research in the areas of using youth educational contests as a tool for knowledge evaluation and the use of a train-the-trainer program within Extension and 4-H programs. Specifically, equine Extension programs lack efficient, metric-driven assessments of knowledge geared toward youth or adult audiences. Additionally, applied training programs have proven useful for county extension agents or other agriculture educators and has the potential to have the same effect in terms of equipping them to effectively deliver equine focused knowledge and skills to youth </w:t>
      </w:r>
      <w:r>
        <w:rPr>
          <w:rFonts w:ascii="Times New Roman" w:hAnsi="Times New Roman" w:cs="Times New Roman"/>
        </w:rPr>
        <w:fldChar w:fldCharType="begin"/>
      </w:r>
      <w:r>
        <w:rPr>
          <w:rFonts w:ascii="Times New Roman" w:hAnsi="Times New Roman" w:cs="Times New Roman"/>
        </w:rPr>
        <w:instrText xml:space="preserve"> ADDIN EN.CITE &lt;EndNote&gt;&lt;Cite&gt;&lt;Author&gt;Richards&lt;/Author&gt;&lt;Year&gt;2012&lt;/Year&gt;&lt;RecNum&gt;16&lt;/RecNum&gt;&lt;DisplayText&gt;(Richards et al., 2012)&lt;/DisplayText&gt;&lt;record&gt;&lt;rec-number&gt;16&lt;/rec-number&gt;&lt;foreign-keys&gt;&lt;key app="EN" db-id="xxs5w29drx0waserr05599fudw0rtv2p2vew" timestamp="1673290920"&gt;16&lt;/key&gt;&lt;/foreign-keys&gt;&lt;ref-type name="Journal Article"&gt;17&lt;/ref-type&gt;&lt;contributors&gt;&lt;authors&gt;&lt;author&gt;Richards, Jennifer&lt;/author&gt;&lt;author&gt;Pratt, Carrie&lt;/author&gt;&lt;author&gt;Skolits, Gary J&lt;/author&gt;&lt;author&gt;Burney, Janie&lt;/author&gt;&lt;/authors&gt;&lt;/contributors&gt;&lt;titles&gt;&lt;title&gt;Developing and evaluating the impact of an extension-based train-the-trainer model for effectively disseminating food safety education to middle school students&lt;/title&gt;&lt;secondary-title&gt;Journal of Extension&lt;/secondary-title&gt;&lt;/titles&gt;&lt;periodical&gt;&lt;full-title&gt;Journal of Extension&lt;/full-title&gt;&lt;/periodical&gt;&lt;pages&gt;4FEA6&lt;/pages&gt;&lt;volume&gt;50&lt;/volume&gt;&lt;number&gt;4&lt;/number&gt;&lt;dates&gt;&lt;year&gt;2012&lt;/year&gt;&lt;/dates&gt;&lt;urls&gt;&lt;/urls&gt;&lt;/record&gt;&lt;/Cite&gt;&lt;/EndNote&gt;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(Richards et al., 2012)</w:t>
      </w:r>
      <w:r>
        <w:rPr>
          <w:rFonts w:ascii="Times New Roman" w:hAnsi="Times New Roman" w:cs="Times New Roman"/>
        </w:rPr>
        <w:fldChar w:fldCharType="end"/>
      </w:r>
      <w:r>
        <w:rPr>
          <w:rFonts w:ascii="Times New Roman" w:hAnsi="Times New Roman" w:cs="Times New Roman"/>
        </w:rPr>
        <w:t>. Therefore, one goal of this study was to evaluate the knowledge base of youth using the Tennessee 4-H Regional Hippology contest and the Eastern National 4-H Hippology contest as a metric based assessment. Additionally, this project sought to create and evaluate an applied train-the-trainer program and associated curriculum for Tennessee Extension agents centered around the youth knowledge gaps identified by the aforementioned contests.</w:t>
      </w:r>
    </w:p>
    <w:p w14:paraId="6BF4345E" w14:textId="1C9CE5D2" w:rsidR="00AA7CD5" w:rsidRPr="00DF7C87" w:rsidRDefault="00AA7CD5" w:rsidP="008A6B75">
      <w:pPr>
        <w:spacing w:line="360" w:lineRule="auto"/>
        <w:rPr>
          <w:rFonts w:ascii="Times New Roman" w:hAnsi="Times New Roman" w:cs="Times New Roman"/>
        </w:rPr>
      </w:pPr>
      <w:r>
        <w:rPr>
          <w:rFonts w:ascii="Times New Roman" w:hAnsi="Times New Roman" w:cs="Times New Roman"/>
        </w:rPr>
        <w:br w:type="page"/>
      </w:r>
    </w:p>
    <w:p w14:paraId="1289F02A" w14:textId="5E9F1DC3" w:rsidR="00AA7CD5" w:rsidRPr="00061496" w:rsidRDefault="00AA7CD5" w:rsidP="00061496">
      <w:pPr>
        <w:pStyle w:val="Heading1"/>
        <w:rPr>
          <w:rFonts w:ascii="Times New Roman" w:hAnsi="Times New Roman" w:cs="Times New Roman"/>
        </w:rPr>
      </w:pPr>
      <w:bookmarkStart w:id="61" w:name="_Toc289175825"/>
      <w:bookmarkStart w:id="62" w:name="_Toc151023705"/>
      <w:r w:rsidRPr="00061496">
        <w:rPr>
          <w:rFonts w:ascii="Times New Roman" w:hAnsi="Times New Roman" w:cs="Times New Roman"/>
        </w:rPr>
        <w:lastRenderedPageBreak/>
        <w:t>CHAPTER IV</w:t>
      </w:r>
      <w:r w:rsidRPr="00061496">
        <w:rPr>
          <w:rFonts w:ascii="Times New Roman" w:hAnsi="Times New Roman" w:cs="Times New Roman"/>
        </w:rPr>
        <w:br/>
      </w:r>
      <w:bookmarkEnd w:id="61"/>
      <w:r w:rsidRPr="00061496">
        <w:rPr>
          <w:rFonts w:ascii="Times New Roman" w:hAnsi="Times New Roman" w:cs="Times New Roman"/>
        </w:rPr>
        <w:t>Using Youth Hippology Contest Results as a Needs Assessment as a framework for a train the trainer program</w:t>
      </w:r>
      <w:bookmarkEnd w:id="62"/>
    </w:p>
    <w:p w14:paraId="50CF3208" w14:textId="77777777" w:rsidR="00AA7CD5" w:rsidRPr="00DF7C87" w:rsidRDefault="00AA7CD5" w:rsidP="008A6B75">
      <w:pPr>
        <w:spacing w:line="360" w:lineRule="auto"/>
        <w:rPr>
          <w:rFonts w:ascii="Times New Roman" w:hAnsi="Times New Roman" w:cs="Times New Roman"/>
        </w:rPr>
      </w:pPr>
    </w:p>
    <w:p w14:paraId="37BF2E47" w14:textId="1FF0FC85" w:rsidR="00AA7CD5" w:rsidRPr="009611E6" w:rsidRDefault="00AA7CD5" w:rsidP="008A6B75">
      <w:pPr>
        <w:pStyle w:val="Heading3"/>
        <w:spacing w:line="360" w:lineRule="auto"/>
        <w:rPr>
          <w:rFonts w:ascii="Times New Roman" w:hAnsi="Times New Roman" w:cs="Times New Roman"/>
          <w:szCs w:val="24"/>
        </w:rPr>
      </w:pPr>
      <w:r w:rsidRPr="00DF7C87">
        <w:rPr>
          <w:rFonts w:ascii="Times New Roman" w:hAnsi="Times New Roman" w:cs="Times New Roman"/>
          <w:szCs w:val="24"/>
        </w:rPr>
        <w:br w:type="page"/>
      </w:r>
    </w:p>
    <w:p w14:paraId="3C5F3DAC" w14:textId="77777777" w:rsidR="00AA7CD5" w:rsidRPr="00DF7C87" w:rsidRDefault="00AA7CD5" w:rsidP="008A6B75">
      <w:pPr>
        <w:pStyle w:val="Heading2"/>
        <w:spacing w:line="360" w:lineRule="auto"/>
        <w:rPr>
          <w:rFonts w:ascii="Times New Roman" w:hAnsi="Times New Roman" w:cs="Times New Roman"/>
          <w:sz w:val="24"/>
          <w:szCs w:val="24"/>
        </w:rPr>
      </w:pPr>
      <w:bookmarkStart w:id="63" w:name="_Toc289175826"/>
      <w:r>
        <w:rPr>
          <w:rFonts w:ascii="Times New Roman" w:hAnsi="Times New Roman" w:cs="Times New Roman"/>
          <w:sz w:val="24"/>
          <w:szCs w:val="24"/>
        </w:rPr>
        <w:lastRenderedPageBreak/>
        <w:t xml:space="preserve">    </w:t>
      </w:r>
      <w:bookmarkStart w:id="64" w:name="_Toc151023706"/>
      <w:r w:rsidRPr="00DF7C87">
        <w:rPr>
          <w:rFonts w:ascii="Times New Roman" w:hAnsi="Times New Roman" w:cs="Times New Roman"/>
          <w:sz w:val="24"/>
          <w:szCs w:val="24"/>
        </w:rPr>
        <w:t>Abstract</w:t>
      </w:r>
      <w:bookmarkEnd w:id="63"/>
      <w:bookmarkEnd w:id="64"/>
      <w:r w:rsidRPr="00DF7C87">
        <w:rPr>
          <w:rFonts w:ascii="Times New Roman" w:hAnsi="Times New Roman" w:cs="Times New Roman"/>
          <w:sz w:val="24"/>
          <w:szCs w:val="24"/>
        </w:rPr>
        <w:tab/>
      </w:r>
    </w:p>
    <w:p w14:paraId="2CCDCE32" w14:textId="77777777" w:rsidR="00AA7CD5" w:rsidRPr="00DF7C87" w:rsidRDefault="00AA7CD5" w:rsidP="008A6B75">
      <w:pPr>
        <w:spacing w:line="360" w:lineRule="auto"/>
        <w:rPr>
          <w:rFonts w:ascii="Times New Roman" w:hAnsi="Times New Roman" w:cs="Times New Roman"/>
        </w:rPr>
      </w:pPr>
      <w:r w:rsidRPr="00DF7C87">
        <w:rPr>
          <w:rFonts w:ascii="Times New Roman" w:hAnsi="Times New Roman" w:cs="Times New Roman"/>
        </w:rPr>
        <w:tab/>
      </w:r>
    </w:p>
    <w:p w14:paraId="6E6C1E6A" w14:textId="75147CE0" w:rsidR="00AA7CD5" w:rsidRDefault="00AA7CD5" w:rsidP="008A6B75">
      <w:pPr>
        <w:spacing w:line="360" w:lineRule="auto"/>
        <w:rPr>
          <w:rFonts w:ascii="Times New Roman" w:hAnsi="Times New Roman" w:cs="Times New Roman"/>
          <w:color w:val="000000"/>
        </w:rPr>
      </w:pPr>
      <w:r w:rsidRPr="00577B67">
        <w:rPr>
          <w:rFonts w:ascii="Times New Roman" w:hAnsi="Times New Roman" w:cs="Times New Roman"/>
        </w:rPr>
        <w:t xml:space="preserve">Extension agents and youth educators differ in areas of expertise, leaving some counties with minimal ability to provide 4-H horse project members with sufficient content knowledge while agents in other counties are more well versed in equine-specific areas.  The objective of this project was to conduct a needs assessment using the Tennessee regional and Eastern National 4-H Hippology contests and implement a training program and curriculum to improve upon identified areas of deficiency. Youth (n=224) competed in the 2021 regional 4-H Hippology contest across the Eastern (n=59), Central (n=93), and Western (n=72) regions. Youth competed within their age divisions, where junior (grades 4 and 5, k=60), junior high (grades 6 to 8, k=100), and senior (grades 9 to 12, k=100) divisions competed in written exam and slide identification phases. Scores from all regional contests were collected and assessed to create a baseline for current equine content knowledge of 4-H members.  Based on previously established equine project area learning outcomes in place since 2018, questions were placed into categories (colors, behavior, reproduction, ownership, selection (S), breeds (B), facilities, hoof care, tack (T), health (H), nutrition (Nu), waste management, exercise, and genetics) and areas of deficiency were identified within each age division based on percentage of questions answered incorrectly. Statistical analysis was performed using the frequency procedure in SAS v9.4 (Cary, NC). Nutrition (Nu) questions were the highest percentage missed by both senior and junior high youth (k=7.8, 51.94%; k=7.5, 44.22%, respectively) whereas junior youth missed T questions most frequently (k=4.9, 54.14%). Of the 5 topic areas of deficiency, S questions were the lowest percentage missed by both senior and junior high youth (k=5.9, 36.81%; k=7.1, 39.53%, respectively) whereas junior youth missed H questions least frequently (k=4, 39.87%). Breed related questions were consistently missed by youth across all age divisions as reflected by juniors missing 43.7% (k=3.1), junior high youth missing 41.54% (k=2.9), and seniors missing 40.28% (k=1.2). Upon implementation, it was found that training status had no significant on scores from year to year. However, </w:t>
      </w:r>
      <w:r w:rsidRPr="00577B67">
        <w:rPr>
          <w:rFonts w:ascii="Times New Roman" w:hAnsi="Times New Roman" w:cs="Times New Roman"/>
          <w:color w:val="000000"/>
        </w:rPr>
        <w:t>when data were analyzed, significant effects were found when comparing across question category (p&lt;0.0001), age group (p&lt;0.0001), and year (p&lt;0.0001).</w:t>
      </w:r>
      <w:bookmarkStart w:id="65" w:name="_Toc139831949"/>
      <w:r>
        <w:rPr>
          <w:rFonts w:ascii="Times New Roman" w:hAnsi="Times New Roman" w:cs="Times New Roman"/>
          <w:color w:val="000000"/>
        </w:rPr>
        <w:t xml:space="preserve"> </w:t>
      </w:r>
    </w:p>
    <w:p w14:paraId="44D7C8EF" w14:textId="77777777" w:rsidR="00AA7CD5" w:rsidRDefault="00AA7CD5" w:rsidP="008A6B75">
      <w:pPr>
        <w:spacing w:line="360" w:lineRule="auto"/>
        <w:rPr>
          <w:rFonts w:ascii="Times New Roman" w:hAnsi="Times New Roman" w:cs="Times New Roman"/>
        </w:rPr>
      </w:pPr>
    </w:p>
    <w:p w14:paraId="25445F8E" w14:textId="77777777" w:rsidR="00AA7CD5" w:rsidRPr="009611E6" w:rsidRDefault="00AA7CD5" w:rsidP="008A6B75">
      <w:pPr>
        <w:pStyle w:val="Heading2"/>
        <w:spacing w:line="360" w:lineRule="auto"/>
        <w:rPr>
          <w:rFonts w:ascii="Times New Roman" w:hAnsi="Times New Roman" w:cs="Times New Roman"/>
          <w:sz w:val="24"/>
          <w:szCs w:val="24"/>
        </w:rPr>
      </w:pPr>
      <w:bookmarkStart w:id="66" w:name="_Toc151023707"/>
      <w:r w:rsidRPr="009611E6">
        <w:rPr>
          <w:rFonts w:ascii="Times New Roman" w:hAnsi="Times New Roman" w:cs="Times New Roman"/>
          <w:sz w:val="24"/>
          <w:szCs w:val="24"/>
        </w:rPr>
        <w:lastRenderedPageBreak/>
        <w:t>Introduction</w:t>
      </w:r>
      <w:bookmarkEnd w:id="65"/>
      <w:bookmarkEnd w:id="66"/>
    </w:p>
    <w:p w14:paraId="4B127F2F"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University of Tennessee Extension service implements successful youth and adult educational programming to teach and train across a variety of agricultural subject areas. As these programs continue to grow in size and scope, the need arises to train educators on successful delivery and utilization of these programs </w:t>
      </w:r>
      <w:r>
        <w:rPr>
          <w:rFonts w:ascii="Times New Roman" w:hAnsi="Times New Roman" w:cs="Times New Roman"/>
        </w:rPr>
        <w:fldChar w:fldCharType="begin"/>
      </w:r>
      <w:r>
        <w:rPr>
          <w:rFonts w:ascii="Times New Roman" w:hAnsi="Times New Roman" w:cs="Times New Roman"/>
        </w:rPr>
        <w:instrText xml:space="preserve"> ADDIN EN.CITE &lt;EndNote&gt;&lt;Cite&gt;&lt;Author&gt;Richards&lt;/Author&gt;&lt;Year&gt;2012&lt;/Year&gt;&lt;RecNum&gt;16&lt;/RecNum&gt;&lt;DisplayText&gt;(Richards et al., 2012)&lt;/DisplayText&gt;&lt;record&gt;&lt;rec-number&gt;16&lt;/rec-number&gt;&lt;foreign-keys&gt;&lt;key app="EN" db-id="xxs5w29drx0waserr05599fudw0rtv2p2vew" timestamp="1673290920"&gt;16&lt;/key&gt;&lt;/foreign-keys&gt;&lt;ref-type name="Journal Article"&gt;17&lt;/ref-type&gt;&lt;contributors&gt;&lt;authors&gt;&lt;author&gt;Richards, Jennifer&lt;/author&gt;&lt;author&gt;Pratt, Carrie&lt;/author&gt;&lt;author&gt;Skolits, Gary J&lt;/author&gt;&lt;author&gt;Burney, Janie&lt;/author&gt;&lt;/authors&gt;&lt;/contributors&gt;&lt;titles&gt;&lt;title&gt;Developing and evaluating the impact of an extension-based train-the-trainer model for effectively disseminating food safety education to middle school students&lt;/title&gt;&lt;secondary-title&gt;Journal of Extension&lt;/secondary-title&gt;&lt;/titles&gt;&lt;periodical&gt;&lt;full-title&gt;Journal of Extension&lt;/full-title&gt;&lt;/periodical&gt;&lt;pages&gt;4FEA6&lt;/pages&gt;&lt;volume&gt;50&lt;/volume&gt;&lt;number&gt;4&lt;/number&gt;&lt;dates&gt;&lt;year&gt;2012&lt;/year&gt;&lt;/dates&gt;&lt;urls&gt;&lt;/urls&gt;&lt;/record&gt;&lt;/Cite&gt;&lt;/EndNote&gt;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(Richards et al., 2012)</w:t>
      </w:r>
      <w:r>
        <w:rPr>
          <w:rFonts w:ascii="Times New Roman" w:hAnsi="Times New Roman" w:cs="Times New Roman"/>
        </w:rPr>
        <w:fldChar w:fldCharType="end"/>
      </w:r>
      <w:r>
        <w:rPr>
          <w:rFonts w:ascii="Times New Roman" w:hAnsi="Times New Roman" w:cs="Times New Roman"/>
        </w:rPr>
        <w:t xml:space="preserve">. </w:t>
      </w:r>
      <w:r w:rsidRPr="0000114B">
        <w:rPr>
          <w:rFonts w:ascii="Times New Roman" w:hAnsi="Times New Roman" w:cs="Times New Roman"/>
        </w:rPr>
        <w:t xml:space="preserve">Currently, there is a statewide need for additional species-focused curriculum in Tennessee 4-H programs. </w:t>
      </w:r>
    </w:p>
    <w:p w14:paraId="1FA61B8C" w14:textId="77777777" w:rsidR="00AA7CD5" w:rsidRDefault="00AA7CD5" w:rsidP="008A6B75">
      <w:pPr>
        <w:spacing w:line="360" w:lineRule="auto"/>
        <w:rPr>
          <w:rFonts w:ascii="Times New Roman" w:hAnsi="Times New Roman" w:cs="Times New Roman"/>
        </w:rPr>
      </w:pPr>
    </w:p>
    <w:p w14:paraId="427B8BCC" w14:textId="77777777" w:rsidR="00AA7CD5" w:rsidRDefault="00AA7CD5" w:rsidP="008A6B75">
      <w:pPr>
        <w:spacing w:line="360" w:lineRule="auto"/>
        <w:rPr>
          <w:rFonts w:ascii="Times New Roman" w:hAnsi="Times New Roman" w:cs="Times New Roman"/>
        </w:rPr>
      </w:pPr>
      <w:r w:rsidRPr="0000114B">
        <w:rPr>
          <w:rFonts w:ascii="Times New Roman" w:hAnsi="Times New Roman" w:cs="Times New Roman"/>
        </w:rPr>
        <w:t>Extension agents across Tennessee differ in areas of expertise, leaving some counties with minimal ability to provide 4-H members with sufficient content knowledge on equine nutrition, health, and management, while agents in other counties are more well versed in these topic areas. Further, the impact of this knowledge gap on youth enrolled in 4-H programs and the ability to learn, retain, and apply equine management concepts is unknown</w:t>
      </w:r>
      <w:r>
        <w:rPr>
          <w:rFonts w:ascii="Times New Roman" w:hAnsi="Times New Roman" w:cs="Times New Roman"/>
        </w:rPr>
        <w:t xml:space="preserve">. Specifically, within the 4-H Horse Project both in Tennessee and across the United States, project members are able to compete in the 4-H Horse Hippology Contest. This contest is designed to test the knowledge and application skills of horse project members. Typically, participants compete in teams of 4, grouped by age division (Junior, Junior High, and Senior) across several different phases of the contest. The overall goal and scope of these contests are the same. However, the structure and phase compositions differ slightly based on the level of the contest (regional, state, and national). For example, Tennessee regional contests consists of written exam, slides, and judging phases whereas the Tennessee State contest and Eastern National contest are comprised of written exam, slides, judging, and stations phases. </w:t>
      </w:r>
    </w:p>
    <w:p w14:paraId="18AEE4F5" w14:textId="77777777" w:rsidR="00AA7CD5" w:rsidRDefault="00AA7CD5" w:rsidP="008A6B75">
      <w:pPr>
        <w:spacing w:line="360" w:lineRule="auto"/>
        <w:rPr>
          <w:rFonts w:ascii="Times New Roman" w:hAnsi="Times New Roman" w:cs="Times New Roman"/>
        </w:rPr>
      </w:pPr>
    </w:p>
    <w:p w14:paraId="0892484D"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Commonly, tests and exams are used to measure student success </w:t>
      </w:r>
      <w:r>
        <w:rPr>
          <w:rFonts w:ascii="Times New Roman" w:hAnsi="Times New Roman" w:cs="Times New Roman"/>
        </w:rPr>
        <w:fldChar w:fldCharType="begin"/>
      </w:r>
      <w:r>
        <w:rPr>
          <w:rFonts w:ascii="Times New Roman" w:hAnsi="Times New Roman" w:cs="Times New Roman"/>
        </w:rPr>
        <w:instrText xml:space="preserve"> ADDIN EN.CITE &lt;EndNote&gt;&lt;Cite&gt;&lt;Author&gt;Scheerens&lt;/Author&gt;&lt;Year&gt;2011&lt;/Year&gt;&lt;RecNum&gt;42&lt;/RecNum&gt;&lt;DisplayText&gt;(Scheerens et al., 2011)&lt;/DisplayText&gt;&lt;record&gt;&lt;rec-number&gt;42&lt;/rec-number&gt;&lt;foreign-keys&gt;&lt;key app="EN" db-id="xxs5w29drx0waserr05599fudw0rtv2p2vew" timestamp="1677512566"&gt;42&lt;/key&gt;&lt;/foreign-keys&gt;&lt;ref-type name="Book Section"&gt;5&lt;/ref-type&gt;&lt;contributors&gt;&lt;authors&gt;&lt;author&gt;Scheerens, Jaap&lt;/author&gt;&lt;author&gt;Luyten, Hans&lt;/author&gt;&lt;author&gt;Van Ravens, Jan&lt;/author&gt;&lt;/authors&gt;&lt;/contributors&gt;&lt;titles&gt;&lt;title&gt;Measuring Educational Quality by Means of Indicators&lt;/title&gt;&lt;alt-title&gt;Perspectives on Educational Quality&lt;/alt-title&gt;&lt;/titles&gt;&lt;pages&gt;35-50&lt;/pages&gt;&lt;dates&gt;&lt;year&gt;2011&lt;/year&gt;&lt;/dates&gt;&lt;publisher&gt;Springer Netherlands&lt;/publisher&gt;&lt;isbn&gt;2211-1921&lt;/isbn&gt;&lt;urls&gt;&lt;related-urls&gt;&lt;url&gt;https://dx.doi.org/10.1007/978-94-007-0926-3_2&lt;/url&gt;&lt;/related-urls&gt;&lt;/urls&gt;&lt;electronic-resource-num&gt;10.1007/978-94-007-0926-3_2&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(Scheerens et al., 2011)</w:t>
      </w:r>
      <w:r>
        <w:rPr>
          <w:rFonts w:ascii="Times New Roman" w:hAnsi="Times New Roman" w:cs="Times New Roman"/>
        </w:rPr>
        <w:fldChar w:fldCharType="end"/>
      </w:r>
      <w:r>
        <w:rPr>
          <w:rFonts w:ascii="Times New Roman" w:hAnsi="Times New Roman" w:cs="Times New Roman"/>
        </w:rPr>
        <w:t xml:space="preserve">. Additionally, poor academic performance can be directly related to teaching methods implemented by instructors </w:t>
      </w:r>
      <w:r>
        <w:rPr>
          <w:rFonts w:ascii="Times New Roman" w:hAnsi="Times New Roman" w:cs="Times New Roman"/>
        </w:rPr>
        <w:fldChar w:fldCharType="begin"/>
      </w:r>
      <w:r>
        <w:rPr>
          <w:rFonts w:ascii="Times New Roman" w:hAnsi="Times New Roman" w:cs="Times New Roman"/>
        </w:rPr>
        <w:instrText xml:space="preserve"> ADDIN EN.CITE &lt;EndNote&gt;&lt;Cite&gt;&lt;Author&gt;Adunola&lt;/Author&gt;&lt;Year&gt;2011&lt;/Year&gt;&lt;RecNum&gt;38&lt;/RecNum&gt;&lt;DisplayText&gt;(Adunola, 2011)&lt;/DisplayText&gt;&lt;record&gt;&lt;rec-number&gt;38&lt;/rec-number&gt;&lt;foreign-keys&gt;&lt;key app="EN" db-id="xxs5w29drx0waserr05599fudw0rtv2p2vew" timestamp="1676993985"&gt;38&lt;/key&gt;&lt;/foreign-keys&gt;&lt;ref-type name="Generic"&gt;13&lt;/ref-type&gt;&lt;contributors&gt;&lt;authors&gt;&lt;author&gt;Adunola, OMOTERE&lt;/author&gt;&lt;/authors&gt;&lt;/contributors&gt;&lt;titles&gt;&lt;title&gt;The impact of teachers’ teaching methods on the academic performance of Primary School Pupils in Ijebu-Ode Local Cut Area of Ogun State&lt;/title&gt;&lt;/titles&gt;&lt;dates&gt;&lt;year&gt;2011&lt;/year&gt;&lt;/dates&gt;&lt;publisher&gt;Ego Booster Books, Ogun State, Nigeria&lt;/publisher&gt;&lt;urls&gt;&lt;/urls&gt;&lt;/record&gt;&lt;/Cite&gt;&lt;/EndNote&gt;</w:instrText>
      </w:r>
      <w:r>
        <w:rPr>
          <w:rFonts w:ascii="Times New Roman" w:hAnsi="Times New Roman" w:cs="Times New Roman"/>
        </w:rPr>
        <w:fldChar w:fldCharType="separate"/>
      </w:r>
      <w:r>
        <w:rPr>
          <w:rFonts w:ascii="Times New Roman" w:hAnsi="Times New Roman" w:cs="Times New Roman"/>
          <w:noProof/>
        </w:rPr>
        <w:t>(Adunola, 2011)</w:t>
      </w:r>
      <w:r>
        <w:rPr>
          <w:rFonts w:ascii="Times New Roman" w:hAnsi="Times New Roman" w:cs="Times New Roman"/>
        </w:rPr>
        <w:fldChar w:fldCharType="end"/>
      </w:r>
      <w:r>
        <w:rPr>
          <w:rFonts w:ascii="Times New Roman" w:hAnsi="Times New Roman" w:cs="Times New Roman"/>
        </w:rPr>
        <w:t>. However, there has been limited research on using youth educational contests as a means of measuring performance metrics. Therefore, this</w:t>
      </w:r>
      <w:r w:rsidRPr="0000114B">
        <w:rPr>
          <w:rFonts w:ascii="Times New Roman" w:hAnsi="Times New Roman" w:cs="Times New Roman"/>
        </w:rPr>
        <w:t xml:space="preserve"> program </w:t>
      </w:r>
      <w:r>
        <w:rPr>
          <w:rFonts w:ascii="Times New Roman" w:hAnsi="Times New Roman" w:cs="Times New Roman"/>
        </w:rPr>
        <w:t>utilized the aforementioned hippology contests as a tool for evaluation of student knowledge and took</w:t>
      </w:r>
      <w:r w:rsidRPr="0000114B">
        <w:rPr>
          <w:rFonts w:ascii="Times New Roman" w:hAnsi="Times New Roman" w:cs="Times New Roman"/>
        </w:rPr>
        <w:t xml:space="preserve"> a “Train the Trainer” approach to improving equine content knowledge of 4-H members across the state of Tennessee through knowledge empowerment of ANR and 4-H agents.</w:t>
      </w:r>
      <w:r>
        <w:rPr>
          <w:rFonts w:ascii="Times New Roman" w:hAnsi="Times New Roman" w:cs="Times New Roman"/>
        </w:rPr>
        <w:t xml:space="preserve"> </w:t>
      </w:r>
      <w:r w:rsidRPr="0000114B">
        <w:rPr>
          <w:rFonts w:ascii="Times New Roman" w:hAnsi="Times New Roman" w:cs="Times New Roman"/>
        </w:rPr>
        <w:t xml:space="preserve"> </w:t>
      </w:r>
    </w:p>
    <w:p w14:paraId="7B959A1F" w14:textId="77777777" w:rsidR="00AA7CD5" w:rsidRDefault="00AA7CD5" w:rsidP="008A6B75">
      <w:pPr>
        <w:spacing w:line="360" w:lineRule="auto"/>
        <w:rPr>
          <w:rFonts w:ascii="Times New Roman" w:hAnsi="Times New Roman" w:cs="Times New Roman"/>
        </w:rPr>
      </w:pPr>
      <w:r w:rsidRPr="0000114B">
        <w:rPr>
          <w:rFonts w:ascii="Times New Roman" w:hAnsi="Times New Roman" w:cs="Times New Roman"/>
        </w:rPr>
        <w:lastRenderedPageBreak/>
        <w:t xml:space="preserve">Extension currently utilizes a train the trainer approach through the annual Joint Animal Science in-service training and monthly hot topics webinars. However, formalized curriculum and assessments regarding end-user knowledge gain, implementation, and application is not as common, and lacking within many livestock project areas. </w:t>
      </w:r>
      <w:r>
        <w:rPr>
          <w:rFonts w:ascii="Times New Roman" w:hAnsi="Times New Roman" w:cs="Times New Roman"/>
        </w:rPr>
        <w:t xml:space="preserve">Additionally, the literature has shown that the implementation of Train-the-Trainer programs has yielded positive student knowledge gain </w: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bj48dXJscz48L3VybHM+PC9yZWNvcmQ+PC9DaXRlPjxDaXRlPjxBdXRob3I+T3JmYWx5PC9BdXRo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bj48dXJscz48L3VybHM+PC9yZWNvcmQ+PC9DaXRlPjxDaXRlPjxBdXRob3I+T3JmYWx5PC9BdXRo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(Bess et al., 2003; Carruth et al., 2010; Orfaly et al., 2005; Pancucci, 2007; Sood et al., 2016)</w:t>
      </w:r>
      <w:r>
        <w:rPr>
          <w:rFonts w:ascii="Times New Roman" w:hAnsi="Times New Roman" w:cs="Times New Roman"/>
        </w:rPr>
        <w:fldChar w:fldCharType="end"/>
      </w:r>
      <w:r>
        <w:rPr>
          <w:rFonts w:ascii="Times New Roman" w:hAnsi="Times New Roman" w:cs="Times New Roman"/>
        </w:rPr>
        <w:t xml:space="preserve">. This project collected and analyzed scores from regional (Eastern, Central, Western) Tennessee 4-H Horse Hippology contests, determined topic areas in which youth were lacking knowledge, developed a training program and associated curriculum for county extension agents, and re-evaluated scores from the same contest in the year following the implementation of the aforementioned training and curriculum. It has been shown that student preferences differ among learners in regard to online and in-person platforms, but both formats can provide successful learning outcomes (Sajjad, 2010; Neuhauser, 2002). </w:t>
      </w:r>
    </w:p>
    <w:p w14:paraId="35469691" w14:textId="77777777" w:rsidR="00AA7CD5" w:rsidRDefault="00AA7CD5" w:rsidP="008A6B75">
      <w:pPr>
        <w:spacing w:line="360" w:lineRule="auto"/>
        <w:rPr>
          <w:rFonts w:ascii="Times New Roman" w:hAnsi="Times New Roman" w:cs="Times New Roman"/>
        </w:rPr>
      </w:pPr>
    </w:p>
    <w:p w14:paraId="700B0387"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objective of this study was to </w:t>
      </w:r>
      <w:r w:rsidRPr="0000114B">
        <w:rPr>
          <w:rFonts w:ascii="Times New Roman" w:hAnsi="Times New Roman" w:cs="Times New Roman"/>
        </w:rPr>
        <w:t>assess how different educational module deliveries can impact end-user knowledge and application</w:t>
      </w:r>
      <w:r w:rsidRPr="0000114B" w:rsidDel="00C50ACB">
        <w:rPr>
          <w:rFonts w:ascii="Times New Roman" w:hAnsi="Times New Roman" w:cs="Times New Roman"/>
        </w:rPr>
        <w:t xml:space="preserve"> </w:t>
      </w:r>
      <w:r w:rsidRPr="0000114B">
        <w:rPr>
          <w:rFonts w:ascii="Times New Roman" w:hAnsi="Times New Roman" w:cs="Times New Roman"/>
        </w:rPr>
        <w:t>by creating a training program and associated curriculum for Extension Agents</w:t>
      </w:r>
      <w:r>
        <w:rPr>
          <w:rFonts w:ascii="Times New Roman" w:hAnsi="Times New Roman" w:cs="Times New Roman"/>
        </w:rPr>
        <w:t xml:space="preserve"> using a train-the-trainer approach. We hypothesized that youth hippology contest scores would improve after the implementation of the new training program and curriculum. </w:t>
      </w:r>
    </w:p>
    <w:p w14:paraId="71933D7D" w14:textId="77777777" w:rsidR="00AA7CD5" w:rsidRDefault="00AA7CD5" w:rsidP="008A6B75">
      <w:pPr>
        <w:spacing w:line="360" w:lineRule="auto"/>
        <w:rPr>
          <w:rFonts w:ascii="Times New Roman" w:hAnsi="Times New Roman" w:cs="Times New Roman"/>
        </w:rPr>
      </w:pPr>
    </w:p>
    <w:p w14:paraId="38AAD088" w14:textId="77777777" w:rsidR="00AA7CD5" w:rsidRPr="009611E6" w:rsidRDefault="00AA7CD5" w:rsidP="008A6B75">
      <w:pPr>
        <w:pStyle w:val="Heading2"/>
        <w:spacing w:line="360" w:lineRule="auto"/>
        <w:rPr>
          <w:rFonts w:ascii="Times New Roman" w:hAnsi="Times New Roman" w:cs="Times New Roman"/>
          <w:sz w:val="24"/>
          <w:szCs w:val="24"/>
        </w:rPr>
      </w:pPr>
      <w:bookmarkStart w:id="67" w:name="_Toc151023708"/>
      <w:r w:rsidRPr="009611E6">
        <w:rPr>
          <w:rFonts w:ascii="Times New Roman" w:hAnsi="Times New Roman" w:cs="Times New Roman"/>
          <w:sz w:val="24"/>
          <w:szCs w:val="24"/>
        </w:rPr>
        <w:t>Materials and Methods</w:t>
      </w:r>
      <w:bookmarkEnd w:id="67"/>
    </w:p>
    <w:p w14:paraId="0C0ECF72" w14:textId="77777777" w:rsidR="00AA7CD5" w:rsidRPr="009611E6" w:rsidRDefault="00AA7CD5" w:rsidP="008A6B75">
      <w:pPr>
        <w:pStyle w:val="Heading3"/>
        <w:spacing w:line="360" w:lineRule="auto"/>
        <w:rPr>
          <w:rFonts w:ascii="Times New Roman" w:hAnsi="Times New Roman" w:cs="Times New Roman"/>
        </w:rPr>
      </w:pPr>
      <w:bookmarkStart w:id="68" w:name="_Toc151023709"/>
      <w:r w:rsidRPr="009611E6">
        <w:rPr>
          <w:rFonts w:ascii="Times New Roman" w:hAnsi="Times New Roman" w:cs="Times New Roman"/>
        </w:rPr>
        <w:t xml:space="preserve">Regional </w:t>
      </w:r>
      <w:r>
        <w:rPr>
          <w:rFonts w:ascii="Times New Roman" w:hAnsi="Times New Roman" w:cs="Times New Roman"/>
        </w:rPr>
        <w:t xml:space="preserve">Hippology </w:t>
      </w:r>
      <w:r w:rsidRPr="009611E6">
        <w:rPr>
          <w:rFonts w:ascii="Times New Roman" w:hAnsi="Times New Roman" w:cs="Times New Roman"/>
        </w:rPr>
        <w:t>Contests</w:t>
      </w:r>
      <w:bookmarkEnd w:id="68"/>
    </w:p>
    <w:p w14:paraId="2F38FA51"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To assess youth knowledge related to equine science and the equine industry within Tennessee, scores were collected from each of the Tennessee Regional 4-H Horse Hippology contests. The Tennessee Regional 4-H Horse Hippology contest is hosted annually in each of the 3 regions in Tennessee (Eastern, Central, and Western) and consists of 3 phases (University of Tennessee Extension, 2023). The first phase is a written exam made up of multiple choice, true/false, and matching type questions. Participants in the junior age division are administered at 35-question written exam whereas competitors in the junior-high and senior age divisions receive a 50-</w:t>
      </w:r>
      <w:r>
        <w:rPr>
          <w:rFonts w:ascii="Times New Roman" w:hAnsi="Times New Roman" w:cs="Times New Roman"/>
        </w:rPr>
        <w:lastRenderedPageBreak/>
        <w:t xml:space="preserve">question exam. The second phase is a slides phase which requires participants to answer questions based on visual ques shown on a screen. During the slides phase, junior level participants answer 25 questions and those in the junior-high and senior divisions answer 50 questions. All questions for the written exam and slides phases are created by Tennessee Extension staff using approved resources. In 2021, the Tennessee Regional Hippology contest was administered in a full online format whereas the 2023 regional contest and the 2022 Eastern National contest were delivered in-person. Lastly, all participants compete in a judging phase where they must observe and place 1 halter class and 1 performance class. Specific content and topic areas represented in this contest is selected using the Tennessee 4-H Project Area Outcomes developed in 2018. Prior to data analysis, exam phase questions and slides phases questions were categorized into topic areas from the aforementioned project area outcomes. Regional contest data from 2021 were analyzed using frequency and means procedures in SAS 9.4 (Cary, NC) to determine a baseline and areas of knowledge deficiency. Analysis determined frequency of incorrect answers for individual questions along with average percentage of incorrect answers for each topic category. Additionally, areas of knowledge deficiency were identified based on this analysis and topic areas were omitted if not similar across all age divisions (Reproduction, Genetics, and Exercise Physiology). The topic areas represented included </w:t>
      </w:r>
      <w:r w:rsidRPr="00962918">
        <w:rPr>
          <w:rFonts w:ascii="Times New Roman" w:hAnsi="Times New Roman" w:cs="Times New Roman"/>
        </w:rPr>
        <w:t>colors, behavior, reproduction, ownership, selection (S), breeds (B), facilities, hoof care, tack (T), health (H), nutrition (Nu), waste management, exercise, and genetics</w:t>
      </w:r>
      <w:r>
        <w:rPr>
          <w:rFonts w:ascii="Times New Roman" w:hAnsi="Times New Roman" w:cs="Times New Roman"/>
        </w:rPr>
        <w:t>.</w:t>
      </w:r>
    </w:p>
    <w:p w14:paraId="37E7CE37" w14:textId="77777777" w:rsidR="00AA7CD5" w:rsidRDefault="00AA7CD5" w:rsidP="008A6B75">
      <w:pPr>
        <w:spacing w:line="360" w:lineRule="auto"/>
        <w:rPr>
          <w:rFonts w:ascii="Times New Roman" w:hAnsi="Times New Roman" w:cs="Times New Roman"/>
        </w:rPr>
      </w:pPr>
    </w:p>
    <w:p w14:paraId="52DEF72F" w14:textId="77777777" w:rsidR="00AA7CD5" w:rsidRDefault="00AA7CD5" w:rsidP="008A6B75">
      <w:pPr>
        <w:spacing w:line="360" w:lineRule="auto"/>
        <w:rPr>
          <w:rFonts w:ascii="Times New Roman" w:hAnsi="Times New Roman" w:cs="Times New Roman"/>
        </w:rPr>
      </w:pPr>
      <w:r w:rsidRPr="00962918">
        <w:rPr>
          <w:rFonts w:ascii="Times New Roman" w:hAnsi="Times New Roman" w:cs="Times New Roman"/>
        </w:rPr>
        <w:t xml:space="preserve">Youth (n=224) competed in the 2021 regional 4-H Hippology contest across the Eastern (n=59), Central (n=93), and Western (n=72) regions. Youth competed within their age divisions, where junior (grades 4 and 5, k=60), junior high (grades 6 to 8, k=100), and senior (grades 9 to 12, k=100) divisions competed in written exam and slide identification phases. </w:t>
      </w:r>
      <w:r>
        <w:rPr>
          <w:rFonts w:ascii="Times New Roman" w:hAnsi="Times New Roman" w:cs="Times New Roman"/>
        </w:rPr>
        <w:t xml:space="preserve"> Scores for each individual contestant were collected and placed into a spreadsheet according to their age division. Columns were labeled with question numbers and the topic area category in which the question was placed. For example, if question #1 pertained to hoof care, it was labeled “Hoof1.” Each row represented a different contestant, and they were given a “1” under each question they answered correctly and a “0” under each question they answered incorrectly. The same process was used to collect scores from the slides phase. Written exam questions and slide questions </w:t>
      </w:r>
      <w:r>
        <w:rPr>
          <w:rFonts w:ascii="Times New Roman" w:hAnsi="Times New Roman" w:cs="Times New Roman"/>
        </w:rPr>
        <w:lastRenderedPageBreak/>
        <w:t xml:space="preserve">were considered of equal value and were labeled with the same categories to determine overall performance in each knowledge area. </w:t>
      </w:r>
    </w:p>
    <w:p w14:paraId="4EBDB2CB" w14:textId="77777777" w:rsidR="00AA7CD5" w:rsidRDefault="00AA7CD5" w:rsidP="008A6B75">
      <w:pPr>
        <w:spacing w:line="360" w:lineRule="auto"/>
        <w:rPr>
          <w:rFonts w:ascii="Times New Roman" w:hAnsi="Times New Roman" w:cs="Times New Roman"/>
        </w:rPr>
      </w:pPr>
    </w:p>
    <w:p w14:paraId="5E810517"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In January of 2023, data was collected from the 2023 Tennessee Regional Hippology contests where total participants </w:t>
      </w:r>
      <w:r w:rsidRPr="00962918">
        <w:rPr>
          <w:rFonts w:ascii="Times New Roman" w:hAnsi="Times New Roman" w:cs="Times New Roman"/>
        </w:rPr>
        <w:t>(n=</w:t>
      </w:r>
      <w:r>
        <w:rPr>
          <w:rFonts w:ascii="Times New Roman" w:hAnsi="Times New Roman" w:cs="Times New Roman"/>
        </w:rPr>
        <w:t>368</w:t>
      </w:r>
      <w:r w:rsidRPr="00962918">
        <w:rPr>
          <w:rFonts w:ascii="Times New Roman" w:hAnsi="Times New Roman" w:cs="Times New Roman"/>
        </w:rPr>
        <w:t xml:space="preserve">) </w:t>
      </w:r>
      <w:r>
        <w:rPr>
          <w:rFonts w:ascii="Times New Roman" w:hAnsi="Times New Roman" w:cs="Times New Roman"/>
        </w:rPr>
        <w:t>was determined along with overall participant numbers from the</w:t>
      </w:r>
      <w:r w:rsidRPr="00962918">
        <w:rPr>
          <w:rFonts w:ascii="Times New Roman" w:hAnsi="Times New Roman" w:cs="Times New Roman"/>
        </w:rPr>
        <w:t xml:space="preserve"> Eastern (n=</w:t>
      </w:r>
      <w:r>
        <w:rPr>
          <w:rFonts w:ascii="Times New Roman" w:hAnsi="Times New Roman" w:cs="Times New Roman"/>
        </w:rPr>
        <w:t>113</w:t>
      </w:r>
      <w:r w:rsidRPr="00962918">
        <w:rPr>
          <w:rFonts w:ascii="Times New Roman" w:hAnsi="Times New Roman" w:cs="Times New Roman"/>
        </w:rPr>
        <w:t>), Central (n=</w:t>
      </w:r>
      <w:r>
        <w:rPr>
          <w:rFonts w:ascii="Times New Roman" w:hAnsi="Times New Roman" w:cs="Times New Roman"/>
        </w:rPr>
        <w:t>153</w:t>
      </w:r>
      <w:r w:rsidRPr="00962918">
        <w:rPr>
          <w:rFonts w:ascii="Times New Roman" w:hAnsi="Times New Roman" w:cs="Times New Roman"/>
        </w:rPr>
        <w:t>), and Western (n=</w:t>
      </w:r>
      <w:r>
        <w:rPr>
          <w:rFonts w:ascii="Times New Roman" w:hAnsi="Times New Roman" w:cs="Times New Roman"/>
        </w:rPr>
        <w:t>102</w:t>
      </w:r>
      <w:r w:rsidRPr="00962918">
        <w:rPr>
          <w:rFonts w:ascii="Times New Roman" w:hAnsi="Times New Roman" w:cs="Times New Roman"/>
        </w:rPr>
        <w:t xml:space="preserve">) regions. </w:t>
      </w:r>
      <w:r>
        <w:rPr>
          <w:rFonts w:ascii="Times New Roman" w:hAnsi="Times New Roman" w:cs="Times New Roman"/>
        </w:rPr>
        <w:t>Similar to the 2021 regional contests, y</w:t>
      </w:r>
      <w:r w:rsidRPr="00962918">
        <w:rPr>
          <w:rFonts w:ascii="Times New Roman" w:hAnsi="Times New Roman" w:cs="Times New Roman"/>
        </w:rPr>
        <w:t>outh competed within their age divisions, where junior (grades 4 and 5, k=</w:t>
      </w:r>
      <w:r>
        <w:rPr>
          <w:rFonts w:ascii="Times New Roman" w:hAnsi="Times New Roman" w:cs="Times New Roman"/>
        </w:rPr>
        <w:t>131</w:t>
      </w:r>
      <w:r w:rsidRPr="00962918">
        <w:rPr>
          <w:rFonts w:ascii="Times New Roman" w:hAnsi="Times New Roman" w:cs="Times New Roman"/>
        </w:rPr>
        <w:t>), junior high (grades 6 to 8, k=1</w:t>
      </w:r>
      <w:r>
        <w:rPr>
          <w:rFonts w:ascii="Times New Roman" w:hAnsi="Times New Roman" w:cs="Times New Roman"/>
        </w:rPr>
        <w:t>55</w:t>
      </w:r>
      <w:r w:rsidRPr="00962918">
        <w:rPr>
          <w:rFonts w:ascii="Times New Roman" w:hAnsi="Times New Roman" w:cs="Times New Roman"/>
        </w:rPr>
        <w:t>), and senior (grades 9 to 12, k=</w:t>
      </w:r>
      <w:r>
        <w:rPr>
          <w:rFonts w:ascii="Times New Roman" w:hAnsi="Times New Roman" w:cs="Times New Roman"/>
        </w:rPr>
        <w:t>82</w:t>
      </w:r>
      <w:r w:rsidRPr="00962918">
        <w:rPr>
          <w:rFonts w:ascii="Times New Roman" w:hAnsi="Times New Roman" w:cs="Times New Roman"/>
        </w:rPr>
        <w:t xml:space="preserve">) </w:t>
      </w:r>
      <w:r>
        <w:rPr>
          <w:rFonts w:ascii="Times New Roman" w:hAnsi="Times New Roman" w:cs="Times New Roman"/>
        </w:rPr>
        <w:t>participant numbers were collected. The scores from the 2023 contest were then compared with those from the 2021 contest to determine differences across age division, topic area, and county agent training status.</w:t>
      </w:r>
    </w:p>
    <w:p w14:paraId="16AD1A0D" w14:textId="77777777" w:rsidR="00AA7CD5" w:rsidRDefault="00AA7CD5" w:rsidP="008A6B75">
      <w:pPr>
        <w:spacing w:line="360" w:lineRule="auto"/>
        <w:rPr>
          <w:rFonts w:ascii="Times New Roman" w:hAnsi="Times New Roman" w:cs="Times New Roman"/>
          <w:i/>
          <w:iCs/>
        </w:rPr>
      </w:pPr>
    </w:p>
    <w:p w14:paraId="09CD1E45" w14:textId="77777777" w:rsidR="00AA7CD5" w:rsidRPr="009611E6" w:rsidRDefault="00AA7CD5" w:rsidP="008A6B75">
      <w:pPr>
        <w:pStyle w:val="Heading3"/>
        <w:spacing w:line="360" w:lineRule="auto"/>
        <w:rPr>
          <w:rFonts w:ascii="Times New Roman" w:hAnsi="Times New Roman" w:cs="Times New Roman"/>
        </w:rPr>
      </w:pPr>
      <w:bookmarkStart w:id="69" w:name="_Toc151023710"/>
      <w:r w:rsidRPr="009611E6">
        <w:rPr>
          <w:rFonts w:ascii="Times New Roman" w:hAnsi="Times New Roman" w:cs="Times New Roman"/>
        </w:rPr>
        <w:t>National Contest</w:t>
      </w:r>
      <w:bookmarkEnd w:id="69"/>
    </w:p>
    <w:p w14:paraId="1D0F03BA"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The Eastern National Hippology contest is administered in a similar fashion to the regional level contests. However, this contest is only open to competitors in the senior age division who have won at their state level contest and is intended to have increased difficulty. Equine and youth extension specialists from participating states work in conjunction to develop contest material. In the 2022 Eastern National contest, 15 different states were represented. The national level contest still offers the same 3 written phases as the Tennessee Regional contests and administers a written exam phase and slides phase, but the question total is increased to 150 questions on the written exam in multiple choice format only. The question count for the slides phase remains at 50 questions similar to the regional contests. In addition, participants at the national contest much compete in a stations phase where their knowledge is tested in a more applied technique. Participants rotate through stations and answers questions before the allotted time expires. The stations phase consists of 15 stations with 10 questions at each station resulting in 150 questions answered in this phase. Similar to the Tennessee regional contests, all questions for the Eastern National Hippology contest are generated using the approved resources.</w:t>
      </w:r>
    </w:p>
    <w:p w14:paraId="640EB50F" w14:textId="77777777" w:rsidR="00AA7CD5" w:rsidRDefault="00AA7CD5" w:rsidP="008A6B75">
      <w:pPr>
        <w:spacing w:line="360" w:lineRule="auto"/>
        <w:rPr>
          <w:rFonts w:ascii="Times New Roman" w:hAnsi="Times New Roman" w:cs="Times New Roman"/>
        </w:rPr>
      </w:pPr>
    </w:p>
    <w:p w14:paraId="2344ED06" w14:textId="2E0786CE" w:rsidR="00AA7CD5" w:rsidRDefault="00AA7CD5" w:rsidP="008A6B75">
      <w:pPr>
        <w:spacing w:line="360" w:lineRule="auto"/>
        <w:rPr>
          <w:rFonts w:ascii="Times New Roman" w:hAnsi="Times New Roman" w:cs="Times New Roman"/>
        </w:rPr>
      </w:pPr>
      <w:r>
        <w:rPr>
          <w:rFonts w:ascii="Times New Roman" w:hAnsi="Times New Roman" w:cs="Times New Roman"/>
        </w:rPr>
        <w:t xml:space="preserve">Written exam, slides, and stations phases from the Eastern National contest were categorized according to the Tennessee 4-H Project Area Outcomes similar to the categorization process </w:t>
      </w:r>
      <w:r>
        <w:rPr>
          <w:rFonts w:ascii="Times New Roman" w:hAnsi="Times New Roman" w:cs="Times New Roman"/>
        </w:rPr>
        <w:lastRenderedPageBreak/>
        <w:t xml:space="preserve">implemented for regional contest scores. Additionally, participant answers to each question were give a “1” or “0” for correct or incorrect answers respectively. Total participants in this contest (n=53) along with contest scores were collected in effort to compare areas of deficiency within Tennessee youth to those across the country. </w:t>
      </w:r>
    </w:p>
    <w:p w14:paraId="2645BA3A" w14:textId="77777777" w:rsidR="00AA7CD5" w:rsidRDefault="00AA7CD5" w:rsidP="008A6B75">
      <w:pPr>
        <w:spacing w:line="360" w:lineRule="auto"/>
        <w:rPr>
          <w:rFonts w:ascii="Times New Roman" w:hAnsi="Times New Roman" w:cs="Times New Roman"/>
        </w:rPr>
      </w:pPr>
    </w:p>
    <w:p w14:paraId="5C05FBA4" w14:textId="77777777" w:rsidR="00AA7CD5" w:rsidRPr="00A866C2" w:rsidRDefault="00AA7CD5" w:rsidP="008A6B75">
      <w:pPr>
        <w:pStyle w:val="Heading3"/>
        <w:spacing w:line="360" w:lineRule="auto"/>
        <w:rPr>
          <w:rFonts w:ascii="Times New Roman" w:hAnsi="Times New Roman" w:cs="Times New Roman"/>
        </w:rPr>
      </w:pPr>
      <w:bookmarkStart w:id="70" w:name="_Toc139831951"/>
      <w:bookmarkStart w:id="71" w:name="_Toc151023711"/>
      <w:r w:rsidRPr="00A866C2">
        <w:rPr>
          <w:rFonts w:ascii="Times New Roman" w:hAnsi="Times New Roman" w:cs="Times New Roman"/>
        </w:rPr>
        <w:t>Training Content Selection and Format</w:t>
      </w:r>
      <w:bookmarkEnd w:id="70"/>
      <w:bookmarkEnd w:id="71"/>
    </w:p>
    <w:p w14:paraId="6C93A1BC" w14:textId="77777777" w:rsidR="00AA7CD5" w:rsidRPr="007419C9" w:rsidRDefault="00AA7CD5" w:rsidP="008A6B75">
      <w:pPr>
        <w:spacing w:line="360" w:lineRule="auto"/>
        <w:rPr>
          <w:rFonts w:ascii="Times New Roman" w:hAnsi="Times New Roman" w:cs="Times New Roman"/>
        </w:rPr>
      </w:pPr>
      <w:r>
        <w:rPr>
          <w:rFonts w:ascii="Times New Roman" w:hAnsi="Times New Roman" w:cs="Times New Roman"/>
        </w:rPr>
        <w:t>Once scores were collected and questions labeled with topic area categories, average percentage of correct and incorrect answers for each individual question were calculated in SAS v9.4 using the frequency procedure Upon making this calculation for all questions in the written exam and slides phases for the regional contest and the written exam, slides, and stations phases for the national contest, averages were calculated for questions of the same category. Once this step was completed, the topic areas with the highest percentage of incorrect answers were determined to be areas of knowledge deficiency and became the focus areas for this project. When choosing areas of knowledge deficiency, categories were omitted if they were not present across all age divisions or if they made up less than 5% of the overall composition of the questions (i.e. Genetics was omitted because it is only represented in the senior division and waste was omitted because there were minimal questions asked pertaining to this topic). Overall categories with lacking knowledge included Selection (S), Breeds (B), Tack (T), Health (H), and Nutrition (Nu).</w:t>
      </w:r>
    </w:p>
    <w:p w14:paraId="76B09D5C" w14:textId="77777777" w:rsidR="00AA7CD5" w:rsidRPr="007419C9" w:rsidRDefault="00AA7CD5" w:rsidP="008A6B75">
      <w:pPr>
        <w:spacing w:line="360" w:lineRule="auto"/>
        <w:rPr>
          <w:rFonts w:ascii="Times New Roman" w:hAnsi="Times New Roman" w:cs="Times New Roman"/>
          <w:b/>
          <w:bCs/>
        </w:rPr>
      </w:pPr>
    </w:p>
    <w:p w14:paraId="7091BA32" w14:textId="6563B29D" w:rsidR="00AA7CD5" w:rsidRDefault="00AA7CD5" w:rsidP="008A6B75">
      <w:pPr>
        <w:spacing w:line="360" w:lineRule="auto"/>
        <w:rPr>
          <w:rFonts w:ascii="Times New Roman" w:hAnsi="Times New Roman" w:cs="Times New Roman"/>
        </w:rPr>
      </w:pPr>
      <w:r>
        <w:rPr>
          <w:rFonts w:ascii="Times New Roman" w:hAnsi="Times New Roman" w:cs="Times New Roman"/>
        </w:rPr>
        <w:t xml:space="preserve">Upon determination of areas of knowledge deficiency, a training program and associated curriculum was created for county Extension Agents to use when coaching their hippology teams for the 2023 contest. Subject matter experts were selected for each topic and were asked to create educational material associated with that topic to be given to all Extension Agents across Tennessee. Additionally, those subject matter experts developed an in-person training for agents that was implemented at the 2022 Joint Animal Science In-Service training. Agents in attendance not only received the same curriculum pieces but were also taught methods and strategies for implementing the curriculum to hippology teams in their home counties. </w:t>
      </w:r>
    </w:p>
    <w:p w14:paraId="388B1417" w14:textId="6563B29D" w:rsidR="00AA7CD5" w:rsidRDefault="00AA7CD5" w:rsidP="008A6B75">
      <w:pPr>
        <w:pStyle w:val="Heading3"/>
        <w:spacing w:line="360" w:lineRule="auto"/>
        <w:rPr>
          <w:rFonts w:ascii="Times New Roman" w:hAnsi="Times New Roman" w:cs="Times New Roman"/>
        </w:rPr>
      </w:pPr>
      <w:bookmarkStart w:id="72" w:name="_Toc139831952"/>
      <w:bookmarkStart w:id="73" w:name="_Toc151023712"/>
      <w:r w:rsidRPr="00A866C2">
        <w:rPr>
          <w:rFonts w:ascii="Times New Roman" w:hAnsi="Times New Roman" w:cs="Times New Roman"/>
        </w:rPr>
        <w:lastRenderedPageBreak/>
        <w:t>Participant Selection and Determination of Training Status</w:t>
      </w:r>
      <w:bookmarkEnd w:id="72"/>
      <w:bookmarkEnd w:id="73"/>
    </w:p>
    <w:p w14:paraId="4A8E8062"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Annually, the University of Tennessee Department of Animal Science hosts an in-service training for county ANR and 4-H agents where they receive content and training regarding animal science topics across several species including horse, beef, dairy, small ruminant, and poultry. Agents from all 95 Tennessee counties are able to but not required to attend. In 2022, 51 ANR and 4-H agents of varying backgrounds and specialty areas were in attendance. Agents attending this training in 2022 were subjected to the train-the-trainer program we developed for this project and received the associated curriculum whereas agents not in attendance only received the curriculum component. The training module administered to agents in attendance delivered content on the specific knowledge gap subjects that were determined from the contest score analysis conducted on the 2021 regional horse hippology contest.</w:t>
      </w:r>
    </w:p>
    <w:p w14:paraId="57E01B1F" w14:textId="77777777" w:rsidR="00AA7CD5" w:rsidRDefault="00AA7CD5" w:rsidP="008A6B75">
      <w:pPr>
        <w:spacing w:line="360" w:lineRule="auto"/>
        <w:rPr>
          <w:rFonts w:ascii="Times New Roman" w:hAnsi="Times New Roman" w:cs="Times New Roman"/>
        </w:rPr>
      </w:pPr>
    </w:p>
    <w:p w14:paraId="4B7D6734" w14:textId="77777777" w:rsidR="00AA7CD5" w:rsidRDefault="00AA7CD5" w:rsidP="008A6B75">
      <w:pPr>
        <w:pStyle w:val="Heading3"/>
        <w:spacing w:line="360" w:lineRule="auto"/>
        <w:rPr>
          <w:rFonts w:ascii="Times New Roman" w:hAnsi="Times New Roman" w:cs="Times New Roman"/>
        </w:rPr>
      </w:pPr>
      <w:bookmarkStart w:id="74" w:name="_Toc139831953"/>
      <w:bookmarkStart w:id="75" w:name="_Toc151023713"/>
      <w:r>
        <w:rPr>
          <w:rFonts w:ascii="Times New Roman" w:hAnsi="Times New Roman" w:cs="Times New Roman"/>
        </w:rPr>
        <w:t>Final Data Set</w:t>
      </w:r>
      <w:r w:rsidRPr="005D503B">
        <w:rPr>
          <w:rFonts w:ascii="Times New Roman" w:hAnsi="Times New Roman" w:cs="Times New Roman"/>
        </w:rPr>
        <w:t xml:space="preserve"> Analysis</w:t>
      </w:r>
      <w:bookmarkEnd w:id="74"/>
      <w:bookmarkEnd w:id="75"/>
    </w:p>
    <w:p w14:paraId="24ED01CC" w14:textId="77777777" w:rsidR="00AA7CD5" w:rsidRPr="00C77D05" w:rsidRDefault="00AA7CD5" w:rsidP="008A6B75">
      <w:pPr>
        <w:spacing w:line="360" w:lineRule="auto"/>
        <w:rPr>
          <w:rFonts w:ascii="Times New Roman" w:hAnsi="Times New Roman" w:cs="Times New Roman"/>
        </w:rPr>
      </w:pPr>
      <w:r w:rsidRPr="00C77D05">
        <w:rPr>
          <w:rFonts w:ascii="Times New Roman" w:hAnsi="Times New Roman" w:cs="Times New Roman"/>
          <w:color w:val="000000"/>
        </w:rPr>
        <w:t xml:space="preserve">The effects of age </w:t>
      </w:r>
      <w:r>
        <w:rPr>
          <w:rFonts w:ascii="Times New Roman" w:hAnsi="Times New Roman" w:cs="Times New Roman"/>
          <w:color w:val="000000"/>
        </w:rPr>
        <w:t>division</w:t>
      </w:r>
      <w:r w:rsidRPr="00C77D05">
        <w:rPr>
          <w:rFonts w:ascii="Times New Roman" w:hAnsi="Times New Roman" w:cs="Times New Roman"/>
          <w:color w:val="000000"/>
        </w:rPr>
        <w:t xml:space="preserve">, </w:t>
      </w:r>
      <w:r>
        <w:rPr>
          <w:rFonts w:ascii="Times New Roman" w:hAnsi="Times New Roman" w:cs="Times New Roman"/>
          <w:color w:val="000000"/>
        </w:rPr>
        <w:t>contest level (state or national)</w:t>
      </w:r>
      <w:r w:rsidRPr="00C77D05">
        <w:rPr>
          <w:rFonts w:ascii="Times New Roman" w:hAnsi="Times New Roman" w:cs="Times New Roman"/>
          <w:color w:val="000000"/>
        </w:rPr>
        <w:t xml:space="preserve">, </w:t>
      </w:r>
      <w:r>
        <w:rPr>
          <w:rFonts w:ascii="Times New Roman" w:hAnsi="Times New Roman" w:cs="Times New Roman"/>
          <w:color w:val="000000"/>
        </w:rPr>
        <w:t xml:space="preserve">question </w:t>
      </w:r>
      <w:r w:rsidRPr="00C77D05">
        <w:rPr>
          <w:rFonts w:ascii="Times New Roman" w:hAnsi="Times New Roman" w:cs="Times New Roman"/>
          <w:color w:val="000000"/>
        </w:rPr>
        <w:t>category</w:t>
      </w:r>
      <w:r>
        <w:rPr>
          <w:rFonts w:ascii="Times New Roman" w:hAnsi="Times New Roman" w:cs="Times New Roman"/>
          <w:color w:val="000000"/>
        </w:rPr>
        <w:t>,</w:t>
      </w:r>
      <w:r w:rsidRPr="00C77D05">
        <w:rPr>
          <w:rFonts w:ascii="Times New Roman" w:hAnsi="Times New Roman" w:cs="Times New Roman"/>
          <w:color w:val="000000"/>
        </w:rPr>
        <w:t xml:space="preserve"> and their interactions on student performance of answering test questions correctly were analyzed using mixed model logistic regression analysis with test results as the binary outcome variable.</w:t>
      </w:r>
      <w:r w:rsidRPr="00C77D05">
        <w:rPr>
          <w:rStyle w:val="contentpasted1"/>
          <w:rFonts w:ascii="Times New Roman" w:hAnsi="Times New Roman" w:cs="Times New Roman"/>
          <w:color w:val="000000"/>
        </w:rPr>
        <w:t xml:space="preserve"> Student </w:t>
      </w:r>
      <w:r>
        <w:rPr>
          <w:rStyle w:val="contentpasted1"/>
          <w:rFonts w:ascii="Times New Roman" w:hAnsi="Times New Roman" w:cs="Times New Roman"/>
          <w:color w:val="000000"/>
        </w:rPr>
        <w:t>identifier</w:t>
      </w:r>
      <w:r w:rsidRPr="00C77D05">
        <w:rPr>
          <w:rStyle w:val="contentpasted1"/>
          <w:rFonts w:ascii="Times New Roman" w:hAnsi="Times New Roman" w:cs="Times New Roman"/>
          <w:color w:val="000000"/>
        </w:rPr>
        <w:t xml:space="preserve"> was modeled as a random block effect. Multiple comparisons were performed with Tukey's adjust.  </w:t>
      </w:r>
      <w:r w:rsidRPr="00C77D05">
        <w:rPr>
          <w:rFonts w:ascii="Times New Roman" w:hAnsi="Times New Roman" w:cs="Times New Roman"/>
          <w:color w:val="000000"/>
        </w:rPr>
        <w:t>Statistical significance was identified at p&lt; 0.05. Analyses were conducted in SAS 9.4 TS1M8 for Windows 64x</w:t>
      </w:r>
      <w:r>
        <w:rPr>
          <w:rFonts w:ascii="Times New Roman" w:hAnsi="Times New Roman" w:cs="Times New Roman"/>
          <w:color w:val="000000"/>
        </w:rPr>
        <w:t xml:space="preserve"> </w:t>
      </w:r>
      <w:r w:rsidRPr="00C77D05">
        <w:rPr>
          <w:rFonts w:ascii="Times New Roman" w:hAnsi="Times New Roman" w:cs="Times New Roman"/>
          <w:color w:val="000000"/>
        </w:rPr>
        <w:t>(SAS institute Inc., Cary, NC).</w:t>
      </w:r>
    </w:p>
    <w:p w14:paraId="1CEF060A" w14:textId="77777777" w:rsidR="00AA7CD5" w:rsidRDefault="00AA7CD5" w:rsidP="008A6B75">
      <w:pPr>
        <w:spacing w:line="360" w:lineRule="auto"/>
        <w:rPr>
          <w:rFonts w:ascii="Times New Roman" w:hAnsi="Times New Roman" w:cs="Times New Roman"/>
        </w:rPr>
      </w:pPr>
    </w:p>
    <w:p w14:paraId="18C75C8A" w14:textId="77777777" w:rsidR="00AA7CD5" w:rsidRPr="009611E6" w:rsidRDefault="00AA7CD5" w:rsidP="008A6B75">
      <w:pPr>
        <w:pStyle w:val="Heading2"/>
        <w:spacing w:line="360" w:lineRule="auto"/>
        <w:rPr>
          <w:rFonts w:ascii="Times New Roman" w:hAnsi="Times New Roman" w:cs="Times New Roman"/>
        </w:rPr>
      </w:pPr>
      <w:bookmarkStart w:id="76" w:name="_Toc139831954"/>
      <w:bookmarkStart w:id="77" w:name="_Toc151023714"/>
      <w:r w:rsidRPr="000C383A">
        <w:rPr>
          <w:rFonts w:ascii="Times New Roman" w:hAnsi="Times New Roman" w:cs="Times New Roman"/>
        </w:rPr>
        <w:t>Results</w:t>
      </w:r>
      <w:bookmarkEnd w:id="76"/>
      <w:bookmarkEnd w:id="77"/>
    </w:p>
    <w:p w14:paraId="3335E8BC" w14:textId="77777777" w:rsidR="00AA7CD5" w:rsidRDefault="00AA7CD5" w:rsidP="008A6B75">
      <w:pPr>
        <w:pStyle w:val="Heading3"/>
        <w:spacing w:line="360" w:lineRule="auto"/>
        <w:rPr>
          <w:rFonts w:ascii="Times New Roman" w:hAnsi="Times New Roman" w:cs="Times New Roman"/>
        </w:rPr>
      </w:pPr>
      <w:bookmarkStart w:id="78" w:name="_Toc139831955"/>
      <w:bookmarkStart w:id="79" w:name="_Toc151023715"/>
      <w:r w:rsidRPr="000C383A">
        <w:rPr>
          <w:rFonts w:ascii="Times New Roman" w:hAnsi="Times New Roman" w:cs="Times New Roman"/>
        </w:rPr>
        <w:t>Summary of Info/Introduction</w:t>
      </w:r>
      <w:bookmarkEnd w:id="78"/>
      <w:bookmarkEnd w:id="79"/>
    </w:p>
    <w:p w14:paraId="362E3C87" w14:textId="6AD1C6B8" w:rsidR="00AA7CD5" w:rsidRDefault="00AA7CD5" w:rsidP="008A6B75">
      <w:pPr>
        <w:spacing w:line="360" w:lineRule="auto"/>
        <w:rPr>
          <w:rFonts w:ascii="Times New Roman" w:hAnsi="Times New Roman" w:cs="Times New Roman"/>
        </w:rPr>
      </w:pPr>
      <w:r>
        <w:rPr>
          <w:rFonts w:ascii="Times New Roman" w:hAnsi="Times New Roman" w:cs="Times New Roman"/>
        </w:rPr>
        <w:t xml:space="preserve">Preliminary data were collected from the 2021 Tennessee 4-H Regional Hippology contests from each of the 3 regions of the state (Eastern, Central, and Western). For the junior age division, participants were exposed to 10 questions in the health category, 9 questions in the tack category, 11 questions in the nutrition category, 7 questions in the breeds category, and 10 questions in the selection category. For the junior high division, contestants answered 21 questions in the health </w:t>
      </w:r>
      <w:r>
        <w:rPr>
          <w:rFonts w:ascii="Times New Roman" w:hAnsi="Times New Roman" w:cs="Times New Roman"/>
        </w:rPr>
        <w:lastRenderedPageBreak/>
        <w:t xml:space="preserve">category, 13 questions in the tack category, 17 questions in the nutrition category, 7 questions in the breeds category, and 18 questions in the selection category. Finally, in the senior division, participants saw 24 questions in the health category, 9 questions in the tack category, 15 questions in the nutrition category, 3 questions in the breeds category, and 16 questions in the selection category. In 2023, the same questions were asked of the age divisions to maintain consistency. Therefore, the quantity of questions answered were the same across each age division (Table </w:t>
      </w:r>
      <w:r w:rsidR="00F87446">
        <w:rPr>
          <w:rFonts w:ascii="Times New Roman" w:hAnsi="Times New Roman" w:cs="Times New Roman"/>
        </w:rPr>
        <w:t>6</w:t>
      </w:r>
      <w:r>
        <w:rPr>
          <w:rFonts w:ascii="Times New Roman" w:hAnsi="Times New Roman" w:cs="Times New Roman"/>
        </w:rPr>
        <w:t>).</w:t>
      </w:r>
    </w:p>
    <w:p w14:paraId="26D4E4C8" w14:textId="77777777" w:rsidR="00AA7CD5" w:rsidRDefault="00AA7CD5" w:rsidP="008A6B75">
      <w:pPr>
        <w:spacing w:line="360" w:lineRule="auto"/>
      </w:pPr>
    </w:p>
    <w:p w14:paraId="5059890C" w14:textId="77777777" w:rsidR="00AA7CD5" w:rsidRPr="000C383A" w:rsidRDefault="00AA7CD5" w:rsidP="008A6B75">
      <w:pPr>
        <w:pStyle w:val="Heading3"/>
        <w:spacing w:line="360" w:lineRule="auto"/>
        <w:rPr>
          <w:rFonts w:ascii="Times New Roman" w:hAnsi="Times New Roman" w:cs="Times New Roman"/>
        </w:rPr>
      </w:pPr>
      <w:bookmarkStart w:id="80" w:name="_Toc139831956"/>
      <w:bookmarkStart w:id="81" w:name="_Toc151023716"/>
      <w:r w:rsidRPr="000C383A">
        <w:rPr>
          <w:rFonts w:ascii="Times New Roman" w:hAnsi="Times New Roman" w:cs="Times New Roman"/>
        </w:rPr>
        <w:t>Effects Age Division, Category, Year, and Training Status</w:t>
      </w:r>
      <w:bookmarkEnd w:id="80"/>
      <w:bookmarkEnd w:id="81"/>
    </w:p>
    <w:p w14:paraId="15EB7AA3" w14:textId="32837151" w:rsidR="00AA7CD5" w:rsidRDefault="00AA7CD5" w:rsidP="008A6B75">
      <w:pPr>
        <w:spacing w:line="360" w:lineRule="auto"/>
        <w:rPr>
          <w:rFonts w:ascii="Times New Roman" w:hAnsi="Times New Roman" w:cs="Times New Roman"/>
          <w:color w:val="000000"/>
        </w:rPr>
      </w:pPr>
      <w:r>
        <w:rPr>
          <w:rFonts w:ascii="Times New Roman" w:hAnsi="Times New Roman" w:cs="Times New Roman"/>
          <w:color w:val="000000"/>
        </w:rPr>
        <w:t xml:space="preserve">Significant effects were found when comparing across question category (p &lt; 0.0001) (Table </w:t>
      </w:r>
      <w:r w:rsidR="00F87446">
        <w:rPr>
          <w:rFonts w:ascii="Times New Roman" w:hAnsi="Times New Roman" w:cs="Times New Roman"/>
          <w:color w:val="000000"/>
        </w:rPr>
        <w:t>7</w:t>
      </w:r>
      <w:r>
        <w:rPr>
          <w:rFonts w:ascii="Times New Roman" w:hAnsi="Times New Roman" w:cs="Times New Roman"/>
          <w:color w:val="000000"/>
        </w:rPr>
        <w:t xml:space="preserve">), age group (p &lt; 0.0001) (Table </w:t>
      </w:r>
      <w:r w:rsidR="00F87446">
        <w:rPr>
          <w:rFonts w:ascii="Times New Roman" w:hAnsi="Times New Roman" w:cs="Times New Roman"/>
          <w:color w:val="000000"/>
        </w:rPr>
        <w:t>8</w:t>
      </w:r>
      <w:r>
        <w:rPr>
          <w:rFonts w:ascii="Times New Roman" w:hAnsi="Times New Roman" w:cs="Times New Roman"/>
          <w:color w:val="000000"/>
        </w:rPr>
        <w:t xml:space="preserve">), and year (p &lt; 0.0001) (Table </w:t>
      </w:r>
      <w:r w:rsidR="00F87446">
        <w:rPr>
          <w:rFonts w:ascii="Times New Roman" w:hAnsi="Times New Roman" w:cs="Times New Roman"/>
          <w:color w:val="000000"/>
        </w:rPr>
        <w:t>9</w:t>
      </w:r>
      <w:r>
        <w:rPr>
          <w:rFonts w:ascii="Times New Roman" w:hAnsi="Times New Roman" w:cs="Times New Roman"/>
          <w:color w:val="000000"/>
        </w:rPr>
        <w:t>). Across all age divisions, t</w:t>
      </w:r>
      <w:r w:rsidRPr="004A6CD5">
        <w:rPr>
          <w:rFonts w:ascii="Times New Roman" w:hAnsi="Times New Roman" w:cs="Times New Roman"/>
          <w:color w:val="000000"/>
        </w:rPr>
        <w:t xml:space="preserve">he chance </w:t>
      </w:r>
      <w:r>
        <w:rPr>
          <w:rFonts w:ascii="Times New Roman" w:hAnsi="Times New Roman" w:cs="Times New Roman"/>
          <w:color w:val="000000"/>
        </w:rPr>
        <w:t>of</w:t>
      </w:r>
      <w:r w:rsidRPr="004A6CD5">
        <w:rPr>
          <w:rFonts w:ascii="Times New Roman" w:hAnsi="Times New Roman" w:cs="Times New Roman"/>
          <w:color w:val="000000"/>
        </w:rPr>
        <w:t xml:space="preserve"> students answering breed</w:t>
      </w:r>
      <w:r>
        <w:rPr>
          <w:rFonts w:ascii="Times New Roman" w:hAnsi="Times New Roman" w:cs="Times New Roman"/>
          <w:color w:val="000000"/>
        </w:rPr>
        <w:t>s</w:t>
      </w:r>
      <w:r w:rsidRPr="004A6CD5">
        <w:rPr>
          <w:rFonts w:ascii="Times New Roman" w:hAnsi="Times New Roman" w:cs="Times New Roman"/>
          <w:color w:val="000000"/>
        </w:rPr>
        <w:t xml:space="preserve"> questions correctly is 1.162 times as likely as students answering health questions correctly</w:t>
      </w:r>
      <w:r>
        <w:rPr>
          <w:rFonts w:ascii="Times New Roman" w:hAnsi="Times New Roman" w:cs="Times New Roman"/>
          <w:color w:val="000000"/>
        </w:rPr>
        <w:t xml:space="preserve"> (p = 0.0002), 1.202 as likely as answering nutrition questions correctly (p &lt; 0.0001), 1.042 times as likely as answering selection questions correctly (p = 0.3258), and 1.213 times as likely as answering tack questions correctly (p &lt; 0.0001). Additionally, the chance of students answering health questions correctly is 1.035 times as likely as answering nutrition questions correctly (p = 0.2539), 1.044 times as likely as answering tack questions correctly (p = 0.1935), and 0.896 times as likely as answering selection questions correctly (p = 0.0002). Nutrition questions were 0.866 times as likely to be answered correctly when to compared to selection questions (p &lt; 0.0001) and 1.009 times as likely to be answered correctly when compared to tack questions (p = 0.8005. Additionally, selection questions were 1.164 times as likely to be answered correctly when compared to tack questions (p &lt; 0.0001). </w:t>
      </w:r>
    </w:p>
    <w:p w14:paraId="05CC7A90" w14:textId="77777777" w:rsidR="00AA7CD5" w:rsidRDefault="00AA7CD5" w:rsidP="008A6B75">
      <w:pPr>
        <w:spacing w:line="360" w:lineRule="auto"/>
        <w:rPr>
          <w:rFonts w:ascii="Times New Roman" w:hAnsi="Times New Roman" w:cs="Times New Roman"/>
          <w:color w:val="000000"/>
        </w:rPr>
      </w:pPr>
    </w:p>
    <w:p w14:paraId="70237E8E" w14:textId="77777777" w:rsidR="008D5CD6" w:rsidRDefault="00AA7CD5" w:rsidP="008A6B75">
      <w:pPr>
        <w:spacing w:line="360" w:lineRule="auto"/>
        <w:rPr>
          <w:rFonts w:ascii="Times New Roman" w:hAnsi="Times New Roman" w:cs="Times New Roman"/>
          <w:color w:val="000000"/>
        </w:rPr>
      </w:pPr>
      <w:r>
        <w:rPr>
          <w:rFonts w:ascii="Times New Roman" w:hAnsi="Times New Roman" w:cs="Times New Roman"/>
          <w:color w:val="000000"/>
        </w:rPr>
        <w:t>When comparing results across age divisions, junior level participants were 0.</w:t>
      </w:r>
      <w:r w:rsidR="009E3BC0">
        <w:rPr>
          <w:rFonts w:ascii="Times New Roman" w:hAnsi="Times New Roman" w:cs="Times New Roman"/>
          <w:color w:val="000000"/>
        </w:rPr>
        <w:t>575</w:t>
      </w:r>
      <w:r>
        <w:rPr>
          <w:rFonts w:ascii="Times New Roman" w:hAnsi="Times New Roman" w:cs="Times New Roman"/>
          <w:color w:val="000000"/>
        </w:rPr>
        <w:t xml:space="preserve"> times as like to answer questions correctly of any category when compared to junior high level participants (p &lt; 0.0001). When comparing junior level participants to senior level participants, those in the junior </w:t>
      </w:r>
    </w:p>
    <w:tbl>
      <w:tblPr>
        <w:tblpPr w:leftFromText="180" w:rightFromText="180" w:vertAnchor="page" w:horzAnchor="margin" w:tblpY="2680"/>
        <w:tblW w:w="5000" w:type="pct"/>
        <w:tblLook w:val="04A0" w:firstRow="1" w:lastRow="0" w:firstColumn="1" w:lastColumn="0" w:noHBand="0" w:noVBand="1"/>
      </w:tblPr>
      <w:tblGrid>
        <w:gridCol w:w="1176"/>
        <w:gridCol w:w="677"/>
        <w:gridCol w:w="679"/>
        <w:gridCol w:w="677"/>
        <w:gridCol w:w="683"/>
        <w:gridCol w:w="576"/>
        <w:gridCol w:w="724"/>
        <w:gridCol w:w="720"/>
        <w:gridCol w:w="726"/>
        <w:gridCol w:w="629"/>
        <w:gridCol w:w="632"/>
        <w:gridCol w:w="826"/>
        <w:gridCol w:w="635"/>
      </w:tblGrid>
      <w:tr w:rsidR="00E256BA" w:rsidRPr="00E256BA" w14:paraId="4EA79363"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70712774" w14:textId="77777777" w:rsidR="00E256BA" w:rsidRPr="00E256BA" w:rsidRDefault="00E256BA" w:rsidP="000E67F1">
            <w:pPr>
              <w:spacing w:line="360" w:lineRule="auto"/>
              <w:rPr>
                <w:rFonts w:ascii="Times New Roman" w:hAnsi="Times New Roman" w:cs="Times New Roman"/>
                <w:color w:val="000000"/>
              </w:rPr>
            </w:pPr>
            <w:r w:rsidRPr="00E256BA">
              <w:rPr>
                <w:rFonts w:ascii="Times New Roman" w:hAnsi="Times New Roman" w:cs="Times New Roman"/>
                <w:color w:val="000000"/>
              </w:rPr>
              <w:lastRenderedPageBreak/>
              <w:t> </w:t>
            </w:r>
          </w:p>
        </w:tc>
        <w:tc>
          <w:tcPr>
            <w:tcW w:w="1460" w:type="pct"/>
            <w:gridSpan w:val="4"/>
            <w:tcBorders>
              <w:top w:val="nil"/>
              <w:left w:val="nil"/>
              <w:bottom w:val="single" w:sz="4" w:space="0" w:color="auto"/>
              <w:right w:val="single" w:sz="4" w:space="0" w:color="000000"/>
            </w:tcBorders>
            <w:shd w:val="clear" w:color="auto" w:fill="auto"/>
            <w:noWrap/>
            <w:vAlign w:val="bottom"/>
            <w:hideMark/>
          </w:tcPr>
          <w:p w14:paraId="40038F37" w14:textId="77777777" w:rsidR="00E256BA" w:rsidRPr="00E256BA" w:rsidRDefault="00E256BA" w:rsidP="000E67F1">
            <w:pPr>
              <w:spacing w:line="360" w:lineRule="auto"/>
              <w:jc w:val="center"/>
              <w:rPr>
                <w:rFonts w:ascii="Times New Roman" w:hAnsi="Times New Roman" w:cs="Times New Roman"/>
                <w:b/>
                <w:bCs/>
                <w:color w:val="000000"/>
              </w:rPr>
            </w:pPr>
            <w:r w:rsidRPr="00E256BA">
              <w:rPr>
                <w:rFonts w:ascii="Times New Roman" w:hAnsi="Times New Roman" w:cs="Times New Roman"/>
                <w:b/>
                <w:bCs/>
                <w:color w:val="000000"/>
              </w:rPr>
              <w:t>Junior</w:t>
            </w:r>
          </w:p>
        </w:tc>
        <w:tc>
          <w:tcPr>
            <w:tcW w:w="1465" w:type="pct"/>
            <w:gridSpan w:val="4"/>
            <w:tcBorders>
              <w:top w:val="nil"/>
              <w:left w:val="nil"/>
              <w:bottom w:val="single" w:sz="4" w:space="0" w:color="auto"/>
              <w:right w:val="single" w:sz="4" w:space="0" w:color="000000"/>
            </w:tcBorders>
            <w:shd w:val="clear" w:color="auto" w:fill="auto"/>
            <w:noWrap/>
            <w:vAlign w:val="bottom"/>
            <w:hideMark/>
          </w:tcPr>
          <w:p w14:paraId="639A1768" w14:textId="77777777" w:rsidR="00E256BA" w:rsidRPr="00E256BA" w:rsidRDefault="00E256BA" w:rsidP="000E67F1">
            <w:pPr>
              <w:spacing w:line="360" w:lineRule="auto"/>
              <w:jc w:val="center"/>
              <w:rPr>
                <w:rFonts w:ascii="Times New Roman" w:hAnsi="Times New Roman" w:cs="Times New Roman"/>
                <w:b/>
                <w:bCs/>
                <w:color w:val="000000"/>
              </w:rPr>
            </w:pPr>
            <w:r w:rsidRPr="00E256BA">
              <w:rPr>
                <w:rFonts w:ascii="Times New Roman" w:hAnsi="Times New Roman" w:cs="Times New Roman"/>
                <w:b/>
                <w:bCs/>
                <w:color w:val="000000"/>
              </w:rPr>
              <w:t>Junior High</w:t>
            </w:r>
          </w:p>
        </w:tc>
        <w:tc>
          <w:tcPr>
            <w:tcW w:w="1462" w:type="pct"/>
            <w:gridSpan w:val="4"/>
            <w:tcBorders>
              <w:top w:val="nil"/>
              <w:left w:val="nil"/>
              <w:bottom w:val="single" w:sz="4" w:space="0" w:color="auto"/>
              <w:right w:val="nil"/>
            </w:tcBorders>
            <w:shd w:val="clear" w:color="auto" w:fill="auto"/>
            <w:noWrap/>
            <w:vAlign w:val="bottom"/>
            <w:hideMark/>
          </w:tcPr>
          <w:p w14:paraId="2980D63C" w14:textId="77777777" w:rsidR="00E256BA" w:rsidRPr="00E256BA" w:rsidRDefault="00E256BA" w:rsidP="000E67F1">
            <w:pPr>
              <w:spacing w:line="360" w:lineRule="auto"/>
              <w:jc w:val="center"/>
              <w:rPr>
                <w:rFonts w:ascii="Times New Roman" w:hAnsi="Times New Roman" w:cs="Times New Roman"/>
                <w:b/>
                <w:bCs/>
                <w:color w:val="000000"/>
              </w:rPr>
            </w:pPr>
            <w:r w:rsidRPr="00E256BA">
              <w:rPr>
                <w:rFonts w:ascii="Times New Roman" w:hAnsi="Times New Roman" w:cs="Times New Roman"/>
                <w:b/>
                <w:bCs/>
                <w:color w:val="000000"/>
              </w:rPr>
              <w:t>Senior</w:t>
            </w:r>
          </w:p>
        </w:tc>
      </w:tr>
      <w:tr w:rsidR="00E256BA" w:rsidRPr="00E256BA" w14:paraId="33797A01"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0DCE23C5" w14:textId="77777777" w:rsidR="00E256BA" w:rsidRPr="00E256BA" w:rsidRDefault="00E256BA" w:rsidP="000E67F1">
            <w:pPr>
              <w:spacing w:line="360" w:lineRule="auto"/>
              <w:rPr>
                <w:rFonts w:ascii="Times New Roman" w:hAnsi="Times New Roman" w:cs="Times New Roman"/>
                <w:color w:val="000000"/>
              </w:rPr>
            </w:pPr>
            <w:r w:rsidRPr="00E256BA">
              <w:rPr>
                <w:rFonts w:ascii="Times New Roman" w:hAnsi="Times New Roman" w:cs="Times New Roman"/>
                <w:color w:val="000000"/>
              </w:rPr>
              <w:t> </w:t>
            </w:r>
          </w:p>
        </w:tc>
        <w:tc>
          <w:tcPr>
            <w:tcW w:w="729" w:type="pct"/>
            <w:gridSpan w:val="2"/>
            <w:tcBorders>
              <w:top w:val="single" w:sz="4" w:space="0" w:color="auto"/>
              <w:left w:val="nil"/>
              <w:bottom w:val="single" w:sz="4" w:space="0" w:color="auto"/>
              <w:right w:val="nil"/>
            </w:tcBorders>
            <w:shd w:val="clear" w:color="auto" w:fill="auto"/>
            <w:noWrap/>
            <w:vAlign w:val="bottom"/>
            <w:hideMark/>
          </w:tcPr>
          <w:p w14:paraId="383EF823"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2021</w:t>
            </w:r>
          </w:p>
        </w:tc>
        <w:tc>
          <w:tcPr>
            <w:tcW w:w="730"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2C219B3"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2023</w:t>
            </w:r>
          </w:p>
        </w:tc>
        <w:tc>
          <w:tcPr>
            <w:tcW w:w="689"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4B60D0B4"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2021</w:t>
            </w:r>
          </w:p>
        </w:tc>
        <w:tc>
          <w:tcPr>
            <w:tcW w:w="777"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5C3359B6"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2023</w:t>
            </w:r>
          </w:p>
        </w:tc>
        <w:tc>
          <w:tcPr>
            <w:tcW w:w="677" w:type="pct"/>
            <w:gridSpan w:val="2"/>
            <w:tcBorders>
              <w:top w:val="single" w:sz="4" w:space="0" w:color="auto"/>
              <w:left w:val="nil"/>
              <w:bottom w:val="single" w:sz="4" w:space="0" w:color="auto"/>
              <w:right w:val="single" w:sz="4" w:space="0" w:color="000000"/>
            </w:tcBorders>
            <w:shd w:val="clear" w:color="auto" w:fill="auto"/>
            <w:noWrap/>
            <w:vAlign w:val="bottom"/>
            <w:hideMark/>
          </w:tcPr>
          <w:p w14:paraId="39059088"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2021</w:t>
            </w:r>
          </w:p>
        </w:tc>
        <w:tc>
          <w:tcPr>
            <w:tcW w:w="785" w:type="pct"/>
            <w:gridSpan w:val="2"/>
            <w:tcBorders>
              <w:top w:val="single" w:sz="4" w:space="0" w:color="auto"/>
              <w:left w:val="nil"/>
              <w:bottom w:val="single" w:sz="4" w:space="0" w:color="auto"/>
              <w:right w:val="nil"/>
            </w:tcBorders>
            <w:shd w:val="clear" w:color="auto" w:fill="auto"/>
            <w:noWrap/>
            <w:vAlign w:val="bottom"/>
            <w:hideMark/>
          </w:tcPr>
          <w:p w14:paraId="25867D16" w14:textId="77777777" w:rsidR="00E256BA" w:rsidRPr="00E256BA" w:rsidRDefault="00E256BA" w:rsidP="000E67F1">
            <w:pPr>
              <w:spacing w:line="360" w:lineRule="auto"/>
              <w:jc w:val="center"/>
              <w:rPr>
                <w:rFonts w:ascii="Times New Roman" w:hAnsi="Times New Roman" w:cs="Times New Roman"/>
                <w:i/>
                <w:iCs/>
                <w:color w:val="000000"/>
              </w:rPr>
            </w:pPr>
            <w:r w:rsidRPr="00E256BA">
              <w:rPr>
                <w:rFonts w:ascii="Times New Roman" w:hAnsi="Times New Roman" w:cs="Times New Roman"/>
                <w:i/>
                <w:iCs/>
                <w:color w:val="000000"/>
              </w:rPr>
              <w:t>2023</w:t>
            </w:r>
          </w:p>
        </w:tc>
      </w:tr>
      <w:tr w:rsidR="000E67F1" w:rsidRPr="00E256BA" w14:paraId="75F3B0CE" w14:textId="77777777" w:rsidTr="00F34034">
        <w:trPr>
          <w:trHeight w:val="350"/>
        </w:trPr>
        <w:tc>
          <w:tcPr>
            <w:tcW w:w="613" w:type="pct"/>
            <w:tcBorders>
              <w:top w:val="nil"/>
              <w:left w:val="nil"/>
              <w:bottom w:val="single" w:sz="4" w:space="0" w:color="auto"/>
              <w:right w:val="single" w:sz="4" w:space="0" w:color="auto"/>
            </w:tcBorders>
            <w:shd w:val="clear" w:color="auto" w:fill="auto"/>
            <w:noWrap/>
            <w:vAlign w:val="bottom"/>
            <w:hideMark/>
          </w:tcPr>
          <w:p w14:paraId="564A3701" w14:textId="77777777" w:rsidR="00E256BA" w:rsidRPr="00E256BA" w:rsidRDefault="00E256BA" w:rsidP="000E67F1">
            <w:pPr>
              <w:spacing w:line="360" w:lineRule="auto"/>
              <w:rPr>
                <w:rFonts w:ascii="Times New Roman" w:hAnsi="Times New Roman" w:cs="Times New Roman"/>
                <w:color w:val="000000"/>
              </w:rPr>
            </w:pPr>
            <w:r w:rsidRPr="00E256BA">
              <w:rPr>
                <w:rFonts w:ascii="Times New Roman" w:hAnsi="Times New Roman" w:cs="Times New Roman"/>
                <w:color w:val="000000"/>
              </w:rPr>
              <w:t> </w:t>
            </w:r>
          </w:p>
        </w:tc>
        <w:tc>
          <w:tcPr>
            <w:tcW w:w="364" w:type="pct"/>
            <w:tcBorders>
              <w:top w:val="nil"/>
              <w:left w:val="nil"/>
              <w:bottom w:val="single" w:sz="4" w:space="0" w:color="auto"/>
              <w:right w:val="nil"/>
            </w:tcBorders>
            <w:shd w:val="clear" w:color="auto" w:fill="auto"/>
            <w:noWrap/>
            <w:vAlign w:val="bottom"/>
            <w:hideMark/>
          </w:tcPr>
          <w:p w14:paraId="782CF581"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65" w:type="pct"/>
            <w:tcBorders>
              <w:top w:val="nil"/>
              <w:left w:val="nil"/>
              <w:bottom w:val="single" w:sz="4" w:space="0" w:color="auto"/>
              <w:right w:val="single" w:sz="4" w:space="0" w:color="auto"/>
            </w:tcBorders>
            <w:shd w:val="clear" w:color="auto" w:fill="auto"/>
            <w:noWrap/>
            <w:vAlign w:val="bottom"/>
            <w:hideMark/>
          </w:tcPr>
          <w:p w14:paraId="6FD35563"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c>
          <w:tcPr>
            <w:tcW w:w="364" w:type="pct"/>
            <w:tcBorders>
              <w:top w:val="nil"/>
              <w:left w:val="nil"/>
              <w:bottom w:val="single" w:sz="4" w:space="0" w:color="auto"/>
              <w:right w:val="nil"/>
            </w:tcBorders>
            <w:shd w:val="clear" w:color="auto" w:fill="auto"/>
            <w:noWrap/>
            <w:vAlign w:val="bottom"/>
            <w:hideMark/>
          </w:tcPr>
          <w:p w14:paraId="197FBD2A"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66" w:type="pct"/>
            <w:tcBorders>
              <w:top w:val="nil"/>
              <w:left w:val="nil"/>
              <w:bottom w:val="single" w:sz="4" w:space="0" w:color="auto"/>
              <w:right w:val="single" w:sz="4" w:space="0" w:color="auto"/>
            </w:tcBorders>
            <w:shd w:val="clear" w:color="auto" w:fill="auto"/>
            <w:noWrap/>
            <w:vAlign w:val="bottom"/>
            <w:hideMark/>
          </w:tcPr>
          <w:p w14:paraId="5488B405"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c>
          <w:tcPr>
            <w:tcW w:w="300" w:type="pct"/>
            <w:tcBorders>
              <w:top w:val="nil"/>
              <w:left w:val="nil"/>
              <w:bottom w:val="single" w:sz="4" w:space="0" w:color="auto"/>
              <w:right w:val="nil"/>
            </w:tcBorders>
            <w:shd w:val="clear" w:color="auto" w:fill="auto"/>
            <w:noWrap/>
            <w:vAlign w:val="bottom"/>
            <w:hideMark/>
          </w:tcPr>
          <w:p w14:paraId="1B6F13C3"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88" w:type="pct"/>
            <w:tcBorders>
              <w:top w:val="nil"/>
              <w:left w:val="nil"/>
              <w:bottom w:val="single" w:sz="4" w:space="0" w:color="auto"/>
              <w:right w:val="single" w:sz="4" w:space="0" w:color="auto"/>
            </w:tcBorders>
            <w:shd w:val="clear" w:color="auto" w:fill="auto"/>
            <w:noWrap/>
            <w:vAlign w:val="bottom"/>
            <w:hideMark/>
          </w:tcPr>
          <w:p w14:paraId="0F55E18E"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c>
          <w:tcPr>
            <w:tcW w:w="387" w:type="pct"/>
            <w:tcBorders>
              <w:top w:val="nil"/>
              <w:left w:val="nil"/>
              <w:bottom w:val="single" w:sz="4" w:space="0" w:color="auto"/>
              <w:right w:val="nil"/>
            </w:tcBorders>
            <w:shd w:val="clear" w:color="auto" w:fill="auto"/>
            <w:noWrap/>
            <w:vAlign w:val="bottom"/>
            <w:hideMark/>
          </w:tcPr>
          <w:p w14:paraId="6CBAC386"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89" w:type="pct"/>
            <w:tcBorders>
              <w:top w:val="nil"/>
              <w:left w:val="nil"/>
              <w:bottom w:val="single" w:sz="4" w:space="0" w:color="auto"/>
              <w:right w:val="single" w:sz="4" w:space="0" w:color="auto"/>
            </w:tcBorders>
            <w:shd w:val="clear" w:color="auto" w:fill="auto"/>
            <w:noWrap/>
            <w:vAlign w:val="bottom"/>
            <w:hideMark/>
          </w:tcPr>
          <w:p w14:paraId="53EBDBB2"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c>
          <w:tcPr>
            <w:tcW w:w="338" w:type="pct"/>
            <w:tcBorders>
              <w:top w:val="nil"/>
              <w:left w:val="nil"/>
              <w:bottom w:val="single" w:sz="4" w:space="0" w:color="auto"/>
              <w:right w:val="nil"/>
            </w:tcBorders>
            <w:shd w:val="clear" w:color="auto" w:fill="auto"/>
            <w:noWrap/>
            <w:vAlign w:val="bottom"/>
            <w:hideMark/>
          </w:tcPr>
          <w:p w14:paraId="1A582AC9"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39" w:type="pct"/>
            <w:tcBorders>
              <w:top w:val="nil"/>
              <w:left w:val="nil"/>
              <w:bottom w:val="single" w:sz="4" w:space="0" w:color="auto"/>
              <w:right w:val="single" w:sz="4" w:space="0" w:color="auto"/>
            </w:tcBorders>
            <w:shd w:val="clear" w:color="auto" w:fill="auto"/>
            <w:noWrap/>
            <w:vAlign w:val="bottom"/>
            <w:hideMark/>
          </w:tcPr>
          <w:p w14:paraId="436E22CF"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c>
          <w:tcPr>
            <w:tcW w:w="443" w:type="pct"/>
            <w:tcBorders>
              <w:top w:val="nil"/>
              <w:left w:val="nil"/>
              <w:bottom w:val="single" w:sz="4" w:space="0" w:color="auto"/>
              <w:right w:val="nil"/>
            </w:tcBorders>
            <w:shd w:val="clear" w:color="auto" w:fill="auto"/>
            <w:noWrap/>
            <w:vAlign w:val="bottom"/>
            <w:hideMark/>
          </w:tcPr>
          <w:p w14:paraId="733A251B"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0</w:t>
            </w:r>
          </w:p>
        </w:tc>
        <w:tc>
          <w:tcPr>
            <w:tcW w:w="343" w:type="pct"/>
            <w:tcBorders>
              <w:top w:val="nil"/>
              <w:left w:val="nil"/>
              <w:bottom w:val="single" w:sz="4" w:space="0" w:color="auto"/>
              <w:right w:val="nil"/>
            </w:tcBorders>
            <w:shd w:val="clear" w:color="auto" w:fill="auto"/>
            <w:noWrap/>
            <w:vAlign w:val="bottom"/>
            <w:hideMark/>
          </w:tcPr>
          <w:p w14:paraId="18AE68B5" w14:textId="77777777" w:rsidR="00E256BA" w:rsidRPr="00E256BA" w:rsidRDefault="00E256BA" w:rsidP="000E67F1">
            <w:pPr>
              <w:spacing w:line="360" w:lineRule="auto"/>
              <w:jc w:val="center"/>
              <w:rPr>
                <w:rFonts w:ascii="Times New Roman" w:hAnsi="Times New Roman" w:cs="Times New Roman"/>
                <w:color w:val="000000"/>
              </w:rPr>
            </w:pPr>
            <w:r w:rsidRPr="00E256BA">
              <w:rPr>
                <w:rFonts w:ascii="Times New Roman" w:hAnsi="Times New Roman" w:cs="Times New Roman"/>
                <w:color w:val="000000"/>
              </w:rPr>
              <w:t>1</w:t>
            </w:r>
          </w:p>
        </w:tc>
      </w:tr>
      <w:tr w:rsidR="000E67F1" w:rsidRPr="00E256BA" w14:paraId="40828017"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20D2D2DD" w14:textId="77777777" w:rsidR="00E256BA" w:rsidRPr="00E256BA" w:rsidRDefault="00E256BA" w:rsidP="000E67F1">
            <w:pPr>
              <w:spacing w:line="360" w:lineRule="auto"/>
              <w:rPr>
                <w:rFonts w:ascii="Times New Roman" w:hAnsi="Times New Roman" w:cs="Times New Roman"/>
                <w:b/>
                <w:bCs/>
                <w:color w:val="000000"/>
              </w:rPr>
            </w:pPr>
            <w:r w:rsidRPr="00E256BA">
              <w:rPr>
                <w:rFonts w:ascii="Times New Roman" w:hAnsi="Times New Roman" w:cs="Times New Roman"/>
                <w:b/>
                <w:bCs/>
                <w:color w:val="000000"/>
              </w:rPr>
              <w:t>Breed</w:t>
            </w:r>
          </w:p>
        </w:tc>
        <w:tc>
          <w:tcPr>
            <w:tcW w:w="364" w:type="pct"/>
            <w:tcBorders>
              <w:top w:val="nil"/>
              <w:left w:val="nil"/>
              <w:bottom w:val="nil"/>
              <w:right w:val="nil"/>
            </w:tcBorders>
            <w:shd w:val="clear" w:color="auto" w:fill="auto"/>
            <w:noWrap/>
            <w:vAlign w:val="bottom"/>
            <w:hideMark/>
          </w:tcPr>
          <w:p w14:paraId="52F01DDC"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188</w:t>
            </w:r>
          </w:p>
        </w:tc>
        <w:tc>
          <w:tcPr>
            <w:tcW w:w="365" w:type="pct"/>
            <w:tcBorders>
              <w:top w:val="nil"/>
              <w:left w:val="nil"/>
              <w:bottom w:val="nil"/>
              <w:right w:val="single" w:sz="4" w:space="0" w:color="auto"/>
            </w:tcBorders>
            <w:shd w:val="clear" w:color="auto" w:fill="auto"/>
            <w:noWrap/>
            <w:vAlign w:val="bottom"/>
            <w:hideMark/>
          </w:tcPr>
          <w:p w14:paraId="60B655E4"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242</w:t>
            </w:r>
          </w:p>
        </w:tc>
        <w:tc>
          <w:tcPr>
            <w:tcW w:w="364" w:type="pct"/>
            <w:tcBorders>
              <w:top w:val="nil"/>
              <w:left w:val="nil"/>
              <w:bottom w:val="nil"/>
              <w:right w:val="nil"/>
            </w:tcBorders>
            <w:shd w:val="clear" w:color="auto" w:fill="auto"/>
            <w:noWrap/>
            <w:vAlign w:val="bottom"/>
            <w:hideMark/>
          </w:tcPr>
          <w:p w14:paraId="4E09E4E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461</w:t>
            </w:r>
          </w:p>
        </w:tc>
        <w:tc>
          <w:tcPr>
            <w:tcW w:w="366" w:type="pct"/>
            <w:tcBorders>
              <w:top w:val="nil"/>
              <w:left w:val="nil"/>
              <w:bottom w:val="nil"/>
              <w:right w:val="single" w:sz="4" w:space="0" w:color="auto"/>
            </w:tcBorders>
            <w:shd w:val="clear" w:color="auto" w:fill="auto"/>
            <w:noWrap/>
            <w:vAlign w:val="bottom"/>
            <w:hideMark/>
          </w:tcPr>
          <w:p w14:paraId="6C9FE415"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456</w:t>
            </w:r>
          </w:p>
        </w:tc>
        <w:tc>
          <w:tcPr>
            <w:tcW w:w="300" w:type="pct"/>
            <w:tcBorders>
              <w:top w:val="nil"/>
              <w:left w:val="nil"/>
              <w:bottom w:val="nil"/>
              <w:right w:val="nil"/>
            </w:tcBorders>
            <w:shd w:val="clear" w:color="auto" w:fill="auto"/>
            <w:noWrap/>
            <w:vAlign w:val="bottom"/>
            <w:hideMark/>
          </w:tcPr>
          <w:p w14:paraId="4CFDFC3A"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253</w:t>
            </w:r>
          </w:p>
        </w:tc>
        <w:tc>
          <w:tcPr>
            <w:tcW w:w="388" w:type="pct"/>
            <w:tcBorders>
              <w:top w:val="nil"/>
              <w:left w:val="nil"/>
              <w:bottom w:val="nil"/>
              <w:right w:val="single" w:sz="4" w:space="0" w:color="auto"/>
            </w:tcBorders>
            <w:shd w:val="clear" w:color="auto" w:fill="auto"/>
            <w:noWrap/>
            <w:vAlign w:val="bottom"/>
            <w:hideMark/>
          </w:tcPr>
          <w:p w14:paraId="46C22DFD"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356</w:t>
            </w:r>
          </w:p>
        </w:tc>
        <w:tc>
          <w:tcPr>
            <w:tcW w:w="387" w:type="pct"/>
            <w:tcBorders>
              <w:top w:val="nil"/>
              <w:left w:val="nil"/>
              <w:bottom w:val="nil"/>
              <w:right w:val="nil"/>
            </w:tcBorders>
            <w:shd w:val="clear" w:color="auto" w:fill="auto"/>
            <w:noWrap/>
            <w:vAlign w:val="bottom"/>
            <w:hideMark/>
          </w:tcPr>
          <w:p w14:paraId="226B127C"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463</w:t>
            </w:r>
          </w:p>
        </w:tc>
        <w:tc>
          <w:tcPr>
            <w:tcW w:w="389" w:type="pct"/>
            <w:tcBorders>
              <w:top w:val="nil"/>
              <w:left w:val="nil"/>
              <w:bottom w:val="nil"/>
              <w:right w:val="single" w:sz="4" w:space="0" w:color="auto"/>
            </w:tcBorders>
            <w:shd w:val="clear" w:color="auto" w:fill="auto"/>
            <w:noWrap/>
            <w:vAlign w:val="bottom"/>
            <w:hideMark/>
          </w:tcPr>
          <w:p w14:paraId="00B0F525"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611</w:t>
            </w:r>
          </w:p>
        </w:tc>
        <w:tc>
          <w:tcPr>
            <w:tcW w:w="338" w:type="pct"/>
            <w:tcBorders>
              <w:top w:val="nil"/>
              <w:left w:val="nil"/>
              <w:bottom w:val="nil"/>
              <w:right w:val="nil"/>
            </w:tcBorders>
            <w:shd w:val="clear" w:color="auto" w:fill="auto"/>
            <w:noWrap/>
            <w:vAlign w:val="bottom"/>
            <w:hideMark/>
          </w:tcPr>
          <w:p w14:paraId="1FB9349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87</w:t>
            </w:r>
          </w:p>
        </w:tc>
        <w:tc>
          <w:tcPr>
            <w:tcW w:w="339" w:type="pct"/>
            <w:tcBorders>
              <w:top w:val="nil"/>
              <w:left w:val="nil"/>
              <w:bottom w:val="nil"/>
              <w:right w:val="single" w:sz="4" w:space="0" w:color="auto"/>
            </w:tcBorders>
            <w:shd w:val="clear" w:color="auto" w:fill="auto"/>
            <w:noWrap/>
            <w:vAlign w:val="bottom"/>
            <w:hideMark/>
          </w:tcPr>
          <w:p w14:paraId="1F23DF93"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129</w:t>
            </w:r>
          </w:p>
        </w:tc>
        <w:tc>
          <w:tcPr>
            <w:tcW w:w="443" w:type="pct"/>
            <w:tcBorders>
              <w:top w:val="nil"/>
              <w:left w:val="nil"/>
              <w:bottom w:val="nil"/>
              <w:right w:val="nil"/>
            </w:tcBorders>
            <w:shd w:val="clear" w:color="auto" w:fill="auto"/>
            <w:noWrap/>
            <w:vAlign w:val="bottom"/>
            <w:hideMark/>
          </w:tcPr>
          <w:p w14:paraId="3E44D16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112</w:t>
            </w:r>
          </w:p>
        </w:tc>
        <w:tc>
          <w:tcPr>
            <w:tcW w:w="343" w:type="pct"/>
            <w:tcBorders>
              <w:top w:val="nil"/>
              <w:left w:val="nil"/>
              <w:bottom w:val="nil"/>
              <w:right w:val="nil"/>
            </w:tcBorders>
            <w:shd w:val="clear" w:color="auto" w:fill="auto"/>
            <w:noWrap/>
            <w:vAlign w:val="bottom"/>
            <w:hideMark/>
          </w:tcPr>
          <w:p w14:paraId="712200B8"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134</w:t>
            </w:r>
          </w:p>
        </w:tc>
      </w:tr>
      <w:tr w:rsidR="000E67F1" w:rsidRPr="00E256BA" w14:paraId="12A66137"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6978C5E6" w14:textId="77777777" w:rsidR="00E256BA" w:rsidRPr="00E256BA" w:rsidRDefault="00E256BA" w:rsidP="000E67F1">
            <w:pPr>
              <w:spacing w:line="360" w:lineRule="auto"/>
              <w:rPr>
                <w:rFonts w:ascii="Times New Roman" w:hAnsi="Times New Roman" w:cs="Times New Roman"/>
                <w:b/>
                <w:bCs/>
                <w:color w:val="000000"/>
              </w:rPr>
            </w:pPr>
            <w:r w:rsidRPr="00E256BA">
              <w:rPr>
                <w:rFonts w:ascii="Times New Roman" w:hAnsi="Times New Roman" w:cs="Times New Roman"/>
                <w:b/>
                <w:bCs/>
                <w:color w:val="000000"/>
              </w:rPr>
              <w:t>Nutrition</w:t>
            </w:r>
          </w:p>
        </w:tc>
        <w:tc>
          <w:tcPr>
            <w:tcW w:w="364" w:type="pct"/>
            <w:tcBorders>
              <w:top w:val="nil"/>
              <w:left w:val="nil"/>
              <w:bottom w:val="nil"/>
              <w:right w:val="nil"/>
            </w:tcBorders>
            <w:shd w:val="clear" w:color="auto" w:fill="auto"/>
            <w:noWrap/>
            <w:vAlign w:val="bottom"/>
            <w:hideMark/>
          </w:tcPr>
          <w:p w14:paraId="594CF6B3"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295</w:t>
            </w:r>
          </w:p>
        </w:tc>
        <w:tc>
          <w:tcPr>
            <w:tcW w:w="365" w:type="pct"/>
            <w:tcBorders>
              <w:top w:val="nil"/>
              <w:left w:val="nil"/>
              <w:bottom w:val="nil"/>
              <w:right w:val="single" w:sz="4" w:space="0" w:color="auto"/>
            </w:tcBorders>
            <w:shd w:val="clear" w:color="auto" w:fill="auto"/>
            <w:noWrap/>
            <w:vAlign w:val="bottom"/>
            <w:hideMark/>
          </w:tcPr>
          <w:p w14:paraId="78A10B50"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384</w:t>
            </w:r>
          </w:p>
        </w:tc>
        <w:tc>
          <w:tcPr>
            <w:tcW w:w="364" w:type="pct"/>
            <w:tcBorders>
              <w:top w:val="nil"/>
              <w:left w:val="nil"/>
              <w:bottom w:val="nil"/>
              <w:right w:val="nil"/>
            </w:tcBorders>
            <w:shd w:val="clear" w:color="auto" w:fill="auto"/>
            <w:noWrap/>
            <w:vAlign w:val="bottom"/>
            <w:hideMark/>
          </w:tcPr>
          <w:p w14:paraId="553BF78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726</w:t>
            </w:r>
          </w:p>
        </w:tc>
        <w:tc>
          <w:tcPr>
            <w:tcW w:w="366" w:type="pct"/>
            <w:tcBorders>
              <w:top w:val="nil"/>
              <w:left w:val="nil"/>
              <w:bottom w:val="nil"/>
              <w:right w:val="single" w:sz="4" w:space="0" w:color="auto"/>
            </w:tcBorders>
            <w:shd w:val="clear" w:color="auto" w:fill="auto"/>
            <w:noWrap/>
            <w:vAlign w:val="bottom"/>
            <w:hideMark/>
          </w:tcPr>
          <w:p w14:paraId="78947685"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715</w:t>
            </w:r>
          </w:p>
        </w:tc>
        <w:tc>
          <w:tcPr>
            <w:tcW w:w="300" w:type="pct"/>
            <w:tcBorders>
              <w:top w:val="nil"/>
              <w:left w:val="nil"/>
              <w:bottom w:val="nil"/>
              <w:right w:val="nil"/>
            </w:tcBorders>
            <w:shd w:val="clear" w:color="auto" w:fill="auto"/>
            <w:noWrap/>
            <w:vAlign w:val="bottom"/>
            <w:hideMark/>
          </w:tcPr>
          <w:p w14:paraId="7293C32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654</w:t>
            </w:r>
          </w:p>
        </w:tc>
        <w:tc>
          <w:tcPr>
            <w:tcW w:w="388" w:type="pct"/>
            <w:tcBorders>
              <w:top w:val="nil"/>
              <w:left w:val="nil"/>
              <w:bottom w:val="nil"/>
              <w:right w:val="single" w:sz="4" w:space="0" w:color="auto"/>
            </w:tcBorders>
            <w:shd w:val="clear" w:color="auto" w:fill="auto"/>
            <w:noWrap/>
            <w:vAlign w:val="bottom"/>
            <w:hideMark/>
          </w:tcPr>
          <w:p w14:paraId="29B28C4E"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825</w:t>
            </w:r>
          </w:p>
        </w:tc>
        <w:tc>
          <w:tcPr>
            <w:tcW w:w="387" w:type="pct"/>
            <w:tcBorders>
              <w:top w:val="nil"/>
              <w:left w:val="nil"/>
              <w:bottom w:val="nil"/>
              <w:right w:val="nil"/>
            </w:tcBorders>
            <w:shd w:val="clear" w:color="auto" w:fill="auto"/>
            <w:noWrap/>
            <w:vAlign w:val="bottom"/>
            <w:hideMark/>
          </w:tcPr>
          <w:p w14:paraId="41BD5DC9"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1164</w:t>
            </w:r>
          </w:p>
        </w:tc>
        <w:tc>
          <w:tcPr>
            <w:tcW w:w="389" w:type="pct"/>
            <w:tcBorders>
              <w:top w:val="nil"/>
              <w:left w:val="nil"/>
              <w:bottom w:val="nil"/>
              <w:right w:val="single" w:sz="4" w:space="0" w:color="auto"/>
            </w:tcBorders>
            <w:shd w:val="clear" w:color="auto" w:fill="auto"/>
            <w:noWrap/>
            <w:vAlign w:val="bottom"/>
            <w:hideMark/>
          </w:tcPr>
          <w:p w14:paraId="18C3AC82"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1451</w:t>
            </w:r>
          </w:p>
        </w:tc>
        <w:tc>
          <w:tcPr>
            <w:tcW w:w="338" w:type="pct"/>
            <w:tcBorders>
              <w:top w:val="nil"/>
              <w:left w:val="nil"/>
              <w:bottom w:val="nil"/>
              <w:right w:val="nil"/>
            </w:tcBorders>
            <w:shd w:val="clear" w:color="auto" w:fill="auto"/>
            <w:noWrap/>
            <w:vAlign w:val="bottom"/>
            <w:hideMark/>
          </w:tcPr>
          <w:p w14:paraId="25BDAB74"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566</w:t>
            </w:r>
          </w:p>
        </w:tc>
        <w:tc>
          <w:tcPr>
            <w:tcW w:w="339" w:type="pct"/>
            <w:tcBorders>
              <w:top w:val="nil"/>
              <w:left w:val="nil"/>
              <w:bottom w:val="nil"/>
              <w:right w:val="single" w:sz="4" w:space="0" w:color="auto"/>
            </w:tcBorders>
            <w:shd w:val="clear" w:color="auto" w:fill="auto"/>
            <w:noWrap/>
            <w:vAlign w:val="bottom"/>
            <w:hideMark/>
          </w:tcPr>
          <w:p w14:paraId="78674BC4"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524</w:t>
            </w:r>
          </w:p>
        </w:tc>
        <w:tc>
          <w:tcPr>
            <w:tcW w:w="443" w:type="pct"/>
            <w:tcBorders>
              <w:top w:val="nil"/>
              <w:left w:val="nil"/>
              <w:bottom w:val="nil"/>
              <w:right w:val="nil"/>
            </w:tcBorders>
            <w:shd w:val="clear" w:color="auto" w:fill="auto"/>
            <w:noWrap/>
            <w:vAlign w:val="bottom"/>
            <w:hideMark/>
          </w:tcPr>
          <w:p w14:paraId="2DD29B1C"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746</w:t>
            </w:r>
          </w:p>
        </w:tc>
        <w:tc>
          <w:tcPr>
            <w:tcW w:w="343" w:type="pct"/>
            <w:tcBorders>
              <w:top w:val="nil"/>
              <w:left w:val="nil"/>
              <w:bottom w:val="nil"/>
              <w:right w:val="nil"/>
            </w:tcBorders>
            <w:shd w:val="clear" w:color="auto" w:fill="auto"/>
            <w:noWrap/>
            <w:vAlign w:val="bottom"/>
            <w:hideMark/>
          </w:tcPr>
          <w:p w14:paraId="03955339"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474</w:t>
            </w:r>
          </w:p>
        </w:tc>
      </w:tr>
      <w:tr w:rsidR="000E67F1" w:rsidRPr="00E256BA" w14:paraId="46D366CD"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13EC349A" w14:textId="77777777" w:rsidR="00E256BA" w:rsidRPr="00E256BA" w:rsidRDefault="00E256BA" w:rsidP="000E67F1">
            <w:pPr>
              <w:spacing w:line="360" w:lineRule="auto"/>
              <w:rPr>
                <w:rFonts w:ascii="Times New Roman" w:hAnsi="Times New Roman" w:cs="Times New Roman"/>
                <w:b/>
                <w:bCs/>
                <w:color w:val="000000"/>
              </w:rPr>
            </w:pPr>
            <w:r w:rsidRPr="00E256BA">
              <w:rPr>
                <w:rFonts w:ascii="Times New Roman" w:hAnsi="Times New Roman" w:cs="Times New Roman"/>
                <w:b/>
                <w:bCs/>
                <w:color w:val="000000"/>
              </w:rPr>
              <w:t>Health</w:t>
            </w:r>
          </w:p>
        </w:tc>
        <w:tc>
          <w:tcPr>
            <w:tcW w:w="364" w:type="pct"/>
            <w:tcBorders>
              <w:top w:val="nil"/>
              <w:left w:val="nil"/>
              <w:bottom w:val="nil"/>
              <w:right w:val="nil"/>
            </w:tcBorders>
            <w:shd w:val="clear" w:color="auto" w:fill="auto"/>
            <w:noWrap/>
            <w:vAlign w:val="bottom"/>
            <w:hideMark/>
          </w:tcPr>
          <w:p w14:paraId="67AAC592"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246</w:t>
            </w:r>
          </w:p>
        </w:tc>
        <w:tc>
          <w:tcPr>
            <w:tcW w:w="365" w:type="pct"/>
            <w:tcBorders>
              <w:top w:val="nil"/>
              <w:left w:val="nil"/>
              <w:bottom w:val="nil"/>
              <w:right w:val="single" w:sz="4" w:space="0" w:color="auto"/>
            </w:tcBorders>
            <w:shd w:val="clear" w:color="auto" w:fill="auto"/>
            <w:noWrap/>
            <w:vAlign w:val="bottom"/>
            <w:hideMark/>
          </w:tcPr>
          <w:p w14:paraId="1D6A52C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371</w:t>
            </w:r>
          </w:p>
        </w:tc>
        <w:tc>
          <w:tcPr>
            <w:tcW w:w="364" w:type="pct"/>
            <w:tcBorders>
              <w:top w:val="nil"/>
              <w:left w:val="nil"/>
              <w:bottom w:val="nil"/>
              <w:right w:val="nil"/>
            </w:tcBorders>
            <w:shd w:val="clear" w:color="auto" w:fill="auto"/>
            <w:noWrap/>
            <w:vAlign w:val="bottom"/>
            <w:hideMark/>
          </w:tcPr>
          <w:p w14:paraId="12F63C84"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740</w:t>
            </w:r>
          </w:p>
        </w:tc>
        <w:tc>
          <w:tcPr>
            <w:tcW w:w="366" w:type="pct"/>
            <w:tcBorders>
              <w:top w:val="nil"/>
              <w:left w:val="nil"/>
              <w:bottom w:val="nil"/>
              <w:right w:val="single" w:sz="4" w:space="0" w:color="auto"/>
            </w:tcBorders>
            <w:shd w:val="clear" w:color="auto" w:fill="auto"/>
            <w:noWrap/>
            <w:vAlign w:val="bottom"/>
            <w:hideMark/>
          </w:tcPr>
          <w:p w14:paraId="0B7C4B7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570</w:t>
            </w:r>
          </w:p>
        </w:tc>
        <w:tc>
          <w:tcPr>
            <w:tcW w:w="300" w:type="pct"/>
            <w:tcBorders>
              <w:top w:val="nil"/>
              <w:left w:val="nil"/>
              <w:bottom w:val="nil"/>
              <w:right w:val="nil"/>
            </w:tcBorders>
            <w:shd w:val="clear" w:color="auto" w:fill="auto"/>
            <w:noWrap/>
            <w:vAlign w:val="bottom"/>
            <w:hideMark/>
          </w:tcPr>
          <w:p w14:paraId="3A6851A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740</w:t>
            </w:r>
          </w:p>
        </w:tc>
        <w:tc>
          <w:tcPr>
            <w:tcW w:w="388" w:type="pct"/>
            <w:tcBorders>
              <w:top w:val="nil"/>
              <w:left w:val="nil"/>
              <w:bottom w:val="nil"/>
              <w:right w:val="single" w:sz="4" w:space="0" w:color="auto"/>
            </w:tcBorders>
            <w:shd w:val="clear" w:color="auto" w:fill="auto"/>
            <w:noWrap/>
            <w:vAlign w:val="bottom"/>
            <w:hideMark/>
          </w:tcPr>
          <w:p w14:paraId="4F112E5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1087</w:t>
            </w:r>
          </w:p>
        </w:tc>
        <w:tc>
          <w:tcPr>
            <w:tcW w:w="387" w:type="pct"/>
            <w:tcBorders>
              <w:top w:val="nil"/>
              <w:left w:val="nil"/>
              <w:bottom w:val="nil"/>
              <w:right w:val="nil"/>
            </w:tcBorders>
            <w:shd w:val="clear" w:color="auto" w:fill="auto"/>
            <w:noWrap/>
            <w:vAlign w:val="bottom"/>
            <w:hideMark/>
          </w:tcPr>
          <w:p w14:paraId="612B7BB2"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1505</w:t>
            </w:r>
          </w:p>
        </w:tc>
        <w:tc>
          <w:tcPr>
            <w:tcW w:w="389" w:type="pct"/>
            <w:tcBorders>
              <w:top w:val="nil"/>
              <w:left w:val="nil"/>
              <w:bottom w:val="nil"/>
              <w:right w:val="single" w:sz="4" w:space="0" w:color="auto"/>
            </w:tcBorders>
            <w:shd w:val="clear" w:color="auto" w:fill="auto"/>
            <w:noWrap/>
            <w:vAlign w:val="bottom"/>
            <w:hideMark/>
          </w:tcPr>
          <w:p w14:paraId="5C354F6D"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1728</w:t>
            </w:r>
          </w:p>
        </w:tc>
        <w:tc>
          <w:tcPr>
            <w:tcW w:w="338" w:type="pct"/>
            <w:tcBorders>
              <w:top w:val="nil"/>
              <w:left w:val="nil"/>
              <w:bottom w:val="nil"/>
              <w:right w:val="nil"/>
            </w:tcBorders>
            <w:shd w:val="clear" w:color="auto" w:fill="auto"/>
            <w:noWrap/>
            <w:vAlign w:val="bottom"/>
            <w:hideMark/>
          </w:tcPr>
          <w:p w14:paraId="0434FAC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831</w:t>
            </w:r>
          </w:p>
        </w:tc>
        <w:tc>
          <w:tcPr>
            <w:tcW w:w="339" w:type="pct"/>
            <w:tcBorders>
              <w:top w:val="nil"/>
              <w:left w:val="nil"/>
              <w:bottom w:val="nil"/>
              <w:right w:val="single" w:sz="4" w:space="0" w:color="auto"/>
            </w:tcBorders>
            <w:shd w:val="clear" w:color="auto" w:fill="auto"/>
            <w:noWrap/>
            <w:vAlign w:val="bottom"/>
            <w:hideMark/>
          </w:tcPr>
          <w:p w14:paraId="7F85EA53"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911</w:t>
            </w:r>
          </w:p>
        </w:tc>
        <w:tc>
          <w:tcPr>
            <w:tcW w:w="443" w:type="pct"/>
            <w:tcBorders>
              <w:top w:val="nil"/>
              <w:left w:val="nil"/>
              <w:bottom w:val="nil"/>
              <w:right w:val="nil"/>
            </w:tcBorders>
            <w:shd w:val="clear" w:color="auto" w:fill="auto"/>
            <w:noWrap/>
            <w:vAlign w:val="bottom"/>
            <w:hideMark/>
          </w:tcPr>
          <w:p w14:paraId="4F7B7547"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1032</w:t>
            </w:r>
          </w:p>
        </w:tc>
        <w:tc>
          <w:tcPr>
            <w:tcW w:w="343" w:type="pct"/>
            <w:tcBorders>
              <w:top w:val="nil"/>
              <w:left w:val="nil"/>
              <w:bottom w:val="nil"/>
              <w:right w:val="nil"/>
            </w:tcBorders>
            <w:shd w:val="clear" w:color="auto" w:fill="auto"/>
            <w:noWrap/>
            <w:vAlign w:val="bottom"/>
            <w:hideMark/>
          </w:tcPr>
          <w:p w14:paraId="4E4EF9D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922</w:t>
            </w:r>
          </w:p>
        </w:tc>
      </w:tr>
      <w:tr w:rsidR="000E67F1" w:rsidRPr="00E256BA" w14:paraId="2DAEA270"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371B9B11" w14:textId="77777777" w:rsidR="00E256BA" w:rsidRPr="00E256BA" w:rsidRDefault="00E256BA" w:rsidP="000E67F1">
            <w:pPr>
              <w:spacing w:line="360" w:lineRule="auto"/>
              <w:rPr>
                <w:rFonts w:ascii="Times New Roman" w:hAnsi="Times New Roman" w:cs="Times New Roman"/>
                <w:b/>
                <w:bCs/>
                <w:color w:val="000000"/>
              </w:rPr>
            </w:pPr>
            <w:r w:rsidRPr="00E256BA">
              <w:rPr>
                <w:rFonts w:ascii="Times New Roman" w:hAnsi="Times New Roman" w:cs="Times New Roman"/>
                <w:b/>
                <w:bCs/>
                <w:color w:val="000000"/>
              </w:rPr>
              <w:t>Selection</w:t>
            </w:r>
          </w:p>
        </w:tc>
        <w:tc>
          <w:tcPr>
            <w:tcW w:w="364" w:type="pct"/>
            <w:tcBorders>
              <w:top w:val="nil"/>
              <w:left w:val="nil"/>
              <w:bottom w:val="nil"/>
              <w:right w:val="nil"/>
            </w:tcBorders>
            <w:shd w:val="clear" w:color="auto" w:fill="auto"/>
            <w:noWrap/>
            <w:vAlign w:val="bottom"/>
            <w:hideMark/>
          </w:tcPr>
          <w:p w14:paraId="3918B7CA"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285</w:t>
            </w:r>
          </w:p>
        </w:tc>
        <w:tc>
          <w:tcPr>
            <w:tcW w:w="365" w:type="pct"/>
            <w:tcBorders>
              <w:top w:val="nil"/>
              <w:left w:val="nil"/>
              <w:bottom w:val="nil"/>
              <w:right w:val="single" w:sz="4" w:space="0" w:color="auto"/>
            </w:tcBorders>
            <w:shd w:val="clear" w:color="auto" w:fill="auto"/>
            <w:noWrap/>
            <w:vAlign w:val="bottom"/>
            <w:hideMark/>
          </w:tcPr>
          <w:p w14:paraId="044F8758"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331</w:t>
            </w:r>
          </w:p>
        </w:tc>
        <w:tc>
          <w:tcPr>
            <w:tcW w:w="364" w:type="pct"/>
            <w:tcBorders>
              <w:top w:val="nil"/>
              <w:left w:val="nil"/>
              <w:bottom w:val="nil"/>
              <w:right w:val="nil"/>
            </w:tcBorders>
            <w:shd w:val="clear" w:color="auto" w:fill="auto"/>
            <w:noWrap/>
            <w:vAlign w:val="bottom"/>
            <w:hideMark/>
          </w:tcPr>
          <w:p w14:paraId="7A07EEF7"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733</w:t>
            </w:r>
          </w:p>
        </w:tc>
        <w:tc>
          <w:tcPr>
            <w:tcW w:w="366" w:type="pct"/>
            <w:tcBorders>
              <w:top w:val="nil"/>
              <w:left w:val="nil"/>
              <w:bottom w:val="nil"/>
              <w:right w:val="single" w:sz="4" w:space="0" w:color="auto"/>
            </w:tcBorders>
            <w:shd w:val="clear" w:color="auto" w:fill="auto"/>
            <w:noWrap/>
            <w:vAlign w:val="bottom"/>
            <w:hideMark/>
          </w:tcPr>
          <w:p w14:paraId="1D677C2F"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577</w:t>
            </w:r>
          </w:p>
        </w:tc>
        <w:tc>
          <w:tcPr>
            <w:tcW w:w="300" w:type="pct"/>
            <w:tcBorders>
              <w:top w:val="nil"/>
              <w:left w:val="nil"/>
              <w:bottom w:val="nil"/>
              <w:right w:val="nil"/>
            </w:tcBorders>
            <w:shd w:val="clear" w:color="auto" w:fill="auto"/>
            <w:noWrap/>
            <w:vAlign w:val="bottom"/>
            <w:hideMark/>
          </w:tcPr>
          <w:p w14:paraId="2613D3B1"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619</w:t>
            </w:r>
          </w:p>
        </w:tc>
        <w:tc>
          <w:tcPr>
            <w:tcW w:w="388" w:type="pct"/>
            <w:tcBorders>
              <w:top w:val="nil"/>
              <w:left w:val="nil"/>
              <w:bottom w:val="nil"/>
              <w:right w:val="single" w:sz="4" w:space="0" w:color="auto"/>
            </w:tcBorders>
            <w:shd w:val="clear" w:color="auto" w:fill="auto"/>
            <w:noWrap/>
            <w:vAlign w:val="bottom"/>
            <w:hideMark/>
          </w:tcPr>
          <w:p w14:paraId="61AD051D"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947</w:t>
            </w:r>
          </w:p>
        </w:tc>
        <w:tc>
          <w:tcPr>
            <w:tcW w:w="387" w:type="pct"/>
            <w:tcBorders>
              <w:top w:val="nil"/>
              <w:left w:val="nil"/>
              <w:bottom w:val="nil"/>
              <w:right w:val="nil"/>
            </w:tcBorders>
            <w:shd w:val="clear" w:color="auto" w:fill="auto"/>
            <w:noWrap/>
            <w:vAlign w:val="bottom"/>
            <w:hideMark/>
          </w:tcPr>
          <w:p w14:paraId="45AA253E"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1310</w:t>
            </w:r>
          </w:p>
        </w:tc>
        <w:tc>
          <w:tcPr>
            <w:tcW w:w="389" w:type="pct"/>
            <w:tcBorders>
              <w:top w:val="nil"/>
              <w:left w:val="nil"/>
              <w:bottom w:val="nil"/>
              <w:right w:val="single" w:sz="4" w:space="0" w:color="auto"/>
            </w:tcBorders>
            <w:shd w:val="clear" w:color="auto" w:fill="auto"/>
            <w:noWrap/>
            <w:vAlign w:val="bottom"/>
            <w:hideMark/>
          </w:tcPr>
          <w:p w14:paraId="2B639118"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1460</w:t>
            </w:r>
          </w:p>
        </w:tc>
        <w:tc>
          <w:tcPr>
            <w:tcW w:w="338" w:type="pct"/>
            <w:tcBorders>
              <w:top w:val="nil"/>
              <w:left w:val="nil"/>
              <w:bottom w:val="nil"/>
              <w:right w:val="nil"/>
            </w:tcBorders>
            <w:shd w:val="clear" w:color="auto" w:fill="auto"/>
            <w:noWrap/>
            <w:vAlign w:val="bottom"/>
            <w:hideMark/>
          </w:tcPr>
          <w:p w14:paraId="25C209D5"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427</w:t>
            </w:r>
          </w:p>
        </w:tc>
        <w:tc>
          <w:tcPr>
            <w:tcW w:w="339" w:type="pct"/>
            <w:tcBorders>
              <w:top w:val="nil"/>
              <w:left w:val="nil"/>
              <w:bottom w:val="nil"/>
              <w:right w:val="single" w:sz="4" w:space="0" w:color="auto"/>
            </w:tcBorders>
            <w:shd w:val="clear" w:color="auto" w:fill="auto"/>
            <w:noWrap/>
            <w:vAlign w:val="bottom"/>
            <w:hideMark/>
          </w:tcPr>
          <w:p w14:paraId="1FFFE821"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732</w:t>
            </w:r>
          </w:p>
        </w:tc>
        <w:tc>
          <w:tcPr>
            <w:tcW w:w="443" w:type="pct"/>
            <w:tcBorders>
              <w:top w:val="nil"/>
              <w:left w:val="nil"/>
              <w:bottom w:val="nil"/>
              <w:right w:val="nil"/>
            </w:tcBorders>
            <w:shd w:val="clear" w:color="auto" w:fill="auto"/>
            <w:noWrap/>
            <w:vAlign w:val="bottom"/>
            <w:hideMark/>
          </w:tcPr>
          <w:p w14:paraId="3778F2DC"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563</w:t>
            </w:r>
          </w:p>
        </w:tc>
        <w:tc>
          <w:tcPr>
            <w:tcW w:w="343" w:type="pct"/>
            <w:tcBorders>
              <w:top w:val="nil"/>
              <w:left w:val="nil"/>
              <w:bottom w:val="nil"/>
              <w:right w:val="nil"/>
            </w:tcBorders>
            <w:shd w:val="clear" w:color="auto" w:fill="auto"/>
            <w:noWrap/>
            <w:vAlign w:val="bottom"/>
            <w:hideMark/>
          </w:tcPr>
          <w:p w14:paraId="3609B697"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742</w:t>
            </w:r>
          </w:p>
        </w:tc>
      </w:tr>
      <w:tr w:rsidR="000E67F1" w:rsidRPr="00E256BA" w14:paraId="07E57D5C" w14:textId="77777777" w:rsidTr="00F34034">
        <w:trPr>
          <w:trHeight w:val="350"/>
        </w:trPr>
        <w:tc>
          <w:tcPr>
            <w:tcW w:w="613" w:type="pct"/>
            <w:tcBorders>
              <w:top w:val="nil"/>
              <w:left w:val="nil"/>
              <w:bottom w:val="nil"/>
              <w:right w:val="single" w:sz="4" w:space="0" w:color="auto"/>
            </w:tcBorders>
            <w:shd w:val="clear" w:color="auto" w:fill="auto"/>
            <w:noWrap/>
            <w:vAlign w:val="bottom"/>
            <w:hideMark/>
          </w:tcPr>
          <w:p w14:paraId="1F9A6587" w14:textId="77777777" w:rsidR="00E256BA" w:rsidRPr="00E256BA" w:rsidRDefault="00E256BA" w:rsidP="000E67F1">
            <w:pPr>
              <w:spacing w:line="360" w:lineRule="auto"/>
              <w:rPr>
                <w:rFonts w:ascii="Times New Roman" w:hAnsi="Times New Roman" w:cs="Times New Roman"/>
                <w:b/>
                <w:bCs/>
                <w:color w:val="000000"/>
              </w:rPr>
            </w:pPr>
            <w:r w:rsidRPr="00E256BA">
              <w:rPr>
                <w:rFonts w:ascii="Times New Roman" w:hAnsi="Times New Roman" w:cs="Times New Roman"/>
                <w:b/>
                <w:bCs/>
                <w:color w:val="000000"/>
              </w:rPr>
              <w:t>Tack</w:t>
            </w:r>
          </w:p>
        </w:tc>
        <w:tc>
          <w:tcPr>
            <w:tcW w:w="364" w:type="pct"/>
            <w:tcBorders>
              <w:top w:val="nil"/>
              <w:left w:val="nil"/>
              <w:bottom w:val="nil"/>
              <w:right w:val="nil"/>
            </w:tcBorders>
            <w:shd w:val="clear" w:color="auto" w:fill="auto"/>
            <w:noWrap/>
            <w:vAlign w:val="bottom"/>
            <w:hideMark/>
          </w:tcPr>
          <w:p w14:paraId="0135A06C"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300</w:t>
            </w:r>
          </w:p>
        </w:tc>
        <w:tc>
          <w:tcPr>
            <w:tcW w:w="365" w:type="pct"/>
            <w:tcBorders>
              <w:top w:val="nil"/>
              <w:left w:val="nil"/>
              <w:bottom w:val="nil"/>
              <w:right w:val="single" w:sz="4" w:space="0" w:color="auto"/>
            </w:tcBorders>
            <w:shd w:val="clear" w:color="auto" w:fill="auto"/>
            <w:noWrap/>
            <w:vAlign w:val="bottom"/>
            <w:hideMark/>
          </w:tcPr>
          <w:p w14:paraId="01580171"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253</w:t>
            </w:r>
          </w:p>
        </w:tc>
        <w:tc>
          <w:tcPr>
            <w:tcW w:w="364" w:type="pct"/>
            <w:tcBorders>
              <w:top w:val="nil"/>
              <w:left w:val="nil"/>
              <w:bottom w:val="nil"/>
              <w:right w:val="nil"/>
            </w:tcBorders>
            <w:shd w:val="clear" w:color="auto" w:fill="auto"/>
            <w:noWrap/>
            <w:vAlign w:val="bottom"/>
            <w:hideMark/>
          </w:tcPr>
          <w:p w14:paraId="283BF3FE"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720</w:t>
            </w:r>
          </w:p>
        </w:tc>
        <w:tc>
          <w:tcPr>
            <w:tcW w:w="366" w:type="pct"/>
            <w:tcBorders>
              <w:top w:val="nil"/>
              <w:left w:val="nil"/>
              <w:bottom w:val="nil"/>
              <w:right w:val="single" w:sz="4" w:space="0" w:color="auto"/>
            </w:tcBorders>
            <w:shd w:val="clear" w:color="auto" w:fill="auto"/>
            <w:noWrap/>
            <w:vAlign w:val="bottom"/>
            <w:hideMark/>
          </w:tcPr>
          <w:p w14:paraId="1F0C0F22"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459</w:t>
            </w:r>
          </w:p>
        </w:tc>
        <w:tc>
          <w:tcPr>
            <w:tcW w:w="300" w:type="pct"/>
            <w:tcBorders>
              <w:top w:val="nil"/>
              <w:left w:val="nil"/>
              <w:bottom w:val="nil"/>
              <w:right w:val="nil"/>
            </w:tcBorders>
            <w:shd w:val="clear" w:color="auto" w:fill="auto"/>
            <w:noWrap/>
            <w:vAlign w:val="bottom"/>
            <w:hideMark/>
          </w:tcPr>
          <w:p w14:paraId="2CAD4ADB"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478</w:t>
            </w:r>
          </w:p>
        </w:tc>
        <w:tc>
          <w:tcPr>
            <w:tcW w:w="388" w:type="pct"/>
            <w:tcBorders>
              <w:top w:val="nil"/>
              <w:left w:val="nil"/>
              <w:bottom w:val="nil"/>
              <w:right w:val="single" w:sz="4" w:space="0" w:color="auto"/>
            </w:tcBorders>
            <w:shd w:val="clear" w:color="auto" w:fill="auto"/>
            <w:noWrap/>
            <w:vAlign w:val="bottom"/>
            <w:hideMark/>
          </w:tcPr>
          <w:p w14:paraId="0F1D77EF"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653</w:t>
            </w:r>
          </w:p>
        </w:tc>
        <w:tc>
          <w:tcPr>
            <w:tcW w:w="387" w:type="pct"/>
            <w:tcBorders>
              <w:top w:val="nil"/>
              <w:left w:val="nil"/>
              <w:bottom w:val="nil"/>
              <w:right w:val="nil"/>
            </w:tcBorders>
            <w:shd w:val="clear" w:color="auto" w:fill="auto"/>
            <w:noWrap/>
            <w:vAlign w:val="bottom"/>
            <w:hideMark/>
          </w:tcPr>
          <w:p w14:paraId="788EC8C6"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906</w:t>
            </w:r>
          </w:p>
        </w:tc>
        <w:tc>
          <w:tcPr>
            <w:tcW w:w="389" w:type="pct"/>
            <w:tcBorders>
              <w:top w:val="nil"/>
              <w:left w:val="nil"/>
              <w:bottom w:val="nil"/>
              <w:right w:val="single" w:sz="4" w:space="0" w:color="auto"/>
            </w:tcBorders>
            <w:shd w:val="clear" w:color="auto" w:fill="auto"/>
            <w:noWrap/>
            <w:vAlign w:val="bottom"/>
            <w:hideMark/>
          </w:tcPr>
          <w:p w14:paraId="18B95E4A"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1092</w:t>
            </w:r>
          </w:p>
        </w:tc>
        <w:tc>
          <w:tcPr>
            <w:tcW w:w="338" w:type="pct"/>
            <w:tcBorders>
              <w:top w:val="nil"/>
              <w:left w:val="nil"/>
              <w:bottom w:val="nil"/>
              <w:right w:val="nil"/>
            </w:tcBorders>
            <w:shd w:val="clear" w:color="auto" w:fill="auto"/>
            <w:noWrap/>
            <w:vAlign w:val="bottom"/>
            <w:hideMark/>
          </w:tcPr>
          <w:p w14:paraId="1A62EC9D"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309</w:t>
            </w:r>
          </w:p>
        </w:tc>
        <w:tc>
          <w:tcPr>
            <w:tcW w:w="339" w:type="pct"/>
            <w:tcBorders>
              <w:top w:val="nil"/>
              <w:left w:val="nil"/>
              <w:bottom w:val="nil"/>
              <w:right w:val="single" w:sz="4" w:space="0" w:color="auto"/>
            </w:tcBorders>
            <w:shd w:val="clear" w:color="auto" w:fill="auto"/>
            <w:noWrap/>
            <w:vAlign w:val="bottom"/>
            <w:hideMark/>
          </w:tcPr>
          <w:p w14:paraId="601C118F"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340</w:t>
            </w:r>
          </w:p>
        </w:tc>
        <w:tc>
          <w:tcPr>
            <w:tcW w:w="443" w:type="pct"/>
            <w:tcBorders>
              <w:top w:val="nil"/>
              <w:left w:val="nil"/>
              <w:bottom w:val="nil"/>
              <w:right w:val="nil"/>
            </w:tcBorders>
            <w:shd w:val="clear" w:color="auto" w:fill="auto"/>
            <w:noWrap/>
            <w:vAlign w:val="bottom"/>
            <w:hideMark/>
          </w:tcPr>
          <w:p w14:paraId="2FDA8294"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343</w:t>
            </w:r>
          </w:p>
        </w:tc>
        <w:tc>
          <w:tcPr>
            <w:tcW w:w="343" w:type="pct"/>
            <w:tcBorders>
              <w:top w:val="nil"/>
              <w:left w:val="nil"/>
              <w:bottom w:val="nil"/>
              <w:right w:val="nil"/>
            </w:tcBorders>
            <w:shd w:val="clear" w:color="auto" w:fill="auto"/>
            <w:noWrap/>
            <w:vAlign w:val="bottom"/>
            <w:hideMark/>
          </w:tcPr>
          <w:p w14:paraId="6CD02342" w14:textId="77777777" w:rsidR="00E256BA" w:rsidRPr="00E256BA" w:rsidRDefault="00E256BA" w:rsidP="000E67F1">
            <w:pPr>
              <w:spacing w:line="360" w:lineRule="auto"/>
              <w:jc w:val="right"/>
              <w:rPr>
                <w:rFonts w:ascii="Times New Roman" w:hAnsi="Times New Roman" w:cs="Times New Roman"/>
                <w:color w:val="000000"/>
              </w:rPr>
            </w:pPr>
            <w:r w:rsidRPr="00E256BA">
              <w:rPr>
                <w:rFonts w:ascii="Times New Roman" w:hAnsi="Times New Roman" w:cs="Times New Roman"/>
                <w:color w:val="000000"/>
              </w:rPr>
              <w:t>394</w:t>
            </w:r>
          </w:p>
        </w:tc>
      </w:tr>
    </w:tbl>
    <w:p w14:paraId="0C388687" w14:textId="77777777" w:rsidR="008D5CD6" w:rsidRPr="00AA7CD5" w:rsidRDefault="008D5CD6" w:rsidP="008D5CD6">
      <w:pPr>
        <w:pStyle w:val="Caption"/>
        <w:spacing w:line="360" w:lineRule="auto"/>
        <w:rPr>
          <w:rFonts w:cs="Times New Roman"/>
        </w:rPr>
      </w:pPr>
      <w:bookmarkStart w:id="82" w:name="_Toc151459314"/>
      <w:r w:rsidRPr="00FE2ED6">
        <w:rPr>
          <w:rFonts w:cs="Times New Roman"/>
        </w:rPr>
        <w:t xml:space="preserve">Table </w:t>
      </w:r>
      <w:r w:rsidRPr="00FE2ED6">
        <w:rPr>
          <w:rFonts w:cs="Times New Roman"/>
        </w:rPr>
        <w:fldChar w:fldCharType="begin"/>
      </w:r>
      <w:r w:rsidRPr="00FE2ED6">
        <w:rPr>
          <w:rFonts w:cs="Times New Roman"/>
        </w:rPr>
        <w:instrText xml:space="preserve"> SEQ Table \* ARABIC </w:instrText>
      </w:r>
      <w:r w:rsidRPr="00FE2ED6">
        <w:rPr>
          <w:rFonts w:cs="Times New Roman"/>
        </w:rPr>
        <w:fldChar w:fldCharType="separate"/>
      </w:r>
      <w:r>
        <w:rPr>
          <w:rFonts w:cs="Times New Roman"/>
          <w:noProof/>
        </w:rPr>
        <w:t>6</w:t>
      </w:r>
      <w:r w:rsidRPr="00FE2ED6">
        <w:rPr>
          <w:rFonts w:cs="Times New Roman"/>
        </w:rPr>
        <w:fldChar w:fldCharType="end"/>
      </w:r>
      <w:r w:rsidRPr="00FE2ED6">
        <w:rPr>
          <w:rFonts w:cs="Times New Roman"/>
        </w:rPr>
        <w:t>.</w:t>
      </w:r>
      <w:r>
        <w:t xml:space="preserve"> </w:t>
      </w:r>
      <w:r>
        <w:rPr>
          <w:rFonts w:cs="Times New Roman"/>
        </w:rPr>
        <w:t>Number of correct (1) and incorrect (0) responses</w:t>
      </w:r>
      <w:r w:rsidRPr="000C383A">
        <w:rPr>
          <w:rFonts w:cs="Times New Roman"/>
        </w:rPr>
        <w:t xml:space="preserve"> across all years, categories, and age divisions</w:t>
      </w:r>
      <w:bookmarkEnd w:id="82"/>
    </w:p>
    <w:p w14:paraId="5CDC03B4" w14:textId="77777777" w:rsidR="008D5CD6" w:rsidRDefault="008D5CD6">
      <w:pPr>
        <w:rPr>
          <w:rFonts w:ascii="Times New Roman" w:hAnsi="Times New Roman" w:cs="Times New Roman"/>
          <w:b/>
          <w:bCs/>
        </w:rPr>
      </w:pPr>
      <w:r>
        <w:rPr>
          <w:rFonts w:cs="Times New Roman"/>
        </w:rPr>
        <w:br w:type="page"/>
      </w:r>
    </w:p>
    <w:tbl>
      <w:tblPr>
        <w:tblpPr w:leftFromText="180" w:rightFromText="180" w:vertAnchor="page" w:horzAnchor="margin" w:tblpXSpec="center" w:tblpY="1977"/>
        <w:tblW w:w="5000" w:type="pct"/>
        <w:tblCellMar>
          <w:left w:w="30" w:type="dxa"/>
          <w:right w:w="30" w:type="dxa"/>
        </w:tblCellMar>
        <w:tblLook w:val="0000" w:firstRow="0" w:lastRow="0" w:firstColumn="0" w:lastColumn="0" w:noHBand="0" w:noVBand="0"/>
      </w:tblPr>
      <w:tblGrid>
        <w:gridCol w:w="2340"/>
        <w:gridCol w:w="2340"/>
        <w:gridCol w:w="2340"/>
        <w:gridCol w:w="2340"/>
      </w:tblGrid>
      <w:tr w:rsidR="008D5CD6" w:rsidRPr="00647CCC" w14:paraId="3FA5989B" w14:textId="77777777" w:rsidTr="00F34034">
        <w:trPr>
          <w:trHeight w:val="328"/>
        </w:trPr>
        <w:tc>
          <w:tcPr>
            <w:tcW w:w="1250" w:type="pct"/>
            <w:tcBorders>
              <w:top w:val="nil"/>
              <w:left w:val="nil"/>
              <w:bottom w:val="single" w:sz="6" w:space="0" w:color="auto"/>
              <w:right w:val="single" w:sz="6" w:space="0" w:color="auto"/>
            </w:tcBorders>
          </w:tcPr>
          <w:p w14:paraId="0C863CEE" w14:textId="77777777" w:rsidR="008D5CD6" w:rsidRPr="00647CCC" w:rsidRDefault="008D5CD6" w:rsidP="00647CCC">
            <w:pPr>
              <w:autoSpaceDE w:val="0"/>
              <w:autoSpaceDN w:val="0"/>
              <w:adjustRightInd w:val="0"/>
              <w:spacing w:line="360" w:lineRule="auto"/>
              <w:jc w:val="center"/>
              <w:rPr>
                <w:rFonts w:ascii="Times New Roman" w:hAnsi="Times New Roman" w:cs="Times New Roman"/>
                <w:b/>
                <w:bCs/>
                <w:color w:val="000000"/>
              </w:rPr>
            </w:pPr>
            <w:r w:rsidRPr="00647CCC">
              <w:rPr>
                <w:rFonts w:ascii="Times New Roman" w:hAnsi="Times New Roman" w:cs="Times New Roman"/>
                <w:b/>
                <w:bCs/>
                <w:color w:val="000000"/>
              </w:rPr>
              <w:lastRenderedPageBreak/>
              <w:t>Category 1</w:t>
            </w:r>
          </w:p>
        </w:tc>
        <w:tc>
          <w:tcPr>
            <w:tcW w:w="1250" w:type="pct"/>
            <w:tcBorders>
              <w:top w:val="nil"/>
              <w:left w:val="single" w:sz="6" w:space="0" w:color="auto"/>
              <w:bottom w:val="single" w:sz="6" w:space="0" w:color="auto"/>
              <w:right w:val="single" w:sz="6" w:space="0" w:color="auto"/>
            </w:tcBorders>
          </w:tcPr>
          <w:p w14:paraId="14DC224C" w14:textId="77777777" w:rsidR="008D5CD6" w:rsidRPr="00647CCC" w:rsidRDefault="008D5CD6" w:rsidP="00647CCC">
            <w:pPr>
              <w:autoSpaceDE w:val="0"/>
              <w:autoSpaceDN w:val="0"/>
              <w:adjustRightInd w:val="0"/>
              <w:spacing w:line="360" w:lineRule="auto"/>
              <w:jc w:val="center"/>
              <w:rPr>
                <w:rFonts w:ascii="Times New Roman" w:hAnsi="Times New Roman" w:cs="Times New Roman"/>
                <w:b/>
                <w:bCs/>
                <w:color w:val="000000"/>
              </w:rPr>
            </w:pPr>
            <w:r w:rsidRPr="00647CCC">
              <w:rPr>
                <w:rFonts w:ascii="Times New Roman" w:hAnsi="Times New Roman" w:cs="Times New Roman"/>
                <w:b/>
                <w:bCs/>
                <w:color w:val="000000"/>
              </w:rPr>
              <w:t>Category 2</w:t>
            </w:r>
          </w:p>
        </w:tc>
        <w:tc>
          <w:tcPr>
            <w:tcW w:w="1250" w:type="pct"/>
            <w:tcBorders>
              <w:top w:val="nil"/>
              <w:left w:val="single" w:sz="6" w:space="0" w:color="auto"/>
              <w:bottom w:val="single" w:sz="6" w:space="0" w:color="auto"/>
              <w:right w:val="single" w:sz="6" w:space="0" w:color="auto"/>
            </w:tcBorders>
          </w:tcPr>
          <w:p w14:paraId="5C1C7B0D" w14:textId="77777777" w:rsidR="008D5CD6" w:rsidRPr="00647CCC" w:rsidRDefault="008D5CD6" w:rsidP="00647CCC">
            <w:pPr>
              <w:autoSpaceDE w:val="0"/>
              <w:autoSpaceDN w:val="0"/>
              <w:adjustRightInd w:val="0"/>
              <w:spacing w:line="360" w:lineRule="auto"/>
              <w:jc w:val="center"/>
              <w:rPr>
                <w:rFonts w:ascii="Times New Roman" w:hAnsi="Times New Roman" w:cs="Times New Roman"/>
                <w:b/>
                <w:bCs/>
                <w:color w:val="000000"/>
              </w:rPr>
            </w:pPr>
            <w:r w:rsidRPr="00647CCC">
              <w:rPr>
                <w:rFonts w:ascii="Times New Roman" w:hAnsi="Times New Roman" w:cs="Times New Roman"/>
                <w:b/>
                <w:bCs/>
                <w:color w:val="000000"/>
              </w:rPr>
              <w:t>P Value</w:t>
            </w:r>
          </w:p>
        </w:tc>
        <w:tc>
          <w:tcPr>
            <w:tcW w:w="1250" w:type="pct"/>
            <w:tcBorders>
              <w:top w:val="nil"/>
              <w:left w:val="nil"/>
              <w:bottom w:val="single" w:sz="6" w:space="0" w:color="auto"/>
              <w:right w:val="nil"/>
            </w:tcBorders>
          </w:tcPr>
          <w:p w14:paraId="4BA97977" w14:textId="77777777" w:rsidR="008D5CD6" w:rsidRPr="00647CCC" w:rsidRDefault="008D5CD6" w:rsidP="00647CCC">
            <w:pPr>
              <w:autoSpaceDE w:val="0"/>
              <w:autoSpaceDN w:val="0"/>
              <w:adjustRightInd w:val="0"/>
              <w:spacing w:line="360" w:lineRule="auto"/>
              <w:jc w:val="center"/>
              <w:rPr>
                <w:rFonts w:ascii="Times New Roman" w:hAnsi="Times New Roman" w:cs="Times New Roman"/>
                <w:b/>
                <w:bCs/>
                <w:color w:val="000000"/>
              </w:rPr>
            </w:pPr>
            <w:r w:rsidRPr="00647CCC">
              <w:rPr>
                <w:rFonts w:ascii="Times New Roman" w:hAnsi="Times New Roman" w:cs="Times New Roman"/>
                <w:b/>
                <w:bCs/>
                <w:color w:val="000000"/>
              </w:rPr>
              <w:t>Odds Ratio</w:t>
            </w:r>
          </w:p>
        </w:tc>
      </w:tr>
      <w:tr w:rsidR="008D5CD6" w:rsidRPr="00647CCC" w14:paraId="3F52F4DB" w14:textId="77777777" w:rsidTr="00F34034">
        <w:trPr>
          <w:trHeight w:val="328"/>
        </w:trPr>
        <w:tc>
          <w:tcPr>
            <w:tcW w:w="1250" w:type="pct"/>
            <w:tcBorders>
              <w:top w:val="nil"/>
              <w:left w:val="nil"/>
              <w:bottom w:val="nil"/>
              <w:right w:val="nil"/>
            </w:tcBorders>
          </w:tcPr>
          <w:p w14:paraId="4EDC4BFF"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Breed</w:t>
            </w:r>
          </w:p>
        </w:tc>
        <w:tc>
          <w:tcPr>
            <w:tcW w:w="1250" w:type="pct"/>
            <w:tcBorders>
              <w:top w:val="nil"/>
              <w:left w:val="nil"/>
              <w:bottom w:val="nil"/>
              <w:right w:val="nil"/>
            </w:tcBorders>
          </w:tcPr>
          <w:p w14:paraId="745C5FBB"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Health</w:t>
            </w:r>
          </w:p>
        </w:tc>
        <w:tc>
          <w:tcPr>
            <w:tcW w:w="1250" w:type="pct"/>
            <w:tcBorders>
              <w:top w:val="nil"/>
              <w:left w:val="nil"/>
              <w:bottom w:val="nil"/>
              <w:right w:val="nil"/>
            </w:tcBorders>
          </w:tcPr>
          <w:p w14:paraId="16D190EE"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0.0002</w:t>
            </w:r>
          </w:p>
        </w:tc>
        <w:tc>
          <w:tcPr>
            <w:tcW w:w="1250" w:type="pct"/>
            <w:tcBorders>
              <w:top w:val="nil"/>
              <w:left w:val="nil"/>
              <w:bottom w:val="nil"/>
              <w:right w:val="nil"/>
            </w:tcBorders>
          </w:tcPr>
          <w:p w14:paraId="00B1C804"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1.162</w:t>
            </w:r>
          </w:p>
        </w:tc>
      </w:tr>
      <w:tr w:rsidR="008D5CD6" w:rsidRPr="00647CCC" w14:paraId="6F479358" w14:textId="77777777" w:rsidTr="00F34034">
        <w:trPr>
          <w:trHeight w:val="328"/>
        </w:trPr>
        <w:tc>
          <w:tcPr>
            <w:tcW w:w="1250" w:type="pct"/>
            <w:tcBorders>
              <w:top w:val="nil"/>
              <w:left w:val="nil"/>
              <w:bottom w:val="nil"/>
              <w:right w:val="nil"/>
            </w:tcBorders>
          </w:tcPr>
          <w:p w14:paraId="6C884043"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Breed</w:t>
            </w:r>
          </w:p>
        </w:tc>
        <w:tc>
          <w:tcPr>
            <w:tcW w:w="1250" w:type="pct"/>
            <w:tcBorders>
              <w:top w:val="nil"/>
              <w:left w:val="nil"/>
              <w:bottom w:val="nil"/>
              <w:right w:val="nil"/>
            </w:tcBorders>
          </w:tcPr>
          <w:p w14:paraId="42163351"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Nutrition</w:t>
            </w:r>
          </w:p>
        </w:tc>
        <w:tc>
          <w:tcPr>
            <w:tcW w:w="1250" w:type="pct"/>
            <w:tcBorders>
              <w:top w:val="nil"/>
              <w:left w:val="nil"/>
              <w:bottom w:val="nil"/>
              <w:right w:val="nil"/>
            </w:tcBorders>
          </w:tcPr>
          <w:p w14:paraId="68BB7055"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&lt;.0001</w:t>
            </w:r>
          </w:p>
        </w:tc>
        <w:tc>
          <w:tcPr>
            <w:tcW w:w="1250" w:type="pct"/>
            <w:tcBorders>
              <w:top w:val="nil"/>
              <w:left w:val="nil"/>
              <w:bottom w:val="nil"/>
              <w:right w:val="nil"/>
            </w:tcBorders>
          </w:tcPr>
          <w:p w14:paraId="79D158C6"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1.202</w:t>
            </w:r>
          </w:p>
        </w:tc>
      </w:tr>
      <w:tr w:rsidR="008D5CD6" w:rsidRPr="00647CCC" w14:paraId="60C67D02" w14:textId="77777777" w:rsidTr="00F34034">
        <w:trPr>
          <w:trHeight w:val="328"/>
        </w:trPr>
        <w:tc>
          <w:tcPr>
            <w:tcW w:w="1250" w:type="pct"/>
            <w:tcBorders>
              <w:top w:val="nil"/>
              <w:left w:val="nil"/>
              <w:bottom w:val="nil"/>
              <w:right w:val="nil"/>
            </w:tcBorders>
          </w:tcPr>
          <w:p w14:paraId="27EC9B12"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Breed</w:t>
            </w:r>
          </w:p>
        </w:tc>
        <w:tc>
          <w:tcPr>
            <w:tcW w:w="1250" w:type="pct"/>
            <w:tcBorders>
              <w:top w:val="nil"/>
              <w:left w:val="nil"/>
              <w:bottom w:val="nil"/>
              <w:right w:val="nil"/>
            </w:tcBorders>
          </w:tcPr>
          <w:p w14:paraId="3B05BE02"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Selection</w:t>
            </w:r>
          </w:p>
        </w:tc>
        <w:tc>
          <w:tcPr>
            <w:tcW w:w="1250" w:type="pct"/>
            <w:tcBorders>
              <w:top w:val="nil"/>
              <w:left w:val="nil"/>
              <w:bottom w:val="nil"/>
              <w:right w:val="nil"/>
            </w:tcBorders>
          </w:tcPr>
          <w:p w14:paraId="66571C9B"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0.3258</w:t>
            </w:r>
          </w:p>
        </w:tc>
        <w:tc>
          <w:tcPr>
            <w:tcW w:w="1250" w:type="pct"/>
            <w:tcBorders>
              <w:top w:val="nil"/>
              <w:left w:val="nil"/>
              <w:bottom w:val="nil"/>
              <w:right w:val="nil"/>
            </w:tcBorders>
          </w:tcPr>
          <w:p w14:paraId="36F143E5"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1.042</w:t>
            </w:r>
          </w:p>
        </w:tc>
      </w:tr>
      <w:tr w:rsidR="008D5CD6" w:rsidRPr="00647CCC" w14:paraId="334CB3AE" w14:textId="77777777" w:rsidTr="00F34034">
        <w:trPr>
          <w:trHeight w:val="328"/>
        </w:trPr>
        <w:tc>
          <w:tcPr>
            <w:tcW w:w="1250" w:type="pct"/>
            <w:tcBorders>
              <w:top w:val="nil"/>
              <w:left w:val="nil"/>
              <w:bottom w:val="nil"/>
              <w:right w:val="nil"/>
            </w:tcBorders>
          </w:tcPr>
          <w:p w14:paraId="39B6A73E"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Breed</w:t>
            </w:r>
          </w:p>
        </w:tc>
        <w:tc>
          <w:tcPr>
            <w:tcW w:w="1250" w:type="pct"/>
            <w:tcBorders>
              <w:top w:val="nil"/>
              <w:left w:val="nil"/>
              <w:bottom w:val="nil"/>
              <w:right w:val="nil"/>
            </w:tcBorders>
          </w:tcPr>
          <w:p w14:paraId="2F3AD67B"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Tack</w:t>
            </w:r>
          </w:p>
        </w:tc>
        <w:tc>
          <w:tcPr>
            <w:tcW w:w="1250" w:type="pct"/>
            <w:tcBorders>
              <w:top w:val="nil"/>
              <w:left w:val="nil"/>
              <w:bottom w:val="nil"/>
              <w:right w:val="nil"/>
            </w:tcBorders>
          </w:tcPr>
          <w:p w14:paraId="7F43082B"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&lt;.0001</w:t>
            </w:r>
          </w:p>
        </w:tc>
        <w:tc>
          <w:tcPr>
            <w:tcW w:w="1250" w:type="pct"/>
            <w:tcBorders>
              <w:top w:val="nil"/>
              <w:left w:val="nil"/>
              <w:bottom w:val="nil"/>
              <w:right w:val="nil"/>
            </w:tcBorders>
          </w:tcPr>
          <w:p w14:paraId="499D5182"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1.213</w:t>
            </w:r>
          </w:p>
        </w:tc>
      </w:tr>
      <w:tr w:rsidR="008D5CD6" w:rsidRPr="00647CCC" w14:paraId="25CBECB5" w14:textId="77777777" w:rsidTr="00F34034">
        <w:trPr>
          <w:trHeight w:val="328"/>
        </w:trPr>
        <w:tc>
          <w:tcPr>
            <w:tcW w:w="1250" w:type="pct"/>
            <w:tcBorders>
              <w:top w:val="nil"/>
              <w:left w:val="nil"/>
              <w:bottom w:val="nil"/>
              <w:right w:val="nil"/>
            </w:tcBorders>
          </w:tcPr>
          <w:p w14:paraId="2095F0AE"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Health</w:t>
            </w:r>
          </w:p>
        </w:tc>
        <w:tc>
          <w:tcPr>
            <w:tcW w:w="1250" w:type="pct"/>
            <w:tcBorders>
              <w:top w:val="nil"/>
              <w:left w:val="nil"/>
              <w:bottom w:val="nil"/>
              <w:right w:val="nil"/>
            </w:tcBorders>
          </w:tcPr>
          <w:p w14:paraId="333F0E37"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Nutrition</w:t>
            </w:r>
          </w:p>
        </w:tc>
        <w:tc>
          <w:tcPr>
            <w:tcW w:w="1250" w:type="pct"/>
            <w:tcBorders>
              <w:top w:val="nil"/>
              <w:left w:val="nil"/>
              <w:bottom w:val="nil"/>
              <w:right w:val="nil"/>
            </w:tcBorders>
          </w:tcPr>
          <w:p w14:paraId="15112701"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0.2539</w:t>
            </w:r>
          </w:p>
        </w:tc>
        <w:tc>
          <w:tcPr>
            <w:tcW w:w="1250" w:type="pct"/>
            <w:tcBorders>
              <w:top w:val="nil"/>
              <w:left w:val="nil"/>
              <w:bottom w:val="nil"/>
              <w:right w:val="nil"/>
            </w:tcBorders>
          </w:tcPr>
          <w:p w14:paraId="4E120EBB"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1.035</w:t>
            </w:r>
          </w:p>
        </w:tc>
      </w:tr>
      <w:tr w:rsidR="008D5CD6" w:rsidRPr="00647CCC" w14:paraId="3DEA45A1" w14:textId="77777777" w:rsidTr="00F34034">
        <w:trPr>
          <w:trHeight w:val="328"/>
        </w:trPr>
        <w:tc>
          <w:tcPr>
            <w:tcW w:w="1250" w:type="pct"/>
            <w:tcBorders>
              <w:top w:val="nil"/>
              <w:left w:val="nil"/>
              <w:bottom w:val="nil"/>
              <w:right w:val="nil"/>
            </w:tcBorders>
          </w:tcPr>
          <w:p w14:paraId="1B44AE41"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Health</w:t>
            </w:r>
          </w:p>
        </w:tc>
        <w:tc>
          <w:tcPr>
            <w:tcW w:w="1250" w:type="pct"/>
            <w:tcBorders>
              <w:top w:val="nil"/>
              <w:left w:val="nil"/>
              <w:bottom w:val="nil"/>
              <w:right w:val="nil"/>
            </w:tcBorders>
          </w:tcPr>
          <w:p w14:paraId="34DDA691"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Selection</w:t>
            </w:r>
          </w:p>
        </w:tc>
        <w:tc>
          <w:tcPr>
            <w:tcW w:w="1250" w:type="pct"/>
            <w:tcBorders>
              <w:top w:val="nil"/>
              <w:left w:val="nil"/>
              <w:bottom w:val="nil"/>
              <w:right w:val="nil"/>
            </w:tcBorders>
          </w:tcPr>
          <w:p w14:paraId="364BCFEF"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0.0002</w:t>
            </w:r>
          </w:p>
        </w:tc>
        <w:tc>
          <w:tcPr>
            <w:tcW w:w="1250" w:type="pct"/>
            <w:tcBorders>
              <w:top w:val="nil"/>
              <w:left w:val="nil"/>
              <w:bottom w:val="nil"/>
              <w:right w:val="nil"/>
            </w:tcBorders>
          </w:tcPr>
          <w:p w14:paraId="1574D3B3"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0.896</w:t>
            </w:r>
          </w:p>
        </w:tc>
      </w:tr>
      <w:tr w:rsidR="008D5CD6" w:rsidRPr="00647CCC" w14:paraId="67E1104E" w14:textId="77777777" w:rsidTr="00F34034">
        <w:trPr>
          <w:trHeight w:val="328"/>
        </w:trPr>
        <w:tc>
          <w:tcPr>
            <w:tcW w:w="1250" w:type="pct"/>
            <w:tcBorders>
              <w:top w:val="nil"/>
              <w:left w:val="nil"/>
              <w:bottom w:val="nil"/>
              <w:right w:val="nil"/>
            </w:tcBorders>
          </w:tcPr>
          <w:p w14:paraId="5F7E15E4"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Health</w:t>
            </w:r>
          </w:p>
        </w:tc>
        <w:tc>
          <w:tcPr>
            <w:tcW w:w="1250" w:type="pct"/>
            <w:tcBorders>
              <w:top w:val="nil"/>
              <w:left w:val="nil"/>
              <w:bottom w:val="nil"/>
              <w:right w:val="nil"/>
            </w:tcBorders>
          </w:tcPr>
          <w:p w14:paraId="031AB4F5"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Tack</w:t>
            </w:r>
          </w:p>
        </w:tc>
        <w:tc>
          <w:tcPr>
            <w:tcW w:w="1250" w:type="pct"/>
            <w:tcBorders>
              <w:top w:val="nil"/>
              <w:left w:val="nil"/>
              <w:bottom w:val="nil"/>
              <w:right w:val="nil"/>
            </w:tcBorders>
          </w:tcPr>
          <w:p w14:paraId="329CC869"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0.1935</w:t>
            </w:r>
          </w:p>
        </w:tc>
        <w:tc>
          <w:tcPr>
            <w:tcW w:w="1250" w:type="pct"/>
            <w:tcBorders>
              <w:top w:val="nil"/>
              <w:left w:val="nil"/>
              <w:bottom w:val="nil"/>
              <w:right w:val="nil"/>
            </w:tcBorders>
          </w:tcPr>
          <w:p w14:paraId="43C140D5"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1.044</w:t>
            </w:r>
          </w:p>
        </w:tc>
      </w:tr>
      <w:tr w:rsidR="008D5CD6" w:rsidRPr="00647CCC" w14:paraId="67B19813" w14:textId="77777777" w:rsidTr="00F34034">
        <w:trPr>
          <w:trHeight w:val="328"/>
        </w:trPr>
        <w:tc>
          <w:tcPr>
            <w:tcW w:w="1250" w:type="pct"/>
            <w:tcBorders>
              <w:top w:val="nil"/>
              <w:left w:val="nil"/>
              <w:bottom w:val="nil"/>
              <w:right w:val="nil"/>
            </w:tcBorders>
          </w:tcPr>
          <w:p w14:paraId="403B73E0"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Nutrition</w:t>
            </w:r>
          </w:p>
        </w:tc>
        <w:tc>
          <w:tcPr>
            <w:tcW w:w="1250" w:type="pct"/>
            <w:tcBorders>
              <w:top w:val="nil"/>
              <w:left w:val="nil"/>
              <w:bottom w:val="nil"/>
              <w:right w:val="nil"/>
            </w:tcBorders>
          </w:tcPr>
          <w:p w14:paraId="43D935A9"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Selection</w:t>
            </w:r>
          </w:p>
        </w:tc>
        <w:tc>
          <w:tcPr>
            <w:tcW w:w="1250" w:type="pct"/>
            <w:tcBorders>
              <w:top w:val="nil"/>
              <w:left w:val="nil"/>
              <w:bottom w:val="nil"/>
              <w:right w:val="nil"/>
            </w:tcBorders>
          </w:tcPr>
          <w:p w14:paraId="7EEC73B3"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&lt;.0001</w:t>
            </w:r>
          </w:p>
        </w:tc>
        <w:tc>
          <w:tcPr>
            <w:tcW w:w="1250" w:type="pct"/>
            <w:tcBorders>
              <w:top w:val="nil"/>
              <w:left w:val="nil"/>
              <w:bottom w:val="nil"/>
              <w:right w:val="nil"/>
            </w:tcBorders>
          </w:tcPr>
          <w:p w14:paraId="501F9C07"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0.866</w:t>
            </w:r>
          </w:p>
        </w:tc>
      </w:tr>
      <w:tr w:rsidR="008D5CD6" w:rsidRPr="00647CCC" w14:paraId="23384E9F" w14:textId="77777777" w:rsidTr="00F34034">
        <w:trPr>
          <w:trHeight w:val="328"/>
        </w:trPr>
        <w:tc>
          <w:tcPr>
            <w:tcW w:w="1250" w:type="pct"/>
            <w:tcBorders>
              <w:top w:val="nil"/>
              <w:left w:val="nil"/>
              <w:bottom w:val="nil"/>
              <w:right w:val="nil"/>
            </w:tcBorders>
          </w:tcPr>
          <w:p w14:paraId="23240172"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Nutrition</w:t>
            </w:r>
          </w:p>
        </w:tc>
        <w:tc>
          <w:tcPr>
            <w:tcW w:w="1250" w:type="pct"/>
            <w:tcBorders>
              <w:top w:val="nil"/>
              <w:left w:val="nil"/>
              <w:bottom w:val="nil"/>
              <w:right w:val="nil"/>
            </w:tcBorders>
          </w:tcPr>
          <w:p w14:paraId="37584583"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Tack</w:t>
            </w:r>
          </w:p>
        </w:tc>
        <w:tc>
          <w:tcPr>
            <w:tcW w:w="1250" w:type="pct"/>
            <w:tcBorders>
              <w:top w:val="nil"/>
              <w:left w:val="nil"/>
              <w:bottom w:val="nil"/>
              <w:right w:val="nil"/>
            </w:tcBorders>
          </w:tcPr>
          <w:p w14:paraId="506F76EC"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0.8005</w:t>
            </w:r>
          </w:p>
        </w:tc>
        <w:tc>
          <w:tcPr>
            <w:tcW w:w="1250" w:type="pct"/>
            <w:tcBorders>
              <w:top w:val="nil"/>
              <w:left w:val="nil"/>
              <w:bottom w:val="nil"/>
              <w:right w:val="nil"/>
            </w:tcBorders>
          </w:tcPr>
          <w:p w14:paraId="5F322EBF"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1.009</w:t>
            </w:r>
          </w:p>
        </w:tc>
      </w:tr>
      <w:tr w:rsidR="008D5CD6" w:rsidRPr="00647CCC" w14:paraId="0DD9C7A7" w14:textId="77777777" w:rsidTr="00F34034">
        <w:trPr>
          <w:trHeight w:val="328"/>
        </w:trPr>
        <w:tc>
          <w:tcPr>
            <w:tcW w:w="1250" w:type="pct"/>
            <w:tcBorders>
              <w:top w:val="nil"/>
              <w:left w:val="nil"/>
              <w:bottom w:val="nil"/>
              <w:right w:val="nil"/>
            </w:tcBorders>
          </w:tcPr>
          <w:p w14:paraId="422CFF8E"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Selection</w:t>
            </w:r>
          </w:p>
        </w:tc>
        <w:tc>
          <w:tcPr>
            <w:tcW w:w="1250" w:type="pct"/>
            <w:tcBorders>
              <w:top w:val="nil"/>
              <w:left w:val="nil"/>
              <w:bottom w:val="nil"/>
              <w:right w:val="nil"/>
            </w:tcBorders>
          </w:tcPr>
          <w:p w14:paraId="5354C39A"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Tack</w:t>
            </w:r>
          </w:p>
        </w:tc>
        <w:tc>
          <w:tcPr>
            <w:tcW w:w="1250" w:type="pct"/>
            <w:tcBorders>
              <w:top w:val="nil"/>
              <w:left w:val="nil"/>
              <w:bottom w:val="nil"/>
              <w:right w:val="nil"/>
            </w:tcBorders>
          </w:tcPr>
          <w:p w14:paraId="75E0BCB0"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&lt;.0001</w:t>
            </w:r>
          </w:p>
        </w:tc>
        <w:tc>
          <w:tcPr>
            <w:tcW w:w="1250" w:type="pct"/>
            <w:tcBorders>
              <w:top w:val="nil"/>
              <w:left w:val="nil"/>
              <w:bottom w:val="nil"/>
              <w:right w:val="nil"/>
            </w:tcBorders>
          </w:tcPr>
          <w:p w14:paraId="49B3B2A9" w14:textId="77777777" w:rsidR="008D5CD6" w:rsidRPr="00647CCC" w:rsidRDefault="008D5CD6" w:rsidP="00647CCC">
            <w:pPr>
              <w:autoSpaceDE w:val="0"/>
              <w:autoSpaceDN w:val="0"/>
              <w:adjustRightInd w:val="0"/>
              <w:spacing w:line="360" w:lineRule="auto"/>
              <w:jc w:val="center"/>
              <w:rPr>
                <w:rFonts w:ascii="Times New Roman" w:hAnsi="Times New Roman" w:cs="Times New Roman"/>
                <w:color w:val="000000"/>
              </w:rPr>
            </w:pPr>
            <w:r w:rsidRPr="00647CCC">
              <w:rPr>
                <w:rFonts w:ascii="Times New Roman" w:hAnsi="Times New Roman" w:cs="Times New Roman"/>
                <w:color w:val="000000"/>
              </w:rPr>
              <w:t>1.164</w:t>
            </w:r>
          </w:p>
        </w:tc>
      </w:tr>
    </w:tbl>
    <w:p w14:paraId="2AF144A2" w14:textId="6789FC81" w:rsidR="008D5CD6" w:rsidRPr="008D5CD6" w:rsidRDefault="008D5CD6" w:rsidP="008D5CD6">
      <w:pPr>
        <w:pStyle w:val="Caption"/>
        <w:spacing w:line="360" w:lineRule="auto"/>
        <w:rPr>
          <w:rFonts w:cs="Times New Roman"/>
        </w:rPr>
      </w:pPr>
      <w:bookmarkStart w:id="83" w:name="_Toc151459315"/>
      <w:r w:rsidRPr="00C82216">
        <w:rPr>
          <w:rFonts w:cs="Times New Roman"/>
        </w:rPr>
        <w:t xml:space="preserve">Table </w:t>
      </w:r>
      <w:r w:rsidRPr="00C82216">
        <w:rPr>
          <w:rFonts w:cs="Times New Roman"/>
        </w:rPr>
        <w:fldChar w:fldCharType="begin"/>
      </w:r>
      <w:r w:rsidRPr="00C82216">
        <w:rPr>
          <w:rFonts w:cs="Times New Roman"/>
        </w:rPr>
        <w:instrText xml:space="preserve"> SEQ Table \* ARABIC </w:instrText>
      </w:r>
      <w:r w:rsidRPr="00C82216">
        <w:rPr>
          <w:rFonts w:cs="Times New Roman"/>
        </w:rPr>
        <w:fldChar w:fldCharType="separate"/>
      </w:r>
      <w:r>
        <w:rPr>
          <w:rFonts w:cs="Times New Roman"/>
          <w:noProof/>
        </w:rPr>
        <w:t>7</w:t>
      </w:r>
      <w:r w:rsidRPr="00C82216">
        <w:rPr>
          <w:rFonts w:cs="Times New Roman"/>
          <w:noProof/>
        </w:rPr>
        <w:fldChar w:fldCharType="end"/>
      </w:r>
      <w:r w:rsidRPr="00C82216">
        <w:rPr>
          <w:rFonts w:cs="Times New Roman"/>
        </w:rPr>
        <w:t xml:space="preserve">. Comparison across question categories of likelihood to have a correct </w:t>
      </w:r>
      <w:r>
        <w:rPr>
          <w:rFonts w:cs="Times New Roman"/>
        </w:rPr>
        <w:t>answer</w:t>
      </w:r>
      <w:bookmarkEnd w:id="83"/>
      <w:r>
        <w:rPr>
          <w:rFonts w:cs="Times New Roman"/>
        </w:rPr>
        <w:br w:type="page"/>
      </w:r>
    </w:p>
    <w:tbl>
      <w:tblPr>
        <w:tblpPr w:leftFromText="180" w:rightFromText="180" w:vertAnchor="text" w:horzAnchor="margin" w:tblpXSpec="center" w:tblpY="705"/>
        <w:tblW w:w="5000" w:type="pct"/>
        <w:tblCellMar>
          <w:left w:w="30" w:type="dxa"/>
          <w:right w:w="30" w:type="dxa"/>
        </w:tblCellMar>
        <w:tblLook w:val="0000" w:firstRow="0" w:lastRow="0" w:firstColumn="0" w:lastColumn="0" w:noHBand="0" w:noVBand="0"/>
      </w:tblPr>
      <w:tblGrid>
        <w:gridCol w:w="2459"/>
        <w:gridCol w:w="2525"/>
        <w:gridCol w:w="2188"/>
        <w:gridCol w:w="2188"/>
      </w:tblGrid>
      <w:tr w:rsidR="00F442D7" w:rsidRPr="00F442D7" w14:paraId="33229BB4" w14:textId="77777777" w:rsidTr="00F34034">
        <w:trPr>
          <w:trHeight w:val="328"/>
        </w:trPr>
        <w:tc>
          <w:tcPr>
            <w:tcW w:w="1313" w:type="pct"/>
            <w:tcBorders>
              <w:top w:val="nil"/>
              <w:left w:val="nil"/>
              <w:bottom w:val="single" w:sz="6" w:space="0" w:color="auto"/>
              <w:right w:val="single" w:sz="6" w:space="0" w:color="auto"/>
            </w:tcBorders>
          </w:tcPr>
          <w:p w14:paraId="3B6FA7F0" w14:textId="77777777" w:rsidR="00F442D7" w:rsidRPr="00F442D7" w:rsidRDefault="00F442D7" w:rsidP="00F442D7">
            <w:pPr>
              <w:autoSpaceDE w:val="0"/>
              <w:autoSpaceDN w:val="0"/>
              <w:adjustRightInd w:val="0"/>
              <w:spacing w:line="360" w:lineRule="auto"/>
              <w:jc w:val="center"/>
              <w:rPr>
                <w:rFonts w:ascii="Times New Roman" w:hAnsi="Times New Roman" w:cs="Times New Roman"/>
                <w:b/>
                <w:bCs/>
                <w:color w:val="000000"/>
              </w:rPr>
            </w:pPr>
            <w:r w:rsidRPr="00F442D7">
              <w:rPr>
                <w:rFonts w:ascii="Times New Roman" w:hAnsi="Times New Roman" w:cs="Times New Roman"/>
                <w:b/>
                <w:bCs/>
                <w:color w:val="000000"/>
              </w:rPr>
              <w:lastRenderedPageBreak/>
              <w:t>Age Group 1</w:t>
            </w:r>
          </w:p>
        </w:tc>
        <w:tc>
          <w:tcPr>
            <w:tcW w:w="1349" w:type="pct"/>
            <w:tcBorders>
              <w:top w:val="nil"/>
              <w:left w:val="single" w:sz="6" w:space="0" w:color="auto"/>
              <w:bottom w:val="single" w:sz="6" w:space="0" w:color="auto"/>
              <w:right w:val="single" w:sz="6" w:space="0" w:color="auto"/>
            </w:tcBorders>
          </w:tcPr>
          <w:p w14:paraId="458A8073" w14:textId="77777777" w:rsidR="00F442D7" w:rsidRPr="00F442D7" w:rsidRDefault="00F442D7" w:rsidP="00F442D7">
            <w:pPr>
              <w:autoSpaceDE w:val="0"/>
              <w:autoSpaceDN w:val="0"/>
              <w:adjustRightInd w:val="0"/>
              <w:spacing w:line="360" w:lineRule="auto"/>
              <w:jc w:val="center"/>
              <w:rPr>
                <w:rFonts w:ascii="Times New Roman" w:hAnsi="Times New Roman" w:cs="Times New Roman"/>
                <w:b/>
                <w:bCs/>
                <w:color w:val="000000"/>
              </w:rPr>
            </w:pPr>
            <w:r w:rsidRPr="00F442D7">
              <w:rPr>
                <w:rFonts w:ascii="Times New Roman" w:hAnsi="Times New Roman" w:cs="Times New Roman"/>
                <w:b/>
                <w:bCs/>
                <w:color w:val="000000"/>
              </w:rPr>
              <w:t>Age Group 2</w:t>
            </w:r>
          </w:p>
        </w:tc>
        <w:tc>
          <w:tcPr>
            <w:tcW w:w="1169" w:type="pct"/>
            <w:tcBorders>
              <w:top w:val="nil"/>
              <w:left w:val="single" w:sz="6" w:space="0" w:color="auto"/>
              <w:bottom w:val="single" w:sz="6" w:space="0" w:color="auto"/>
              <w:right w:val="single" w:sz="6" w:space="0" w:color="auto"/>
            </w:tcBorders>
          </w:tcPr>
          <w:p w14:paraId="6D6E8295" w14:textId="77777777" w:rsidR="00F442D7" w:rsidRPr="00F442D7" w:rsidRDefault="00F442D7" w:rsidP="00F442D7">
            <w:pPr>
              <w:autoSpaceDE w:val="0"/>
              <w:autoSpaceDN w:val="0"/>
              <w:adjustRightInd w:val="0"/>
              <w:spacing w:line="360" w:lineRule="auto"/>
              <w:jc w:val="center"/>
              <w:rPr>
                <w:rFonts w:ascii="Times New Roman" w:hAnsi="Times New Roman" w:cs="Times New Roman"/>
                <w:b/>
                <w:bCs/>
                <w:color w:val="000000"/>
              </w:rPr>
            </w:pPr>
            <w:r w:rsidRPr="00F442D7">
              <w:rPr>
                <w:rFonts w:ascii="Times New Roman" w:hAnsi="Times New Roman" w:cs="Times New Roman"/>
                <w:b/>
                <w:bCs/>
                <w:color w:val="000000"/>
              </w:rPr>
              <w:t>P Value</w:t>
            </w:r>
          </w:p>
        </w:tc>
        <w:tc>
          <w:tcPr>
            <w:tcW w:w="1169" w:type="pct"/>
            <w:tcBorders>
              <w:top w:val="nil"/>
              <w:left w:val="nil"/>
              <w:bottom w:val="single" w:sz="6" w:space="0" w:color="auto"/>
              <w:right w:val="nil"/>
            </w:tcBorders>
          </w:tcPr>
          <w:p w14:paraId="439480EB" w14:textId="77777777" w:rsidR="00F442D7" w:rsidRPr="00F442D7" w:rsidRDefault="00F442D7" w:rsidP="00F442D7">
            <w:pPr>
              <w:autoSpaceDE w:val="0"/>
              <w:autoSpaceDN w:val="0"/>
              <w:adjustRightInd w:val="0"/>
              <w:spacing w:line="360" w:lineRule="auto"/>
              <w:jc w:val="center"/>
              <w:rPr>
                <w:rFonts w:ascii="Times New Roman" w:hAnsi="Times New Roman" w:cs="Times New Roman"/>
                <w:b/>
                <w:bCs/>
                <w:color w:val="000000"/>
              </w:rPr>
            </w:pPr>
            <w:r w:rsidRPr="00F442D7">
              <w:rPr>
                <w:rFonts w:ascii="Times New Roman" w:hAnsi="Times New Roman" w:cs="Times New Roman"/>
                <w:b/>
                <w:bCs/>
                <w:color w:val="000000"/>
              </w:rPr>
              <w:t>Odds Ratio</w:t>
            </w:r>
          </w:p>
        </w:tc>
      </w:tr>
      <w:tr w:rsidR="00F442D7" w:rsidRPr="00F442D7" w14:paraId="17A0A2E7" w14:textId="77777777" w:rsidTr="00F34034">
        <w:trPr>
          <w:trHeight w:val="328"/>
        </w:trPr>
        <w:tc>
          <w:tcPr>
            <w:tcW w:w="1313" w:type="pct"/>
            <w:tcBorders>
              <w:top w:val="nil"/>
              <w:left w:val="nil"/>
              <w:bottom w:val="nil"/>
              <w:right w:val="nil"/>
            </w:tcBorders>
          </w:tcPr>
          <w:p w14:paraId="51BC042F"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Junior</w:t>
            </w:r>
          </w:p>
        </w:tc>
        <w:tc>
          <w:tcPr>
            <w:tcW w:w="1349" w:type="pct"/>
            <w:tcBorders>
              <w:top w:val="nil"/>
              <w:left w:val="nil"/>
              <w:bottom w:val="nil"/>
              <w:right w:val="nil"/>
            </w:tcBorders>
          </w:tcPr>
          <w:p w14:paraId="34F956F7"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Junior High</w:t>
            </w:r>
          </w:p>
        </w:tc>
        <w:tc>
          <w:tcPr>
            <w:tcW w:w="1169" w:type="pct"/>
            <w:tcBorders>
              <w:top w:val="nil"/>
              <w:left w:val="nil"/>
              <w:bottom w:val="nil"/>
              <w:right w:val="nil"/>
            </w:tcBorders>
          </w:tcPr>
          <w:p w14:paraId="5C8A1E0A"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&lt;0.0001</w:t>
            </w:r>
          </w:p>
        </w:tc>
        <w:tc>
          <w:tcPr>
            <w:tcW w:w="1169" w:type="pct"/>
            <w:tcBorders>
              <w:top w:val="nil"/>
              <w:left w:val="nil"/>
              <w:bottom w:val="nil"/>
              <w:right w:val="nil"/>
            </w:tcBorders>
          </w:tcPr>
          <w:p w14:paraId="39AF5D72"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0.575</w:t>
            </w:r>
          </w:p>
        </w:tc>
      </w:tr>
      <w:tr w:rsidR="00F442D7" w:rsidRPr="00F442D7" w14:paraId="67CBC8D8" w14:textId="77777777" w:rsidTr="00F34034">
        <w:trPr>
          <w:trHeight w:val="328"/>
        </w:trPr>
        <w:tc>
          <w:tcPr>
            <w:tcW w:w="1313" w:type="pct"/>
            <w:tcBorders>
              <w:top w:val="nil"/>
              <w:left w:val="nil"/>
              <w:bottom w:val="nil"/>
              <w:right w:val="nil"/>
            </w:tcBorders>
          </w:tcPr>
          <w:p w14:paraId="08962C26"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Junior</w:t>
            </w:r>
          </w:p>
        </w:tc>
        <w:tc>
          <w:tcPr>
            <w:tcW w:w="1349" w:type="pct"/>
            <w:tcBorders>
              <w:top w:val="nil"/>
              <w:left w:val="nil"/>
              <w:bottom w:val="nil"/>
              <w:right w:val="nil"/>
            </w:tcBorders>
          </w:tcPr>
          <w:p w14:paraId="04285213"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Senior</w:t>
            </w:r>
          </w:p>
        </w:tc>
        <w:tc>
          <w:tcPr>
            <w:tcW w:w="1169" w:type="pct"/>
            <w:tcBorders>
              <w:top w:val="nil"/>
              <w:left w:val="nil"/>
              <w:bottom w:val="nil"/>
              <w:right w:val="nil"/>
            </w:tcBorders>
          </w:tcPr>
          <w:p w14:paraId="19E15315"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0.1892</w:t>
            </w:r>
          </w:p>
        </w:tc>
        <w:tc>
          <w:tcPr>
            <w:tcW w:w="1169" w:type="pct"/>
            <w:tcBorders>
              <w:top w:val="nil"/>
              <w:left w:val="nil"/>
              <w:bottom w:val="nil"/>
              <w:right w:val="nil"/>
            </w:tcBorders>
          </w:tcPr>
          <w:p w14:paraId="743D1E99"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0.924</w:t>
            </w:r>
          </w:p>
        </w:tc>
      </w:tr>
      <w:tr w:rsidR="00F442D7" w:rsidRPr="00F442D7" w14:paraId="5C83511D" w14:textId="77777777" w:rsidTr="00F34034">
        <w:trPr>
          <w:trHeight w:val="328"/>
        </w:trPr>
        <w:tc>
          <w:tcPr>
            <w:tcW w:w="1313" w:type="pct"/>
            <w:tcBorders>
              <w:top w:val="nil"/>
              <w:left w:val="nil"/>
              <w:bottom w:val="nil"/>
              <w:right w:val="nil"/>
            </w:tcBorders>
          </w:tcPr>
          <w:p w14:paraId="0FE4EAA7"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Junior High</w:t>
            </w:r>
          </w:p>
        </w:tc>
        <w:tc>
          <w:tcPr>
            <w:tcW w:w="1349" w:type="pct"/>
            <w:tcBorders>
              <w:top w:val="nil"/>
              <w:left w:val="nil"/>
              <w:bottom w:val="nil"/>
              <w:right w:val="nil"/>
            </w:tcBorders>
          </w:tcPr>
          <w:p w14:paraId="5C0AB686"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Senior</w:t>
            </w:r>
          </w:p>
        </w:tc>
        <w:tc>
          <w:tcPr>
            <w:tcW w:w="1169" w:type="pct"/>
            <w:tcBorders>
              <w:top w:val="nil"/>
              <w:left w:val="nil"/>
              <w:bottom w:val="nil"/>
              <w:right w:val="nil"/>
            </w:tcBorders>
          </w:tcPr>
          <w:p w14:paraId="220912D1"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0.0003</w:t>
            </w:r>
          </w:p>
        </w:tc>
        <w:tc>
          <w:tcPr>
            <w:tcW w:w="1169" w:type="pct"/>
            <w:tcBorders>
              <w:top w:val="nil"/>
              <w:left w:val="nil"/>
              <w:bottom w:val="nil"/>
              <w:right w:val="nil"/>
            </w:tcBorders>
          </w:tcPr>
          <w:p w14:paraId="51239120" w14:textId="77777777" w:rsidR="00F442D7" w:rsidRPr="00F442D7" w:rsidRDefault="00F442D7" w:rsidP="00F442D7">
            <w:pPr>
              <w:autoSpaceDE w:val="0"/>
              <w:autoSpaceDN w:val="0"/>
              <w:adjustRightInd w:val="0"/>
              <w:spacing w:line="360" w:lineRule="auto"/>
              <w:jc w:val="center"/>
              <w:rPr>
                <w:rFonts w:ascii="Times New Roman" w:hAnsi="Times New Roman" w:cs="Times New Roman"/>
                <w:color w:val="000000"/>
              </w:rPr>
            </w:pPr>
            <w:r w:rsidRPr="00F442D7">
              <w:rPr>
                <w:rFonts w:ascii="Times New Roman" w:hAnsi="Times New Roman" w:cs="Times New Roman"/>
                <w:color w:val="000000"/>
              </w:rPr>
              <w:t>1.221</w:t>
            </w:r>
          </w:p>
        </w:tc>
      </w:tr>
    </w:tbl>
    <w:p w14:paraId="04E2D3CC" w14:textId="77777777" w:rsidR="008D5CD6" w:rsidRPr="00AA7CD5" w:rsidRDefault="008D5CD6" w:rsidP="008D5CD6">
      <w:pPr>
        <w:pStyle w:val="Caption"/>
        <w:spacing w:line="360" w:lineRule="auto"/>
        <w:rPr>
          <w:rFonts w:cs="Times New Roman"/>
        </w:rPr>
      </w:pPr>
      <w:bookmarkStart w:id="84" w:name="_Toc151459316"/>
      <w:r w:rsidRPr="00C82216">
        <w:rPr>
          <w:rFonts w:cs="Times New Roman"/>
        </w:rPr>
        <w:t xml:space="preserve">Table </w:t>
      </w:r>
      <w:r w:rsidRPr="00C82216">
        <w:rPr>
          <w:rFonts w:cs="Times New Roman"/>
        </w:rPr>
        <w:fldChar w:fldCharType="begin"/>
      </w:r>
      <w:r w:rsidRPr="00C82216">
        <w:rPr>
          <w:rFonts w:cs="Times New Roman"/>
        </w:rPr>
        <w:instrText xml:space="preserve"> SEQ Table \* ARABIC </w:instrText>
      </w:r>
      <w:r w:rsidRPr="00C82216">
        <w:rPr>
          <w:rFonts w:cs="Times New Roman"/>
        </w:rPr>
        <w:fldChar w:fldCharType="separate"/>
      </w:r>
      <w:r>
        <w:rPr>
          <w:rFonts w:cs="Times New Roman"/>
          <w:noProof/>
        </w:rPr>
        <w:t>8</w:t>
      </w:r>
      <w:r w:rsidRPr="00C82216">
        <w:rPr>
          <w:rFonts w:cs="Times New Roman"/>
          <w:noProof/>
        </w:rPr>
        <w:fldChar w:fldCharType="end"/>
      </w:r>
      <w:r w:rsidRPr="00C82216">
        <w:rPr>
          <w:rFonts w:cs="Times New Roman"/>
        </w:rPr>
        <w:t>. Comparison across age division of likelihood to have a correct answer</w:t>
      </w:r>
      <w:bookmarkEnd w:id="84"/>
    </w:p>
    <w:p w14:paraId="35E092F9" w14:textId="3A4D664C" w:rsidR="008D5CD6" w:rsidRDefault="008D5CD6" w:rsidP="008D5CD6">
      <w:pPr>
        <w:spacing w:line="360" w:lineRule="auto"/>
      </w:pPr>
    </w:p>
    <w:p w14:paraId="465A49F3" w14:textId="77777777" w:rsidR="008D5CD6" w:rsidRDefault="008D5CD6">
      <w:r>
        <w:br w:type="page"/>
      </w:r>
    </w:p>
    <w:tbl>
      <w:tblPr>
        <w:tblpPr w:leftFromText="180" w:rightFromText="180" w:vertAnchor="text" w:horzAnchor="margin" w:tblpXSpec="center" w:tblpY="855"/>
        <w:tblW w:w="5000" w:type="pct"/>
        <w:tblCellMar>
          <w:left w:w="30" w:type="dxa"/>
          <w:right w:w="30" w:type="dxa"/>
        </w:tblCellMar>
        <w:tblLook w:val="0000" w:firstRow="0" w:lastRow="0" w:firstColumn="0" w:lastColumn="0" w:noHBand="0" w:noVBand="0"/>
      </w:tblPr>
      <w:tblGrid>
        <w:gridCol w:w="2340"/>
        <w:gridCol w:w="2340"/>
        <w:gridCol w:w="2340"/>
        <w:gridCol w:w="2340"/>
      </w:tblGrid>
      <w:tr w:rsidR="005867A5" w:rsidRPr="005867A5" w14:paraId="0F1413E5" w14:textId="77777777" w:rsidTr="00F34034">
        <w:trPr>
          <w:trHeight w:val="355"/>
        </w:trPr>
        <w:tc>
          <w:tcPr>
            <w:tcW w:w="1250" w:type="pct"/>
            <w:tcBorders>
              <w:top w:val="nil"/>
              <w:left w:val="nil"/>
              <w:bottom w:val="single" w:sz="6" w:space="0" w:color="auto"/>
              <w:right w:val="single" w:sz="6" w:space="0" w:color="auto"/>
            </w:tcBorders>
          </w:tcPr>
          <w:p w14:paraId="29360283" w14:textId="77777777" w:rsidR="005867A5" w:rsidRPr="005867A5" w:rsidRDefault="005867A5" w:rsidP="005867A5">
            <w:pPr>
              <w:autoSpaceDE w:val="0"/>
              <w:autoSpaceDN w:val="0"/>
              <w:adjustRightInd w:val="0"/>
              <w:spacing w:line="360" w:lineRule="auto"/>
              <w:jc w:val="center"/>
              <w:rPr>
                <w:rFonts w:ascii="Times New Roman" w:hAnsi="Times New Roman" w:cs="Times New Roman"/>
                <w:b/>
                <w:bCs/>
                <w:color w:val="000000"/>
              </w:rPr>
            </w:pPr>
            <w:r w:rsidRPr="005867A5">
              <w:rPr>
                <w:rFonts w:ascii="Times New Roman" w:hAnsi="Times New Roman" w:cs="Times New Roman"/>
                <w:b/>
                <w:bCs/>
                <w:color w:val="000000"/>
              </w:rPr>
              <w:lastRenderedPageBreak/>
              <w:t>Year 1</w:t>
            </w:r>
          </w:p>
        </w:tc>
        <w:tc>
          <w:tcPr>
            <w:tcW w:w="1250" w:type="pct"/>
            <w:tcBorders>
              <w:top w:val="nil"/>
              <w:left w:val="single" w:sz="6" w:space="0" w:color="auto"/>
              <w:bottom w:val="single" w:sz="6" w:space="0" w:color="auto"/>
              <w:right w:val="single" w:sz="6" w:space="0" w:color="auto"/>
            </w:tcBorders>
          </w:tcPr>
          <w:p w14:paraId="180B2E77" w14:textId="77777777" w:rsidR="005867A5" w:rsidRPr="005867A5" w:rsidRDefault="005867A5" w:rsidP="005867A5">
            <w:pPr>
              <w:autoSpaceDE w:val="0"/>
              <w:autoSpaceDN w:val="0"/>
              <w:adjustRightInd w:val="0"/>
              <w:spacing w:line="360" w:lineRule="auto"/>
              <w:jc w:val="center"/>
              <w:rPr>
                <w:rFonts w:ascii="Times New Roman" w:hAnsi="Times New Roman" w:cs="Times New Roman"/>
                <w:b/>
                <w:bCs/>
                <w:color w:val="000000"/>
              </w:rPr>
            </w:pPr>
            <w:r w:rsidRPr="005867A5">
              <w:rPr>
                <w:rFonts w:ascii="Times New Roman" w:hAnsi="Times New Roman" w:cs="Times New Roman"/>
                <w:b/>
                <w:bCs/>
                <w:color w:val="000000"/>
              </w:rPr>
              <w:t>Year 2</w:t>
            </w:r>
          </w:p>
        </w:tc>
        <w:tc>
          <w:tcPr>
            <w:tcW w:w="1250" w:type="pct"/>
            <w:tcBorders>
              <w:top w:val="nil"/>
              <w:left w:val="single" w:sz="6" w:space="0" w:color="auto"/>
              <w:bottom w:val="single" w:sz="6" w:space="0" w:color="auto"/>
              <w:right w:val="single" w:sz="6" w:space="0" w:color="auto"/>
            </w:tcBorders>
          </w:tcPr>
          <w:p w14:paraId="00023AAA" w14:textId="77777777" w:rsidR="005867A5" w:rsidRPr="005867A5" w:rsidRDefault="005867A5" w:rsidP="005867A5">
            <w:pPr>
              <w:autoSpaceDE w:val="0"/>
              <w:autoSpaceDN w:val="0"/>
              <w:adjustRightInd w:val="0"/>
              <w:spacing w:line="360" w:lineRule="auto"/>
              <w:jc w:val="center"/>
              <w:rPr>
                <w:rFonts w:ascii="Times New Roman" w:hAnsi="Times New Roman" w:cs="Times New Roman"/>
                <w:b/>
                <w:bCs/>
                <w:color w:val="000000"/>
              </w:rPr>
            </w:pPr>
            <w:r w:rsidRPr="005867A5">
              <w:rPr>
                <w:rFonts w:ascii="Times New Roman" w:hAnsi="Times New Roman" w:cs="Times New Roman"/>
                <w:b/>
                <w:bCs/>
                <w:color w:val="000000"/>
              </w:rPr>
              <w:t>P Value</w:t>
            </w:r>
          </w:p>
        </w:tc>
        <w:tc>
          <w:tcPr>
            <w:tcW w:w="1250" w:type="pct"/>
            <w:tcBorders>
              <w:top w:val="nil"/>
              <w:left w:val="nil"/>
              <w:bottom w:val="single" w:sz="6" w:space="0" w:color="auto"/>
              <w:right w:val="nil"/>
            </w:tcBorders>
          </w:tcPr>
          <w:p w14:paraId="70913E68" w14:textId="77777777" w:rsidR="005867A5" w:rsidRPr="005867A5" w:rsidRDefault="005867A5" w:rsidP="005867A5">
            <w:pPr>
              <w:autoSpaceDE w:val="0"/>
              <w:autoSpaceDN w:val="0"/>
              <w:adjustRightInd w:val="0"/>
              <w:spacing w:line="360" w:lineRule="auto"/>
              <w:jc w:val="center"/>
              <w:rPr>
                <w:rFonts w:ascii="Times New Roman" w:hAnsi="Times New Roman" w:cs="Times New Roman"/>
                <w:b/>
                <w:bCs/>
                <w:color w:val="000000"/>
              </w:rPr>
            </w:pPr>
            <w:r w:rsidRPr="005867A5">
              <w:rPr>
                <w:rFonts w:ascii="Times New Roman" w:hAnsi="Times New Roman" w:cs="Times New Roman"/>
                <w:b/>
                <w:bCs/>
                <w:color w:val="000000"/>
              </w:rPr>
              <w:t>Odds Ratio</w:t>
            </w:r>
          </w:p>
        </w:tc>
      </w:tr>
      <w:tr w:rsidR="005867A5" w:rsidRPr="005867A5" w14:paraId="57E656AB" w14:textId="77777777" w:rsidTr="00F34034">
        <w:trPr>
          <w:trHeight w:val="355"/>
        </w:trPr>
        <w:tc>
          <w:tcPr>
            <w:tcW w:w="1250" w:type="pct"/>
            <w:tcBorders>
              <w:top w:val="nil"/>
              <w:left w:val="nil"/>
              <w:bottom w:val="nil"/>
              <w:right w:val="nil"/>
            </w:tcBorders>
          </w:tcPr>
          <w:p w14:paraId="104C000D" w14:textId="77777777" w:rsidR="005867A5" w:rsidRPr="005867A5" w:rsidRDefault="005867A5" w:rsidP="005867A5">
            <w:pPr>
              <w:autoSpaceDE w:val="0"/>
              <w:autoSpaceDN w:val="0"/>
              <w:adjustRightInd w:val="0"/>
              <w:spacing w:line="360" w:lineRule="auto"/>
              <w:jc w:val="center"/>
              <w:rPr>
                <w:rFonts w:ascii="Times New Roman" w:hAnsi="Times New Roman" w:cs="Times New Roman"/>
                <w:color w:val="000000"/>
              </w:rPr>
            </w:pPr>
            <w:r w:rsidRPr="005867A5">
              <w:rPr>
                <w:rFonts w:ascii="Times New Roman" w:hAnsi="Times New Roman" w:cs="Times New Roman"/>
                <w:color w:val="000000"/>
              </w:rPr>
              <w:t>2021</w:t>
            </w:r>
          </w:p>
        </w:tc>
        <w:tc>
          <w:tcPr>
            <w:tcW w:w="1250" w:type="pct"/>
            <w:tcBorders>
              <w:top w:val="nil"/>
              <w:left w:val="nil"/>
              <w:bottom w:val="nil"/>
              <w:right w:val="nil"/>
            </w:tcBorders>
          </w:tcPr>
          <w:p w14:paraId="4EAAAD9E" w14:textId="77777777" w:rsidR="005867A5" w:rsidRPr="005867A5" w:rsidRDefault="005867A5" w:rsidP="005867A5">
            <w:pPr>
              <w:autoSpaceDE w:val="0"/>
              <w:autoSpaceDN w:val="0"/>
              <w:adjustRightInd w:val="0"/>
              <w:spacing w:line="360" w:lineRule="auto"/>
              <w:jc w:val="center"/>
              <w:rPr>
                <w:rFonts w:ascii="Times New Roman" w:hAnsi="Times New Roman" w:cs="Times New Roman"/>
                <w:color w:val="000000"/>
              </w:rPr>
            </w:pPr>
            <w:r w:rsidRPr="005867A5">
              <w:rPr>
                <w:rFonts w:ascii="Times New Roman" w:hAnsi="Times New Roman" w:cs="Times New Roman"/>
                <w:color w:val="000000"/>
              </w:rPr>
              <w:t>2023</w:t>
            </w:r>
          </w:p>
        </w:tc>
        <w:tc>
          <w:tcPr>
            <w:tcW w:w="1250" w:type="pct"/>
            <w:tcBorders>
              <w:top w:val="nil"/>
              <w:left w:val="nil"/>
              <w:bottom w:val="nil"/>
              <w:right w:val="nil"/>
            </w:tcBorders>
          </w:tcPr>
          <w:p w14:paraId="04D35766" w14:textId="77777777" w:rsidR="005867A5" w:rsidRPr="005867A5" w:rsidRDefault="005867A5" w:rsidP="005867A5">
            <w:pPr>
              <w:autoSpaceDE w:val="0"/>
              <w:autoSpaceDN w:val="0"/>
              <w:adjustRightInd w:val="0"/>
              <w:spacing w:line="360" w:lineRule="auto"/>
              <w:jc w:val="center"/>
              <w:rPr>
                <w:rFonts w:ascii="Times New Roman" w:hAnsi="Times New Roman" w:cs="Times New Roman"/>
                <w:color w:val="000000"/>
              </w:rPr>
            </w:pPr>
            <w:r w:rsidRPr="005867A5">
              <w:rPr>
                <w:rFonts w:ascii="Times New Roman" w:hAnsi="Times New Roman" w:cs="Times New Roman"/>
                <w:color w:val="000000"/>
              </w:rPr>
              <w:t>&lt;0.0001</w:t>
            </w:r>
          </w:p>
        </w:tc>
        <w:tc>
          <w:tcPr>
            <w:tcW w:w="1250" w:type="pct"/>
            <w:tcBorders>
              <w:top w:val="nil"/>
              <w:left w:val="nil"/>
              <w:bottom w:val="nil"/>
              <w:right w:val="nil"/>
            </w:tcBorders>
          </w:tcPr>
          <w:p w14:paraId="3ACCA518" w14:textId="77777777" w:rsidR="005867A5" w:rsidRPr="005867A5" w:rsidRDefault="005867A5" w:rsidP="005867A5">
            <w:pPr>
              <w:autoSpaceDE w:val="0"/>
              <w:autoSpaceDN w:val="0"/>
              <w:adjustRightInd w:val="0"/>
              <w:spacing w:line="360" w:lineRule="auto"/>
              <w:jc w:val="center"/>
              <w:rPr>
                <w:rFonts w:ascii="Times New Roman" w:hAnsi="Times New Roman" w:cs="Times New Roman"/>
                <w:color w:val="000000"/>
              </w:rPr>
            </w:pPr>
            <w:r w:rsidRPr="005867A5">
              <w:rPr>
                <w:rFonts w:ascii="Times New Roman" w:hAnsi="Times New Roman" w:cs="Times New Roman"/>
                <w:color w:val="000000"/>
              </w:rPr>
              <w:t>1.308</w:t>
            </w:r>
          </w:p>
        </w:tc>
      </w:tr>
    </w:tbl>
    <w:p w14:paraId="4FB65934" w14:textId="2985A291" w:rsidR="008D5CD6" w:rsidRDefault="008D5CD6" w:rsidP="008D5CD6">
      <w:pPr>
        <w:pStyle w:val="Caption"/>
        <w:spacing w:line="360" w:lineRule="auto"/>
      </w:pPr>
      <w:bookmarkStart w:id="85" w:name="_Toc151459317"/>
      <w:r w:rsidRPr="00C82216">
        <w:rPr>
          <w:rFonts w:cs="Times New Roman"/>
        </w:rPr>
        <w:t xml:space="preserve">Table </w:t>
      </w:r>
      <w:r w:rsidRPr="00C82216">
        <w:rPr>
          <w:rFonts w:cs="Times New Roman"/>
        </w:rPr>
        <w:fldChar w:fldCharType="begin"/>
      </w:r>
      <w:r w:rsidRPr="00C82216">
        <w:rPr>
          <w:rFonts w:cs="Times New Roman"/>
        </w:rPr>
        <w:instrText xml:space="preserve"> SEQ Table \* ARABIC </w:instrText>
      </w:r>
      <w:r w:rsidRPr="00C82216">
        <w:rPr>
          <w:rFonts w:cs="Times New Roman"/>
        </w:rPr>
        <w:fldChar w:fldCharType="separate"/>
      </w:r>
      <w:r>
        <w:rPr>
          <w:rFonts w:cs="Times New Roman"/>
          <w:noProof/>
        </w:rPr>
        <w:t>9</w:t>
      </w:r>
      <w:r w:rsidRPr="00C82216">
        <w:rPr>
          <w:rFonts w:cs="Times New Roman"/>
          <w:noProof/>
        </w:rPr>
        <w:fldChar w:fldCharType="end"/>
      </w:r>
      <w:r w:rsidRPr="00C82216">
        <w:rPr>
          <w:rFonts w:cs="Times New Roman"/>
        </w:rPr>
        <w:t>. Comparison across year of likelihood to have a correct answer</w:t>
      </w:r>
      <w:bookmarkEnd w:id="85"/>
      <w:r>
        <w:br w:type="page"/>
      </w:r>
    </w:p>
    <w:p w14:paraId="10869466" w14:textId="1CBB1283" w:rsidR="00AA7CD5" w:rsidRDefault="00AA7CD5" w:rsidP="008A6B75">
      <w:pPr>
        <w:spacing w:line="360" w:lineRule="auto"/>
        <w:rPr>
          <w:rFonts w:ascii="Times New Roman" w:hAnsi="Times New Roman" w:cs="Times New Roman"/>
          <w:color w:val="000000"/>
        </w:rPr>
      </w:pPr>
      <w:r>
        <w:rPr>
          <w:rFonts w:ascii="Times New Roman" w:hAnsi="Times New Roman" w:cs="Times New Roman"/>
          <w:color w:val="000000"/>
        </w:rPr>
        <w:lastRenderedPageBreak/>
        <w:t xml:space="preserve">age division were 0.924 times as like to answer questions correctly (p = 0.1982). Additionally, junior high-level participants were 1.221 times as likely to answer questions correctly when compared to those in the senior age division (p = 0.0002) (Table </w:t>
      </w:r>
      <w:r w:rsidR="00F87446">
        <w:rPr>
          <w:rFonts w:ascii="Times New Roman" w:hAnsi="Times New Roman" w:cs="Times New Roman"/>
          <w:color w:val="000000"/>
        </w:rPr>
        <w:t>8</w:t>
      </w:r>
      <w:r>
        <w:rPr>
          <w:rFonts w:ascii="Times New Roman" w:hAnsi="Times New Roman" w:cs="Times New Roman"/>
          <w:color w:val="000000"/>
        </w:rPr>
        <w:t>).</w:t>
      </w:r>
    </w:p>
    <w:p w14:paraId="15F7B55E" w14:textId="77777777" w:rsidR="00AA7CD5" w:rsidRDefault="00AA7CD5" w:rsidP="008A6B75">
      <w:pPr>
        <w:spacing w:line="360" w:lineRule="auto"/>
        <w:rPr>
          <w:rFonts w:ascii="Times New Roman" w:hAnsi="Times New Roman" w:cs="Times New Roman"/>
          <w:color w:val="000000"/>
        </w:rPr>
      </w:pPr>
    </w:p>
    <w:p w14:paraId="5AF5A659" w14:textId="0EE94F3D" w:rsidR="00AA7CD5" w:rsidRPr="000C383A" w:rsidRDefault="00AA7CD5" w:rsidP="008A6B75">
      <w:pPr>
        <w:spacing w:line="360" w:lineRule="auto"/>
        <w:rPr>
          <w:rFonts w:ascii="Times New Roman" w:hAnsi="Times New Roman" w:cs="Times New Roman"/>
          <w:color w:val="000000"/>
        </w:rPr>
      </w:pPr>
      <w:r>
        <w:rPr>
          <w:rFonts w:ascii="Times New Roman" w:hAnsi="Times New Roman" w:cs="Times New Roman"/>
          <w:color w:val="000000"/>
        </w:rPr>
        <w:t xml:space="preserve">An effect of year was also observed (p &lt; 0.0001) when comparing across all age divisions. This effect indicated that that participants were 1.308 times as likely to answer questions correctly in 2021 compared to 2023 (Table </w:t>
      </w:r>
      <w:r w:rsidR="00F87446">
        <w:rPr>
          <w:rFonts w:ascii="Times New Roman" w:hAnsi="Times New Roman" w:cs="Times New Roman"/>
          <w:color w:val="000000"/>
        </w:rPr>
        <w:t>9</w:t>
      </w:r>
      <w:r>
        <w:rPr>
          <w:rFonts w:ascii="Times New Roman" w:hAnsi="Times New Roman" w:cs="Times New Roman"/>
          <w:color w:val="000000"/>
        </w:rPr>
        <w:t>). Surprisingly, no effect was found when comparing across training status.</w:t>
      </w:r>
    </w:p>
    <w:p w14:paraId="1CFB7DF3" w14:textId="77777777" w:rsidR="00AA7CD5" w:rsidRDefault="00AA7CD5" w:rsidP="008A6B75">
      <w:pPr>
        <w:spacing w:line="360" w:lineRule="auto"/>
      </w:pPr>
    </w:p>
    <w:p w14:paraId="771B900B" w14:textId="77777777" w:rsidR="00AA7CD5" w:rsidRDefault="00AA7CD5" w:rsidP="008A6B75">
      <w:pPr>
        <w:pStyle w:val="Heading3"/>
        <w:spacing w:line="360" w:lineRule="auto"/>
        <w:rPr>
          <w:rFonts w:ascii="Times New Roman" w:hAnsi="Times New Roman" w:cs="Times New Roman"/>
        </w:rPr>
      </w:pPr>
      <w:bookmarkStart w:id="86" w:name="_Toc139831957"/>
      <w:bookmarkStart w:id="87" w:name="_Toc151023717"/>
      <w:r w:rsidRPr="000C383A">
        <w:rPr>
          <w:rFonts w:ascii="Times New Roman" w:hAnsi="Times New Roman" w:cs="Times New Roman"/>
        </w:rPr>
        <w:t>Comparison of Tennessee Regional Scores and Eastern National Scores</w:t>
      </w:r>
      <w:bookmarkEnd w:id="86"/>
      <w:bookmarkEnd w:id="87"/>
    </w:p>
    <w:p w14:paraId="6E7DD324" w14:textId="77777777" w:rsidR="008D5CD6" w:rsidRDefault="00AA7CD5" w:rsidP="008D5CD6">
      <w:pPr>
        <w:spacing w:line="360" w:lineRule="auto"/>
      </w:pPr>
      <w:r>
        <w:rPr>
          <w:rFonts w:ascii="Times New Roman" w:hAnsi="Times New Roman" w:cs="Times New Roman"/>
        </w:rPr>
        <w:t xml:space="preserve">In addition to comparing performance across age division, year, and questions category, we also compared the performance of Tennessee senior level participants to those competing at the Eastern National Hippology contest. Overall performance was higher in senior level contestants in the Tennessee contests with 51.39% of answers being correct when compared to 40.47% of answers being correct amongst national contest participants. When comparing performance within each questions category between state and national level contestants, it was observed that state level participants were more likely to answer breeds, health, and selection questions correctly compared to those at the national level. However, there was no significant differences seen in performance across the nutrition and tack categories (Table </w:t>
      </w:r>
      <w:r w:rsidR="00F87446">
        <w:rPr>
          <w:rFonts w:ascii="Times New Roman" w:hAnsi="Times New Roman" w:cs="Times New Roman"/>
        </w:rPr>
        <w:t>10</w:t>
      </w:r>
      <w:r>
        <w:rPr>
          <w:rFonts w:ascii="Times New Roman" w:hAnsi="Times New Roman" w:cs="Times New Roman"/>
        </w:rPr>
        <w:t>).</w:t>
      </w:r>
      <w:bookmarkStart w:id="88" w:name="_Toc139831958"/>
    </w:p>
    <w:p w14:paraId="49CC3E78" w14:textId="77777777" w:rsidR="008D5CD6" w:rsidRDefault="008D5CD6" w:rsidP="008D5CD6">
      <w:pPr>
        <w:spacing w:line="360" w:lineRule="auto"/>
      </w:pPr>
    </w:p>
    <w:p w14:paraId="0D4B8A5A" w14:textId="603E1C30" w:rsidR="00AA7CD5" w:rsidRPr="008D5CD6" w:rsidRDefault="00AA7CD5" w:rsidP="008D5CD6">
      <w:pPr>
        <w:pStyle w:val="Heading2"/>
        <w:rPr>
          <w:rFonts w:ascii="Times New Roman" w:hAnsi="Times New Roman" w:cs="Times New Roman"/>
        </w:rPr>
      </w:pPr>
      <w:bookmarkStart w:id="89" w:name="_Toc151023718"/>
      <w:r w:rsidRPr="008D5CD6">
        <w:rPr>
          <w:rFonts w:ascii="Times New Roman" w:hAnsi="Times New Roman" w:cs="Times New Roman"/>
        </w:rPr>
        <w:t>Discussion</w:t>
      </w:r>
      <w:bookmarkEnd w:id="88"/>
      <w:bookmarkEnd w:id="89"/>
    </w:p>
    <w:p w14:paraId="26075C97" w14:textId="77777777" w:rsidR="00AA7CD5" w:rsidRDefault="00AA7CD5" w:rsidP="008A6B75">
      <w:pPr>
        <w:pStyle w:val="Heading3"/>
        <w:spacing w:line="360" w:lineRule="auto"/>
        <w:rPr>
          <w:rFonts w:ascii="Times New Roman" w:hAnsi="Times New Roman" w:cs="Times New Roman"/>
        </w:rPr>
      </w:pPr>
      <w:bookmarkStart w:id="90" w:name="_Toc139831959"/>
      <w:bookmarkStart w:id="91" w:name="_Toc151023719"/>
      <w:r w:rsidRPr="00EC7B20">
        <w:rPr>
          <w:rFonts w:ascii="Times New Roman" w:hAnsi="Times New Roman" w:cs="Times New Roman"/>
        </w:rPr>
        <w:t>Study Origin</w:t>
      </w:r>
      <w:bookmarkEnd w:id="90"/>
      <w:bookmarkEnd w:id="91"/>
    </w:p>
    <w:p w14:paraId="6F3EAB79" w14:textId="77777777" w:rsidR="008D5CD6" w:rsidRDefault="00AA7CD5" w:rsidP="008A6B75">
      <w:pPr>
        <w:spacing w:line="360" w:lineRule="auto"/>
        <w:rPr>
          <w:rFonts w:ascii="Times New Roman" w:hAnsi="Times New Roman" w:cs="Times New Roman"/>
        </w:rPr>
      </w:pPr>
      <w:r>
        <w:rPr>
          <w:rFonts w:ascii="Times New Roman" w:hAnsi="Times New Roman" w:cs="Times New Roman"/>
        </w:rPr>
        <w:t xml:space="preserve">Across the state of Tennessee, Extension agents are located in each of the 95 counties to aid in carrying out the Land Grant mission of providing practical knowledge and skills to the common person </w:t>
      </w:r>
      <w:r>
        <w:rPr>
          <w:rFonts w:ascii="Times New Roman" w:hAnsi="Times New Roman" w:cs="Times New Roman"/>
        </w:rPr>
        <w:fldChar w:fldCharType="begin"/>
      </w:r>
      <w:r>
        <w:rPr>
          <w:rFonts w:ascii="Times New Roman" w:hAnsi="Times New Roman" w:cs="Times New Roman"/>
        </w:rPr>
        <w:instrText xml:space="preserve"> ADDIN EN.CITE &lt;EndNote&gt;&lt;Cite&gt;&lt;Author&gt;Duemer&lt;/Author&gt;&lt;Year&gt;2007&lt;/Year&gt;&lt;RecNum&gt;29&lt;/RecNum&gt;&lt;DisplayText&gt;(Duemer, 2007)&lt;/DisplayText&gt;&lt;record&gt;&lt;rec-number&gt;29&lt;/rec-number&gt;&lt;foreign-keys&gt;&lt;key app="EN" db-id="xxs5w29drx0waserr05599fudw0rtv2p2vew" timestamp="1676906790"&gt;29&lt;/key&gt;&lt;/foreign-keys&gt;&lt;ref-type name="Journal Article"&gt;17&lt;/ref-type&gt;&lt;contributors&gt;&lt;authors&gt;&lt;author&gt;Duemer, Lee S&lt;/author&gt;&lt;/authors&gt;&lt;/contributors&gt;&lt;titles&gt;&lt;title&gt;The agricultural education origins of the Morrill Land Grant Act of 1862&lt;/title&gt;&lt;secondary-title&gt;American Educational History Journal&lt;/secondary-title&gt;&lt;/titles&gt;&lt;periodical&gt;&lt;full-title&gt;American Educational History Journal&lt;/full-title&gt;&lt;/periodical&gt;&lt;pages&gt;135-146&lt;/pages&gt;&lt;volume&gt;34&lt;/volume&gt;&lt;number&gt;1&lt;/number&gt;&lt;dates&gt;&lt;year&gt;2007&lt;/year&gt;&lt;/dates&gt;&lt;isbn&gt;159311768X&lt;/isbn&gt;&lt;urls&gt;&lt;/urls&gt;&lt;/record&gt;&lt;/Cite&gt;&lt;/EndNote&gt;</w:instrText>
      </w:r>
      <w:r>
        <w:rPr>
          <w:rFonts w:ascii="Times New Roman" w:hAnsi="Times New Roman" w:cs="Times New Roman"/>
        </w:rPr>
        <w:fldChar w:fldCharType="separate"/>
      </w:r>
      <w:r>
        <w:rPr>
          <w:rFonts w:ascii="Times New Roman" w:hAnsi="Times New Roman" w:cs="Times New Roman"/>
          <w:noProof/>
        </w:rPr>
        <w:t>(Duemer, 2007)</w:t>
      </w:r>
      <w:r>
        <w:rPr>
          <w:rFonts w:ascii="Times New Roman" w:hAnsi="Times New Roman" w:cs="Times New Roman"/>
        </w:rPr>
        <w:fldChar w:fldCharType="end"/>
      </w:r>
      <w:r>
        <w:rPr>
          <w:rFonts w:ascii="Times New Roman" w:hAnsi="Times New Roman" w:cs="Times New Roman"/>
        </w:rPr>
        <w:t xml:space="preserve">.  However, the knowledge, background, and skills of these agents differ vastly leaving gaps in the knowledge base between agents and youth within each county. Specifically, many counties across the state lack agents with equine-specific knowledge and skills. Therefore, this study utilized the Tennessee Regional Hippology contests as a needs </w:t>
      </w:r>
    </w:p>
    <w:tbl>
      <w:tblPr>
        <w:tblpPr w:leftFromText="180" w:rightFromText="180" w:vertAnchor="page" w:horzAnchor="margin" w:tblpY="2412"/>
        <w:tblW w:w="8992" w:type="dxa"/>
        <w:tblLook w:val="04A0" w:firstRow="1" w:lastRow="0" w:firstColumn="1" w:lastColumn="0" w:noHBand="0" w:noVBand="1"/>
      </w:tblPr>
      <w:tblGrid>
        <w:gridCol w:w="2248"/>
        <w:gridCol w:w="2248"/>
        <w:gridCol w:w="2248"/>
        <w:gridCol w:w="2248"/>
      </w:tblGrid>
      <w:tr w:rsidR="00A74E0C" w:rsidRPr="00A74E0C" w14:paraId="339B354D" w14:textId="77777777" w:rsidTr="00A74E0C">
        <w:trPr>
          <w:trHeight w:val="409"/>
        </w:trPr>
        <w:tc>
          <w:tcPr>
            <w:tcW w:w="2248" w:type="dxa"/>
            <w:tcBorders>
              <w:top w:val="nil"/>
              <w:left w:val="nil"/>
              <w:bottom w:val="single" w:sz="4" w:space="0" w:color="auto"/>
              <w:right w:val="single" w:sz="4" w:space="0" w:color="auto"/>
            </w:tcBorders>
            <w:shd w:val="clear" w:color="auto" w:fill="auto"/>
            <w:noWrap/>
            <w:vAlign w:val="center"/>
            <w:hideMark/>
          </w:tcPr>
          <w:p w14:paraId="5CC4FFCE"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lastRenderedPageBreak/>
              <w:t> </w:t>
            </w:r>
          </w:p>
        </w:tc>
        <w:tc>
          <w:tcPr>
            <w:tcW w:w="2248" w:type="dxa"/>
            <w:tcBorders>
              <w:top w:val="nil"/>
              <w:left w:val="nil"/>
              <w:bottom w:val="single" w:sz="4" w:space="0" w:color="auto"/>
              <w:right w:val="nil"/>
            </w:tcBorders>
            <w:shd w:val="clear" w:color="auto" w:fill="auto"/>
            <w:noWrap/>
            <w:vAlign w:val="center"/>
            <w:hideMark/>
          </w:tcPr>
          <w:p w14:paraId="0C96644C"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State (%)</w:t>
            </w:r>
          </w:p>
        </w:tc>
        <w:tc>
          <w:tcPr>
            <w:tcW w:w="2248" w:type="dxa"/>
            <w:tcBorders>
              <w:top w:val="nil"/>
              <w:left w:val="nil"/>
              <w:bottom w:val="single" w:sz="4" w:space="0" w:color="auto"/>
              <w:right w:val="nil"/>
            </w:tcBorders>
            <w:shd w:val="clear" w:color="auto" w:fill="auto"/>
            <w:noWrap/>
            <w:vAlign w:val="center"/>
            <w:hideMark/>
          </w:tcPr>
          <w:p w14:paraId="00925EA7"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National (%)</w:t>
            </w:r>
          </w:p>
        </w:tc>
        <w:tc>
          <w:tcPr>
            <w:tcW w:w="2248" w:type="dxa"/>
            <w:tcBorders>
              <w:top w:val="nil"/>
              <w:left w:val="nil"/>
              <w:bottom w:val="single" w:sz="4" w:space="0" w:color="auto"/>
              <w:right w:val="nil"/>
            </w:tcBorders>
            <w:shd w:val="clear" w:color="auto" w:fill="auto"/>
            <w:noWrap/>
            <w:vAlign w:val="center"/>
            <w:hideMark/>
          </w:tcPr>
          <w:p w14:paraId="0A45D223"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p-value</w:t>
            </w:r>
          </w:p>
        </w:tc>
      </w:tr>
      <w:tr w:rsidR="00A74E0C" w:rsidRPr="00A74E0C" w14:paraId="2A68F723" w14:textId="77777777" w:rsidTr="00A74E0C">
        <w:trPr>
          <w:trHeight w:val="409"/>
        </w:trPr>
        <w:tc>
          <w:tcPr>
            <w:tcW w:w="2248" w:type="dxa"/>
            <w:tcBorders>
              <w:top w:val="nil"/>
              <w:left w:val="nil"/>
              <w:bottom w:val="nil"/>
              <w:right w:val="single" w:sz="4" w:space="0" w:color="auto"/>
            </w:tcBorders>
            <w:shd w:val="clear" w:color="auto" w:fill="auto"/>
            <w:noWrap/>
            <w:vAlign w:val="center"/>
            <w:hideMark/>
          </w:tcPr>
          <w:p w14:paraId="64588CDF"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Breeds</w:t>
            </w:r>
          </w:p>
        </w:tc>
        <w:tc>
          <w:tcPr>
            <w:tcW w:w="2248" w:type="dxa"/>
            <w:tcBorders>
              <w:top w:val="nil"/>
              <w:left w:val="nil"/>
              <w:bottom w:val="nil"/>
              <w:right w:val="nil"/>
            </w:tcBorders>
            <w:shd w:val="clear" w:color="auto" w:fill="auto"/>
            <w:noWrap/>
            <w:vAlign w:val="center"/>
            <w:hideMark/>
          </w:tcPr>
          <w:p w14:paraId="34212A8E"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56.93</w:t>
            </w:r>
          </w:p>
        </w:tc>
        <w:tc>
          <w:tcPr>
            <w:tcW w:w="2248" w:type="dxa"/>
            <w:tcBorders>
              <w:top w:val="nil"/>
              <w:left w:val="nil"/>
              <w:bottom w:val="nil"/>
              <w:right w:val="nil"/>
            </w:tcBorders>
            <w:shd w:val="clear" w:color="auto" w:fill="auto"/>
            <w:noWrap/>
            <w:vAlign w:val="center"/>
            <w:hideMark/>
          </w:tcPr>
          <w:p w14:paraId="776A5C27"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44.58</w:t>
            </w:r>
          </w:p>
        </w:tc>
        <w:tc>
          <w:tcPr>
            <w:tcW w:w="2248" w:type="dxa"/>
            <w:tcBorders>
              <w:top w:val="nil"/>
              <w:left w:val="nil"/>
              <w:bottom w:val="nil"/>
              <w:right w:val="nil"/>
            </w:tcBorders>
            <w:shd w:val="clear" w:color="auto" w:fill="auto"/>
            <w:noWrap/>
            <w:vAlign w:val="center"/>
            <w:hideMark/>
          </w:tcPr>
          <w:p w14:paraId="465E4AD0"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0.0242</w:t>
            </w:r>
          </w:p>
        </w:tc>
      </w:tr>
      <w:tr w:rsidR="00A74E0C" w:rsidRPr="00A74E0C" w14:paraId="7D4EB5B6" w14:textId="77777777" w:rsidTr="00A74E0C">
        <w:trPr>
          <w:trHeight w:val="409"/>
        </w:trPr>
        <w:tc>
          <w:tcPr>
            <w:tcW w:w="2248" w:type="dxa"/>
            <w:tcBorders>
              <w:top w:val="nil"/>
              <w:left w:val="nil"/>
              <w:bottom w:val="nil"/>
              <w:right w:val="single" w:sz="4" w:space="0" w:color="auto"/>
            </w:tcBorders>
            <w:shd w:val="clear" w:color="auto" w:fill="auto"/>
            <w:noWrap/>
            <w:vAlign w:val="center"/>
            <w:hideMark/>
          </w:tcPr>
          <w:p w14:paraId="17DDD0EF"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Nutrition</w:t>
            </w:r>
          </w:p>
        </w:tc>
        <w:tc>
          <w:tcPr>
            <w:tcW w:w="2248" w:type="dxa"/>
            <w:tcBorders>
              <w:top w:val="nil"/>
              <w:left w:val="nil"/>
              <w:bottom w:val="nil"/>
              <w:right w:val="nil"/>
            </w:tcBorders>
            <w:shd w:val="clear" w:color="auto" w:fill="auto"/>
            <w:noWrap/>
            <w:vAlign w:val="center"/>
            <w:hideMark/>
          </w:tcPr>
          <w:p w14:paraId="33A524C9"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43.20</w:t>
            </w:r>
          </w:p>
        </w:tc>
        <w:tc>
          <w:tcPr>
            <w:tcW w:w="2248" w:type="dxa"/>
            <w:tcBorders>
              <w:top w:val="nil"/>
              <w:left w:val="nil"/>
              <w:bottom w:val="nil"/>
              <w:right w:val="nil"/>
            </w:tcBorders>
            <w:shd w:val="clear" w:color="auto" w:fill="auto"/>
            <w:noWrap/>
            <w:vAlign w:val="center"/>
            <w:hideMark/>
          </w:tcPr>
          <w:p w14:paraId="61810331"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36.66</w:t>
            </w:r>
          </w:p>
        </w:tc>
        <w:tc>
          <w:tcPr>
            <w:tcW w:w="2248" w:type="dxa"/>
            <w:tcBorders>
              <w:top w:val="nil"/>
              <w:left w:val="nil"/>
              <w:bottom w:val="nil"/>
              <w:right w:val="nil"/>
            </w:tcBorders>
            <w:shd w:val="clear" w:color="auto" w:fill="auto"/>
            <w:noWrap/>
            <w:vAlign w:val="center"/>
            <w:hideMark/>
          </w:tcPr>
          <w:p w14:paraId="2D645647"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0.0583</w:t>
            </w:r>
          </w:p>
        </w:tc>
      </w:tr>
      <w:tr w:rsidR="00A74E0C" w:rsidRPr="00A74E0C" w14:paraId="06EA0C52" w14:textId="77777777" w:rsidTr="00A74E0C">
        <w:trPr>
          <w:trHeight w:val="409"/>
        </w:trPr>
        <w:tc>
          <w:tcPr>
            <w:tcW w:w="2248" w:type="dxa"/>
            <w:tcBorders>
              <w:top w:val="nil"/>
              <w:left w:val="nil"/>
              <w:bottom w:val="nil"/>
              <w:right w:val="single" w:sz="4" w:space="0" w:color="auto"/>
            </w:tcBorders>
            <w:shd w:val="clear" w:color="auto" w:fill="auto"/>
            <w:noWrap/>
            <w:vAlign w:val="center"/>
            <w:hideMark/>
          </w:tcPr>
          <w:p w14:paraId="4F9DF1BD"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Health</w:t>
            </w:r>
          </w:p>
        </w:tc>
        <w:tc>
          <w:tcPr>
            <w:tcW w:w="2248" w:type="dxa"/>
            <w:tcBorders>
              <w:top w:val="nil"/>
              <w:left w:val="nil"/>
              <w:bottom w:val="nil"/>
              <w:right w:val="nil"/>
            </w:tcBorders>
            <w:shd w:val="clear" w:color="auto" w:fill="auto"/>
            <w:noWrap/>
            <w:vAlign w:val="center"/>
            <w:hideMark/>
          </w:tcPr>
          <w:p w14:paraId="794FCBC7"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49.59</w:t>
            </w:r>
          </w:p>
        </w:tc>
        <w:tc>
          <w:tcPr>
            <w:tcW w:w="2248" w:type="dxa"/>
            <w:tcBorders>
              <w:top w:val="nil"/>
              <w:left w:val="nil"/>
              <w:bottom w:val="nil"/>
              <w:right w:val="nil"/>
            </w:tcBorders>
            <w:shd w:val="clear" w:color="auto" w:fill="auto"/>
            <w:noWrap/>
            <w:vAlign w:val="center"/>
            <w:hideMark/>
          </w:tcPr>
          <w:p w14:paraId="0549959F"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37.80</w:t>
            </w:r>
          </w:p>
        </w:tc>
        <w:tc>
          <w:tcPr>
            <w:tcW w:w="2248" w:type="dxa"/>
            <w:tcBorders>
              <w:top w:val="nil"/>
              <w:left w:val="nil"/>
              <w:bottom w:val="nil"/>
              <w:right w:val="nil"/>
            </w:tcBorders>
            <w:shd w:val="clear" w:color="auto" w:fill="auto"/>
            <w:noWrap/>
            <w:vAlign w:val="center"/>
            <w:hideMark/>
          </w:tcPr>
          <w:p w14:paraId="72FD9FD8"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&lt;.0001</w:t>
            </w:r>
          </w:p>
        </w:tc>
      </w:tr>
      <w:tr w:rsidR="00A74E0C" w:rsidRPr="00A74E0C" w14:paraId="3728A3A4" w14:textId="77777777" w:rsidTr="00A74E0C">
        <w:trPr>
          <w:trHeight w:val="409"/>
        </w:trPr>
        <w:tc>
          <w:tcPr>
            <w:tcW w:w="2248" w:type="dxa"/>
            <w:tcBorders>
              <w:top w:val="nil"/>
              <w:left w:val="nil"/>
              <w:bottom w:val="nil"/>
              <w:right w:val="single" w:sz="4" w:space="0" w:color="auto"/>
            </w:tcBorders>
            <w:shd w:val="clear" w:color="auto" w:fill="auto"/>
            <w:noWrap/>
            <w:vAlign w:val="center"/>
            <w:hideMark/>
          </w:tcPr>
          <w:p w14:paraId="5BE75A2A"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Selection</w:t>
            </w:r>
          </w:p>
        </w:tc>
        <w:tc>
          <w:tcPr>
            <w:tcW w:w="2248" w:type="dxa"/>
            <w:tcBorders>
              <w:top w:val="nil"/>
              <w:left w:val="nil"/>
              <w:bottom w:val="nil"/>
              <w:right w:val="nil"/>
            </w:tcBorders>
            <w:shd w:val="clear" w:color="auto" w:fill="auto"/>
            <w:noWrap/>
            <w:vAlign w:val="center"/>
            <w:hideMark/>
          </w:tcPr>
          <w:p w14:paraId="557AD5D2"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59.82</w:t>
            </w:r>
          </w:p>
        </w:tc>
        <w:tc>
          <w:tcPr>
            <w:tcW w:w="2248" w:type="dxa"/>
            <w:tcBorders>
              <w:top w:val="nil"/>
              <w:left w:val="nil"/>
              <w:bottom w:val="nil"/>
              <w:right w:val="nil"/>
            </w:tcBorders>
            <w:shd w:val="clear" w:color="auto" w:fill="auto"/>
            <w:noWrap/>
            <w:vAlign w:val="center"/>
            <w:hideMark/>
          </w:tcPr>
          <w:p w14:paraId="6469CDF3"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42.45</w:t>
            </w:r>
          </w:p>
        </w:tc>
        <w:tc>
          <w:tcPr>
            <w:tcW w:w="2248" w:type="dxa"/>
            <w:tcBorders>
              <w:top w:val="nil"/>
              <w:left w:val="nil"/>
              <w:bottom w:val="nil"/>
              <w:right w:val="nil"/>
            </w:tcBorders>
            <w:shd w:val="clear" w:color="auto" w:fill="auto"/>
            <w:noWrap/>
            <w:vAlign w:val="center"/>
            <w:hideMark/>
          </w:tcPr>
          <w:p w14:paraId="4A0EDC5C"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&lt;.0001</w:t>
            </w:r>
          </w:p>
        </w:tc>
      </w:tr>
      <w:tr w:rsidR="00A74E0C" w:rsidRPr="00A74E0C" w14:paraId="064EE096" w14:textId="77777777" w:rsidTr="00A74E0C">
        <w:trPr>
          <w:trHeight w:val="409"/>
        </w:trPr>
        <w:tc>
          <w:tcPr>
            <w:tcW w:w="2248" w:type="dxa"/>
            <w:tcBorders>
              <w:top w:val="nil"/>
              <w:left w:val="nil"/>
              <w:bottom w:val="nil"/>
              <w:right w:val="single" w:sz="4" w:space="0" w:color="auto"/>
            </w:tcBorders>
            <w:shd w:val="clear" w:color="auto" w:fill="auto"/>
            <w:noWrap/>
            <w:vAlign w:val="center"/>
            <w:hideMark/>
          </w:tcPr>
          <w:p w14:paraId="2D1AABD6" w14:textId="77777777" w:rsidR="00A74E0C" w:rsidRPr="00A74E0C" w:rsidRDefault="00A74E0C" w:rsidP="00A74E0C">
            <w:pPr>
              <w:spacing w:line="360" w:lineRule="auto"/>
              <w:jc w:val="center"/>
              <w:rPr>
                <w:rFonts w:ascii="Times New Roman" w:hAnsi="Times New Roman" w:cs="Times New Roman"/>
                <w:b/>
                <w:bCs/>
                <w:color w:val="000000"/>
              </w:rPr>
            </w:pPr>
            <w:r w:rsidRPr="00A74E0C">
              <w:rPr>
                <w:rFonts w:ascii="Times New Roman" w:hAnsi="Times New Roman" w:cs="Times New Roman"/>
                <w:b/>
                <w:bCs/>
                <w:color w:val="000000"/>
              </w:rPr>
              <w:t>Tack</w:t>
            </w:r>
          </w:p>
        </w:tc>
        <w:tc>
          <w:tcPr>
            <w:tcW w:w="2248" w:type="dxa"/>
            <w:tcBorders>
              <w:top w:val="nil"/>
              <w:left w:val="nil"/>
              <w:bottom w:val="nil"/>
              <w:right w:val="nil"/>
            </w:tcBorders>
            <w:shd w:val="clear" w:color="auto" w:fill="auto"/>
            <w:noWrap/>
            <w:vAlign w:val="center"/>
            <w:hideMark/>
          </w:tcPr>
          <w:p w14:paraId="733F01BD"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52.96</w:t>
            </w:r>
          </w:p>
        </w:tc>
        <w:tc>
          <w:tcPr>
            <w:tcW w:w="2248" w:type="dxa"/>
            <w:tcBorders>
              <w:top w:val="nil"/>
              <w:left w:val="nil"/>
              <w:bottom w:val="nil"/>
              <w:right w:val="nil"/>
            </w:tcBorders>
            <w:shd w:val="clear" w:color="auto" w:fill="auto"/>
            <w:noWrap/>
            <w:vAlign w:val="center"/>
            <w:hideMark/>
          </w:tcPr>
          <w:p w14:paraId="5332970F"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47.45</w:t>
            </w:r>
          </w:p>
        </w:tc>
        <w:tc>
          <w:tcPr>
            <w:tcW w:w="2248" w:type="dxa"/>
            <w:tcBorders>
              <w:top w:val="nil"/>
              <w:left w:val="nil"/>
              <w:bottom w:val="nil"/>
              <w:right w:val="nil"/>
            </w:tcBorders>
            <w:shd w:val="clear" w:color="auto" w:fill="auto"/>
            <w:noWrap/>
            <w:vAlign w:val="center"/>
            <w:hideMark/>
          </w:tcPr>
          <w:p w14:paraId="56DA0DC3" w14:textId="77777777" w:rsidR="00A74E0C" w:rsidRPr="00A74E0C" w:rsidRDefault="00A74E0C" w:rsidP="00A74E0C">
            <w:pPr>
              <w:spacing w:line="360" w:lineRule="auto"/>
              <w:jc w:val="center"/>
              <w:rPr>
                <w:rFonts w:ascii="Times New Roman" w:hAnsi="Times New Roman" w:cs="Times New Roman"/>
                <w:color w:val="000000"/>
              </w:rPr>
            </w:pPr>
            <w:r w:rsidRPr="00A74E0C">
              <w:rPr>
                <w:rFonts w:ascii="Times New Roman" w:hAnsi="Times New Roman" w:cs="Times New Roman"/>
                <w:color w:val="000000"/>
              </w:rPr>
              <w:t>0.3762</w:t>
            </w:r>
          </w:p>
        </w:tc>
      </w:tr>
    </w:tbl>
    <w:p w14:paraId="4215FF5B" w14:textId="3151ABB0" w:rsidR="008D5CD6" w:rsidRPr="008D5CD6" w:rsidRDefault="008D5CD6" w:rsidP="008D5CD6">
      <w:pPr>
        <w:pStyle w:val="Caption"/>
        <w:spacing w:line="360" w:lineRule="auto"/>
      </w:pPr>
      <w:bookmarkStart w:id="92" w:name="_Toc151459318"/>
      <w:r w:rsidRPr="00F02D3C">
        <w:rPr>
          <w:rFonts w:cs="Times New Roman"/>
        </w:rPr>
        <w:t xml:space="preserve">Table </w:t>
      </w:r>
      <w:r w:rsidRPr="00F02D3C">
        <w:rPr>
          <w:rFonts w:cs="Times New Roman"/>
        </w:rPr>
        <w:fldChar w:fldCharType="begin"/>
      </w:r>
      <w:r w:rsidRPr="00F02D3C">
        <w:rPr>
          <w:rFonts w:cs="Times New Roman"/>
        </w:rPr>
        <w:instrText xml:space="preserve"> SEQ Table \* ARABIC </w:instrText>
      </w:r>
      <w:r w:rsidRPr="00F02D3C">
        <w:rPr>
          <w:rFonts w:cs="Times New Roman"/>
        </w:rPr>
        <w:fldChar w:fldCharType="separate"/>
      </w:r>
      <w:r>
        <w:rPr>
          <w:rFonts w:cs="Times New Roman"/>
          <w:noProof/>
        </w:rPr>
        <w:t>10</w:t>
      </w:r>
      <w:r w:rsidRPr="00F02D3C">
        <w:rPr>
          <w:rFonts w:cs="Times New Roman"/>
        </w:rPr>
        <w:fldChar w:fldCharType="end"/>
      </w:r>
      <w:r w:rsidRPr="00F02D3C">
        <w:rPr>
          <w:rFonts w:cs="Times New Roman"/>
        </w:rPr>
        <w:t>. Comparison of percentage of correct responses from National and State contests across question categories</w:t>
      </w:r>
      <w:bookmarkEnd w:id="92"/>
      <w:r>
        <w:rPr>
          <w:rFonts w:cs="Times New Roman"/>
        </w:rPr>
        <w:br w:type="page"/>
      </w:r>
    </w:p>
    <w:p w14:paraId="0377C1AF" w14:textId="524527D5" w:rsidR="00AA7CD5" w:rsidRDefault="00AA7CD5" w:rsidP="008A6B75">
      <w:pPr>
        <w:spacing w:line="360" w:lineRule="auto"/>
        <w:rPr>
          <w:rFonts w:ascii="Times New Roman" w:hAnsi="Times New Roman" w:cs="Times New Roman"/>
        </w:rPr>
      </w:pPr>
      <w:r>
        <w:rPr>
          <w:rFonts w:ascii="Times New Roman" w:hAnsi="Times New Roman" w:cs="Times New Roman"/>
        </w:rPr>
        <w:lastRenderedPageBreak/>
        <w:t xml:space="preserve">assessment for the Tennessee 4- H Horse program to determine which equine-specific topics reflected the lowest knowledge base amongst youth. Areas of deficiency were identified within youth contest participants and county agents were given the option to participate in the annual Joint Animal Science In-Service training to learn subject material and teaching strategies to take back to their county and deliver to their hippology teams and horse project groups. The purpose of this training was to implement the effective strategy of providing professional mentorship to educators by providing supplementation related to the identified areas of deficiency and, in turn, improve contest scores in those areas in the year following the training </w:t>
      </w:r>
      <w:r>
        <w:rPr>
          <w:rFonts w:ascii="Times New Roman" w:hAnsi="Times New Roman" w:cs="Times New Roman"/>
        </w:rPr>
        <w:fldChar w:fldCharType="begin"/>
      </w:r>
      <w:r>
        <w:rPr>
          <w:rFonts w:ascii="Times New Roman" w:hAnsi="Times New Roman" w:cs="Times New Roman"/>
        </w:rPr>
        <w:instrText xml:space="preserve"> ADDIN EN.CITE &lt;EndNote&gt;&lt;Cite&gt;&lt;Author&gt;Sood&lt;/Author&gt;&lt;Year&gt;2016&lt;/Year&gt;&lt;RecNum&gt;12&lt;/RecNum&gt;&lt;DisplayText&gt;(Sood et al., 2016)&lt;/DisplayText&gt;&lt;record&gt;&lt;rec-number&gt;12&lt;/rec-number&gt;&lt;foreign-keys&gt;&lt;key app="EN" db-id="xxs5w29drx0waserr05599fudw0rtv2p2vew" timestamp="1673290543"&gt;12&lt;/key&gt;&lt;/foreign-keys&gt;&lt;ref-type name="Journal Article"&gt;17&lt;/ref-type&gt;&lt;contributors&gt;&lt;authors&gt;&lt;author&gt;Sood, Akshay&lt;/author&gt;&lt;author&gt;Tigges, Beth&lt;/author&gt;&lt;author&gt;Helitzer, Deborah&lt;/author&gt;&lt;/authors&gt;&lt;/contributors&gt;&lt;titles&gt;&lt;title&gt;Mentoring early-career faculty researchers is important—but first “train the trainer”&lt;/title&gt;&lt;secondary-title&gt;Academic medicine: journal of the Association of American Medical Colleges&lt;/secondary-title&gt;&lt;/titles&gt;&lt;periodical&gt;&lt;full-title&gt;Academic medicine: journal of the Association of American Medical Colleges&lt;/full-title&gt;&lt;/periodical&gt;&lt;pages&gt;1598&lt;/pages&gt;&lt;volume&gt;91&lt;/volume&gt;&lt;number&gt;12&lt;/number&gt;&lt;dates&gt;&lt;year&gt;2016&lt;/year&gt;&lt;/dates&gt;&lt;urls&gt;&lt;/urls&gt;&lt;/record&gt;&lt;/Cite&gt;&lt;/EndNote&gt;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(Sood et al., 2016)</w:t>
      </w:r>
      <w:r>
        <w:rPr>
          <w:rFonts w:ascii="Times New Roman" w:hAnsi="Times New Roman" w:cs="Times New Roman"/>
        </w:rPr>
        <w:fldChar w:fldCharType="end"/>
      </w:r>
      <w:r>
        <w:rPr>
          <w:rFonts w:ascii="Times New Roman" w:hAnsi="Times New Roman" w:cs="Times New Roman"/>
        </w:rPr>
        <w:t>. However, this training is only offered once per year which could limit the attendance of agents and thus limit the overall effectiveness of the training when comparing scores from year to year. Additionally, the youth participants are not the same each year, meaning that many of the contestants from the 2021 contest would not have received the additional content and training strategies given to county agents prior to the 2023 contest.  However, the overall number and demographic of participants were relatively similar with those from previous years.</w:t>
      </w:r>
    </w:p>
    <w:p w14:paraId="244E0C3A" w14:textId="77777777" w:rsidR="00AA7CD5" w:rsidRDefault="00AA7CD5" w:rsidP="008A6B75">
      <w:pPr>
        <w:spacing w:line="360" w:lineRule="auto"/>
        <w:rPr>
          <w:rFonts w:ascii="Times New Roman" w:hAnsi="Times New Roman" w:cs="Times New Roman"/>
        </w:rPr>
      </w:pPr>
    </w:p>
    <w:p w14:paraId="6137C2A4" w14:textId="77777777" w:rsidR="00AA7CD5" w:rsidRDefault="00AA7CD5" w:rsidP="008A6B75">
      <w:pPr>
        <w:pStyle w:val="Heading3"/>
        <w:spacing w:line="360" w:lineRule="auto"/>
        <w:rPr>
          <w:rFonts w:ascii="Times New Roman" w:hAnsi="Times New Roman" w:cs="Times New Roman"/>
        </w:rPr>
      </w:pPr>
      <w:bookmarkStart w:id="93" w:name="_Toc139831960"/>
      <w:bookmarkStart w:id="94" w:name="_Toc151023720"/>
      <w:r w:rsidRPr="00C83A42">
        <w:rPr>
          <w:rFonts w:ascii="Times New Roman" w:hAnsi="Times New Roman" w:cs="Times New Roman"/>
        </w:rPr>
        <w:t>Differences Between Age Divisions</w:t>
      </w:r>
      <w:bookmarkEnd w:id="93"/>
      <w:bookmarkEnd w:id="94"/>
    </w:p>
    <w:p w14:paraId="333308E9"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Overall, junior-high level participants (6-8 graders) outperformed those of the junior level (4-5 graders). Likely, those participants in the junior age division have had little to no previous exposure to contest material or subject matter whereas those in the junior-high age division have some previous experience with the contest and the material contained within it. Therefore, it could be expected for junior level contestants to be outperformed by those of an older age group. Surprisingly, junior-high participants also outperformed senior level participants (9-12 graders). There are several factors that could influence this difference in performance. Firstly, question difficulty drastically increases between the junior-high and senior level where more in-depth and applied knowledge is required to do well in the senior level contest. This coincides with the learning strategies explained in Bloom’s Taxonomy </w:t>
      </w:r>
      <w:r>
        <w:rPr>
          <w:rFonts w:ascii="Times New Roman" w:hAnsi="Times New Roman" w:cs="Times New Roman"/>
        </w:rPr>
        <w:fldChar w:fldCharType="begin"/>
      </w:r>
      <w:r>
        <w:rPr>
          <w:rFonts w:ascii="Times New Roman" w:hAnsi="Times New Roman" w:cs="Times New Roman"/>
        </w:rPr>
        <w:instrText xml:space="preserve"> ADDIN EN.CITE &lt;EndNote&gt;&lt;Cite&gt;&lt;Author&gt;Forehand&lt;/Author&gt;&lt;Year&gt;2010&lt;/Year&gt;&lt;RecNum&gt;43&lt;/RecNum&gt;&lt;DisplayText&gt;(Forehand, 2010)&lt;/DisplayText&gt;&lt;record&gt;&lt;rec-number&gt;43&lt;/rec-number&gt;&lt;foreign-keys&gt;&lt;key app="EN" db-id="xxs5w29drx0waserr05599fudw0rtv2p2vew" timestamp="1691115595"&gt;43&lt;/key&gt;&lt;/foreign-keys&gt;&lt;ref-type name="Journal Article"&gt;17&lt;/ref-type&gt;&lt;contributors&gt;&lt;authors&gt;&lt;author&gt;Forehand, Mary&lt;/author&gt;&lt;/authors&gt;&lt;/contributors&gt;&lt;titles&gt;&lt;title&gt;Bloom’s taxonomy&lt;/title&gt;&lt;secondary-title&gt;Emerging perspectives on learning, teaching, and technology&lt;/secondary-title&gt;&lt;/titles&gt;&lt;periodical&gt;&lt;full-title&gt;Emerging perspectives on learning, teaching, and technology&lt;/full-title&gt;&lt;/periodical&gt;&lt;pages&gt;47-56&lt;/pages&gt;&lt;volume&gt;41&lt;/volume&gt;&lt;number&gt;4&lt;/number&gt;&lt;dates&gt;&lt;year&gt;2010&lt;/year&gt;&lt;/dates&gt;&lt;urls&gt;&lt;/urls&gt;&lt;/record&gt;&lt;/Cite&gt;&lt;/EndNote&gt;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(Forehand, 2010)</w:t>
      </w:r>
      <w:r>
        <w:rPr>
          <w:rFonts w:ascii="Times New Roman" w:hAnsi="Times New Roman" w:cs="Times New Roman"/>
        </w:rPr>
        <w:fldChar w:fldCharType="end"/>
      </w:r>
      <w:r>
        <w:rPr>
          <w:rFonts w:ascii="Times New Roman" w:hAnsi="Times New Roman" w:cs="Times New Roman"/>
        </w:rPr>
        <w:t xml:space="preserve">. For example, senior level participants are required to know genetic coding for coat colors rather than just identifying a coat color based on phenotype. This could indicate the need to lower the overall difficulty of senior level questions or provide supplemental instruction at the junior-high level to better prepare </w:t>
      </w:r>
      <w:r>
        <w:rPr>
          <w:rFonts w:ascii="Times New Roman" w:hAnsi="Times New Roman" w:cs="Times New Roman"/>
        </w:rPr>
        <w:lastRenderedPageBreak/>
        <w:t xml:space="preserve">those participants for the new topics that are introduced when they are promoted to the senior age division. In order to combat the lack of performance from senior level participants, agents and educators may need to implement more effective teaching strategies to ensure that students are fully able to utilize the content. Higher order thinking strategies from Bloom’s Taxonomy like “creating” and “evaluating” should be developed amongst senior level youth (Forehand, 2010). Additionally, this increase in presence of advanced concepts could result in lack of adequate training from some agents. For example, agents may not be familiar with genetic diseases, reproductive physiology, or exercise science and, thus, fail to teach those concepts to their senior level hippology teams. Additionally, it has been indicated that lack of time, lack of funding, and high work load present barriers for extension agents </w:t>
      </w:r>
      <w:r>
        <w:rPr>
          <w:rFonts w:ascii="Times New Roman" w:hAnsi="Times New Roman" w:cs="Times New Roman"/>
        </w:rPr>
        <w:fldChar w:fldCharType="begin"/>
      </w:r>
      <w:r>
        <w:rPr>
          <w:rFonts w:ascii="Times New Roman" w:hAnsi="Times New Roman" w:cs="Times New Roman"/>
        </w:rPr>
        <w:instrText xml:space="preserve"> ADDIN EN.CITE &lt;EndNote&gt;&lt;Cite&gt;&lt;Author&gt;Lakai&lt;/Author&gt;&lt;Year&gt;2012&lt;/Year&gt;&lt;RecNum&gt;7&lt;/RecNum&gt;&lt;DisplayText&gt;(Lakai et al., 2012)&lt;/DisplayText&gt;&lt;record&gt;&lt;rec-number&gt;7&lt;/rec-number&gt;&lt;foreign-keys&gt;&lt;key app="EN" db-id="xxs5w29drx0waserr05599fudw0rtv2p2vew" timestamp="1673280435"&gt;7&lt;/key&gt;&lt;/foreign-keys&gt;&lt;ref-type name="Journal Article"&gt;17&lt;/ref-type&gt;&lt;contributors&gt;&lt;authors&gt;&lt;author&gt;Lakai, Dona&lt;/author&gt;&lt;author&gt;Jayaratne, KSU&lt;/author&gt;&lt;author&gt;Moore, Gary E&lt;/author&gt;&lt;author&gt;Kistler, Mark J&lt;/author&gt;&lt;/authors&gt;&lt;/contributors&gt;&lt;titles&gt;&lt;title&gt;Barriers and effective educational strategies to develop extension agents’ professional competencies&lt;/title&gt;&lt;secondary-title&gt;Journal of Extension&lt;/secondary-title&gt;&lt;/titles&gt;&lt;periodical&gt;&lt;full-title&gt;Journal of Extension&lt;/full-title&gt;&lt;/periodical&gt;&lt;pages&gt;1-7&lt;/pages&gt;&lt;volume&gt;50&lt;/volume&gt;&lt;number&gt;4&lt;/number&gt;&lt;dates&gt;&lt;year&gt;2012&lt;/year&gt;&lt;/dates&gt;&lt;isbn&gt;1077-5315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(Lakai et al., 2012)</w:t>
      </w:r>
      <w:r>
        <w:rPr>
          <w:rFonts w:ascii="Times New Roman" w:hAnsi="Times New Roman" w:cs="Times New Roman"/>
        </w:rPr>
        <w:fldChar w:fldCharType="end"/>
      </w:r>
      <w:r>
        <w:rPr>
          <w:rFonts w:ascii="Times New Roman" w:hAnsi="Times New Roman" w:cs="Times New Roman"/>
        </w:rPr>
        <w:t xml:space="preserve">. In some cases, county hippology teams are coached by outside volunteers rather than county agents. The same concept holds true related to the knowledge and skills of those volunteer leaders. </w:t>
      </w:r>
    </w:p>
    <w:p w14:paraId="47E9ABBC" w14:textId="77777777" w:rsidR="00AA7CD5" w:rsidRDefault="00AA7CD5" w:rsidP="008A6B75">
      <w:pPr>
        <w:spacing w:line="360" w:lineRule="auto"/>
        <w:rPr>
          <w:rFonts w:ascii="Times New Roman" w:hAnsi="Times New Roman" w:cs="Times New Roman"/>
        </w:rPr>
      </w:pPr>
    </w:p>
    <w:p w14:paraId="6A6E2402" w14:textId="77777777" w:rsidR="00AA7CD5" w:rsidRDefault="00AA7CD5" w:rsidP="008A6B75">
      <w:pPr>
        <w:pStyle w:val="Heading3"/>
        <w:spacing w:line="360" w:lineRule="auto"/>
        <w:rPr>
          <w:rFonts w:ascii="Times New Roman" w:hAnsi="Times New Roman" w:cs="Times New Roman"/>
        </w:rPr>
      </w:pPr>
      <w:bookmarkStart w:id="95" w:name="_Toc139831961"/>
      <w:bookmarkStart w:id="96" w:name="_Toc151023721"/>
      <w:r w:rsidRPr="00A961C5">
        <w:rPr>
          <w:rFonts w:ascii="Times New Roman" w:hAnsi="Times New Roman" w:cs="Times New Roman"/>
        </w:rPr>
        <w:t>Differences Between Question Categories</w:t>
      </w:r>
      <w:bookmarkEnd w:id="95"/>
      <w:bookmarkEnd w:id="96"/>
    </w:p>
    <w:p w14:paraId="1E686354"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Across all age divisions, results indicated a higher likelihood of participants answering breed questions correctly compared to all other questions categories. Likely, this is due to the material being relatively easy to understand and memorize. For example, there are a limited number of breeds, and they can be seen and memorized relatively quickly when compared to the more scientific concepts in other question categories. Alternatively, tack related questions reflected the lowest likelihood of being answered correctly by all age divisions. One explanation for this is the vast array of tack and equipment items that can be seen in the equine industry when comparing across the large variety of specific disciplines. Additionally, some of the more uncommon tack items such as pack saddles or driving equipment may not be the focus of agent instruction due to the lack of commonality in our geographic area. Another potential explanation for the lack of performance in the tack category is unintentional agent bias due to discipline familiarity. Horse savvy agents may compete or be more familiar with a certain discipline and thus focus more of their instruction toward tack and equipment related to that specific discipline. This could lead to participants lacking equal knowledge of tack and equipment across multiple disciplines. Despite the lack of research pertaining to performance within youth livestock and equine educational </w:t>
      </w:r>
      <w:r>
        <w:rPr>
          <w:rFonts w:ascii="Times New Roman" w:hAnsi="Times New Roman" w:cs="Times New Roman"/>
        </w:rPr>
        <w:lastRenderedPageBreak/>
        <w:t xml:space="preserve">contests, these explanations align with previous findings that content contained within the question itself is just as influential as question or stimulus format when evaluating learner performance via written or visual exam </w:t>
      </w:r>
      <w:r>
        <w:rPr>
          <w:rFonts w:ascii="Times New Roman" w:hAnsi="Times New Roman" w:cs="Times New Roman"/>
        </w:rPr>
        <w:fldChar w:fldCharType="begin"/>
      </w:r>
      <w:r>
        <w:rPr>
          <w:rFonts w:ascii="Times New Roman" w:hAnsi="Times New Roman" w:cs="Times New Roman"/>
        </w:rPr>
        <w:instrText xml:space="preserve"> ADDIN EN.CITE &lt;EndNote&gt;&lt;Cite&gt;&lt;Author&gt;Schuwirth&lt;/Author&gt;&lt;Year&gt;2004&lt;/Year&gt;&lt;RecNum&gt;28&lt;/RecNum&gt;&lt;DisplayText&gt;(Schuwirth &amp;amp; Van Der Vleuten, 2004)&lt;/DisplayText&gt;&lt;record&gt;&lt;rec-number&gt;28&lt;/rec-number&gt;&lt;foreign-keys&gt;&lt;key app="EN" db-id="xxs5w29drx0waserr05599fudw0rtv2p2vew" timestamp="1675106861"&gt;28&lt;/key&gt;&lt;/foreign-keys&gt;&lt;ref-type name="Journal Article"&gt;17&lt;/ref-type&gt;&lt;contributors&gt;&lt;authors&gt;&lt;author&gt;Schuwirth, Lambert W. T.&lt;/author&gt;&lt;author&gt;Van Der Vleuten, Cees P. M.&lt;/author&gt;&lt;/authors&gt;&lt;/contributors&gt;&lt;titles&gt;&lt;title&gt;Different written assessment methods: what can be said about their strengths and weaknesses?&lt;/title&gt;&lt;secondary-title&gt;Medical Education&lt;/secondary-title&gt;&lt;/titles&gt;&lt;periodical&gt;&lt;full-title&gt;Medical Education&lt;/full-title&gt;&lt;/periodical&gt;&lt;pages&gt;974-979&lt;/pages&gt;&lt;volume&gt;38&lt;/volume&gt;&lt;number&gt;9&lt;/number&gt;&lt;dates&gt;&lt;year&gt;2004&lt;/year&gt;&lt;/dates&gt;&lt;publisher&gt;Wiley&lt;/publisher&gt;&lt;isbn&gt;0308-0110&lt;/isbn&gt;&lt;urls&gt;&lt;related-urls&gt;&lt;url&gt;https://dx.doi.org/10.1111/j.1365-2929.2004.01916.x&lt;/url&gt;&lt;/related-urls&gt;&lt;/urls&gt;&lt;electronic-resource-num&gt;10.1111/j.1365-2929.2004.01916.x&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(Schuwirth &amp; Van Der Vleuten, 2004)</w:t>
      </w:r>
      <w:r>
        <w:rPr>
          <w:rFonts w:ascii="Times New Roman" w:hAnsi="Times New Roman" w:cs="Times New Roman"/>
        </w:rPr>
        <w:fldChar w:fldCharType="end"/>
      </w:r>
      <w:r>
        <w:rPr>
          <w:rFonts w:ascii="Times New Roman" w:hAnsi="Times New Roman" w:cs="Times New Roman"/>
        </w:rPr>
        <w:t xml:space="preserve">. </w:t>
      </w:r>
    </w:p>
    <w:p w14:paraId="25B757FF" w14:textId="77777777" w:rsidR="00AA7CD5" w:rsidRDefault="00AA7CD5" w:rsidP="008A6B75">
      <w:pPr>
        <w:spacing w:line="360" w:lineRule="auto"/>
        <w:rPr>
          <w:rFonts w:ascii="Times New Roman" w:hAnsi="Times New Roman" w:cs="Times New Roman"/>
        </w:rPr>
      </w:pPr>
    </w:p>
    <w:p w14:paraId="05B79A3F" w14:textId="77777777" w:rsidR="00AA7CD5" w:rsidRPr="00D41865" w:rsidRDefault="00AA7CD5" w:rsidP="008A6B75">
      <w:pPr>
        <w:pStyle w:val="Heading3"/>
        <w:spacing w:line="360" w:lineRule="auto"/>
        <w:rPr>
          <w:rFonts w:ascii="Times New Roman" w:hAnsi="Times New Roman" w:cs="Times New Roman"/>
        </w:rPr>
      </w:pPr>
      <w:bookmarkStart w:id="97" w:name="_Toc139831962"/>
      <w:bookmarkStart w:id="98" w:name="_Toc151023722"/>
      <w:r w:rsidRPr="00D41865">
        <w:rPr>
          <w:rFonts w:ascii="Times New Roman" w:hAnsi="Times New Roman" w:cs="Times New Roman"/>
        </w:rPr>
        <w:t>Differences Between Year</w:t>
      </w:r>
      <w:r>
        <w:rPr>
          <w:rFonts w:ascii="Times New Roman" w:hAnsi="Times New Roman" w:cs="Times New Roman"/>
        </w:rPr>
        <w:t xml:space="preserve"> and Training Status</w:t>
      </w:r>
      <w:bookmarkEnd w:id="97"/>
      <w:bookmarkEnd w:id="98"/>
    </w:p>
    <w:p w14:paraId="6FA516BC"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Surprisingly, performance in areas of deficiency was greater in 2021 when compared to 2023 and no effect of training status was observed. Previous research has indicated that train-the-trainer program prove successful across a variety of industries, including agriculture </w: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bj48dXJscz48L3VybHM+PC9yZWNvcmQ+PC9DaXRlPjxDaXRlPjxBdXRob3I+Q2FycnV0aDwvQXV0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PEVuZE5vdGU+PENpdGU+PEF1dGhvcj5CZXNzPC9BdXRob3I+PFllYXI+MjAwMzwvWWVhcj48UmVj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(Bess et al., 2003; Carruth et al., 2010; Orfaly et al., 2005; Pancucci, 2007; Sood et al., 2016)</w:t>
      </w:r>
      <w:r>
        <w:rPr>
          <w:rFonts w:ascii="Times New Roman" w:hAnsi="Times New Roman" w:cs="Times New Roman"/>
        </w:rPr>
        <w:fldChar w:fldCharType="end"/>
      </w:r>
      <w:r>
        <w:rPr>
          <w:rFonts w:ascii="Times New Roman" w:hAnsi="Times New Roman" w:cs="Times New Roman"/>
        </w:rPr>
        <w:t xml:space="preserve">. Therefore, it was expected that scores would improve between years due to the implementation of agent training and curriculum development. There are several potential explanations for this result. Firstly, contest structure could play a vital role in the overall performance of the youth. In 2021, the Tennessee Regional Hippology contests were held virtually due to the COVID-19 pandemic. During this period, contestants completed the written exam and slide identification phases of the contest through a Google Form. On the other hand, the 2023 contests were held in-person as they traditionally have been where contestants answer questions from a physical copy of the written exam and view slides in-person. Research has shown that learners engaging in strictly online education platforms have equal or increased success and satisfaction when compared to face-to-face models </w:t>
      </w:r>
      <w:r>
        <w:rPr>
          <w:rFonts w:ascii="Times New Roman" w:hAnsi="Times New Roman" w:cs="Times New Roman"/>
        </w:rPr>
        <w:fldChar w:fldCharType="begin"/>
      </w:r>
      <w:r>
        <w:rPr>
          <w:rFonts w:ascii="Times New Roman" w:hAnsi="Times New Roman" w:cs="Times New Roman"/>
        </w:rPr>
        <w:instrText xml:space="preserve"> ADDIN EN.CITE &lt;EndNote&gt;&lt;Cite&gt;&lt;Author&gt;Neuhauser&lt;/Author&gt;&lt;Year&gt;2002&lt;/Year&gt;&lt;RecNum&gt;23&lt;/RecNum&gt;&lt;DisplayText&gt;(Huang, 2020; Neuhauser, 2002)&lt;/DisplayText&gt;&lt;record&gt;&lt;rec-number&gt;23&lt;/rec-number&gt;&lt;foreign-keys&gt;&lt;key app="EN" db-id="xxs5w29drx0waserr05599fudw0rtv2p2vew" timestamp="1675104440"&gt;23&lt;/key&gt;&lt;/foreign-keys&gt;&lt;ref-type name="Journal Article"&gt;17&lt;/ref-type&gt;&lt;contributors&gt;&lt;authors&gt;&lt;author&gt;Neuhauser, Charlotte&lt;/author&gt;&lt;/authors&gt;&lt;/contributors&gt;&lt;titles&gt;&lt;title&gt;Learning Style and Effectiveness of Online and Face-to-Face Instruction&lt;/title&gt;&lt;secondary-title&gt;American Journal of Distance Education&lt;/secondary-title&gt;&lt;/titles&gt;&lt;periodical&gt;&lt;full-title&gt;American Journal of Distance Education&lt;/full-title&gt;&lt;/periodical&gt;&lt;pages&gt;99-113&lt;/pages&gt;&lt;volume&gt;16&lt;/volume&gt;&lt;number&gt;2&lt;/number&gt;&lt;dates&gt;&lt;year&gt;2002&lt;/year&gt;&lt;/dates&gt;&lt;publisher&gt;Informa UK Limited&lt;/publisher&gt;&lt;isbn&gt;0892-3647&lt;/isbn&gt;&lt;urls&gt;&lt;related-urls&gt;&lt;url&gt;https://dx.doi.org/10.1207/s15389286ajde1602_4&lt;/url&gt;&lt;/related-urls&gt;&lt;/urls&gt;&lt;electronic-resource-num&gt;10.1207/s15389286ajde1602_4&lt;/electronic-resource-num&gt;&lt;/record&gt;&lt;/Cite&gt;&lt;Cite&gt;&lt;Author&gt;Huang&lt;/Author&gt;&lt;Year&gt;2020&lt;/Year&gt;&lt;RecNum&gt;26&lt;/RecNum&gt;&lt;record&gt;&lt;rec-number&gt;26&lt;/rec-number&gt;&lt;foreign-keys&gt;&lt;key app="EN" db-id="xxs5w29drx0waserr05599fudw0rtv2p2vew" timestamp="1675105431"&gt;26&lt;/key&gt;&lt;/foreign-keys&gt;&lt;ref-type name="Journal Article"&gt;17&lt;/ref-type&gt;&lt;contributors&gt;&lt;authors&gt;&lt;author&gt;Huang, Jie&lt;/author&gt;&lt;/authors&gt;&lt;/contributors&gt;&lt;titles&gt;&lt;title&gt;Successes and Challenges: Online Teaching and Learning of Chemistry in Higher Education in China in the Time of COVID-19&lt;/title&gt;&lt;secondary-title&gt;Journal of Chemical Education&lt;/secondary-title&gt;&lt;/titles&gt;&lt;periodical&gt;&lt;full-title&gt;Journal of Chemical Education&lt;/full-title&gt;&lt;/periodical&gt;&lt;pages&gt;2810-2814&lt;/pages&gt;&lt;volume&gt;97&lt;/volume&gt;&lt;number&gt;9&lt;/number&gt;&lt;dates&gt;&lt;year&gt;2020&lt;/year&gt;&lt;/dates&gt;&lt;publisher&gt;American Chemical Society (ACS)&lt;/publisher&gt;&lt;isbn&gt;0021-9584&lt;/isbn&gt;&lt;urls&gt;&lt;related-urls&gt;&lt;url&gt;https://dx.doi.org/10.1021/acs.jchemed.0c00671&lt;/url&gt;&lt;/related-urls&gt;&lt;/urls&gt;&lt;electronic-resource-num&gt;10.1021/acs.jchemed.0c00671&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(Huang, 2020; Neuhauser, 2002)</w:t>
      </w:r>
      <w:r>
        <w:rPr>
          <w:rFonts w:ascii="Times New Roman" w:hAnsi="Times New Roman" w:cs="Times New Roman"/>
        </w:rPr>
        <w:fldChar w:fldCharType="end"/>
      </w:r>
      <w:r>
        <w:rPr>
          <w:rFonts w:ascii="Times New Roman" w:hAnsi="Times New Roman" w:cs="Times New Roman"/>
        </w:rPr>
        <w:t xml:space="preserve">. Therefore, participating in a strictly virtual contest could have provided students with comfort or lack of nervousness that is typical with in-person competition and, thus, resulting in higher overall scores. </w:t>
      </w:r>
    </w:p>
    <w:p w14:paraId="2B661ED0" w14:textId="77777777" w:rsidR="00AA7CD5" w:rsidRDefault="00AA7CD5" w:rsidP="008A6B75">
      <w:pPr>
        <w:spacing w:line="360" w:lineRule="auto"/>
        <w:rPr>
          <w:rFonts w:ascii="Times New Roman" w:hAnsi="Times New Roman" w:cs="Times New Roman"/>
        </w:rPr>
      </w:pPr>
    </w:p>
    <w:p w14:paraId="07B8D66D"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Additionally, there is the potential of a “lag effect” on the training provided to the agents. The agent training and introduction of supplemental curriculum was provided in December of 2022 prior to the regional contests that took place in February of 2023. It is likely that coaches provided instruction on these target content areas prior to receiving the training, causing them to implement the new material in the following year. Finally, agent turnover could also play a role in affecting the overall scores in the observed areas of deficiency. For example, an agent could have received the training and curriculum but left their county position prior to implementing it. </w:t>
      </w:r>
      <w:r>
        <w:rPr>
          <w:rFonts w:ascii="Times New Roman" w:hAnsi="Times New Roman" w:cs="Times New Roman"/>
        </w:rPr>
        <w:lastRenderedPageBreak/>
        <w:t xml:space="preserve">Therefore, participants in those particular counties would not have received instruction from the new training and curriculum presented to the agents at the in-service training. </w:t>
      </w:r>
    </w:p>
    <w:p w14:paraId="5906C44D" w14:textId="77777777" w:rsidR="00AA7CD5" w:rsidRDefault="00AA7CD5" w:rsidP="008A6B75">
      <w:pPr>
        <w:spacing w:line="360" w:lineRule="auto"/>
        <w:rPr>
          <w:rFonts w:ascii="Times New Roman" w:hAnsi="Times New Roman" w:cs="Times New Roman"/>
        </w:rPr>
      </w:pPr>
    </w:p>
    <w:p w14:paraId="73A59A5B" w14:textId="77777777" w:rsidR="00AA7CD5" w:rsidRDefault="00AA7CD5" w:rsidP="008A6B75">
      <w:pPr>
        <w:pStyle w:val="Heading3"/>
        <w:spacing w:line="360" w:lineRule="auto"/>
        <w:rPr>
          <w:rFonts w:ascii="Times New Roman" w:hAnsi="Times New Roman" w:cs="Times New Roman"/>
        </w:rPr>
      </w:pPr>
      <w:bookmarkStart w:id="99" w:name="_Toc139831963"/>
      <w:bookmarkStart w:id="100" w:name="_Toc151023723"/>
      <w:r w:rsidRPr="00D8579B">
        <w:rPr>
          <w:rFonts w:ascii="Times New Roman" w:hAnsi="Times New Roman" w:cs="Times New Roman"/>
        </w:rPr>
        <w:t>Difference in Senior Scores Between State and National</w:t>
      </w:r>
      <w:bookmarkEnd w:id="99"/>
      <w:bookmarkEnd w:id="100"/>
    </w:p>
    <w:p w14:paraId="331F93D7"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An overall difference in performance was observed when comparing senior level competitors from the Tennessee state contests to those in the Eastern National contest. It was shown that state level participants had higher performance in all question categories. Most likely, this is due to the significant increase in content difficulty between the Tennessee regional contests and the Eastern National contests. Additionally, the structure of the contests is slightly different. At the Eastern National contest, participants must rotate through stations and answer questions independently without the ability to converse and seek help from their teammates, thus adding increased stress, nervousness, autonomy. </w:t>
      </w:r>
    </w:p>
    <w:p w14:paraId="5D775F78" w14:textId="77777777" w:rsidR="00AA7CD5" w:rsidRDefault="00AA7CD5" w:rsidP="008A6B75">
      <w:pPr>
        <w:spacing w:line="360" w:lineRule="auto"/>
        <w:rPr>
          <w:rFonts w:ascii="Times New Roman" w:hAnsi="Times New Roman" w:cs="Times New Roman"/>
        </w:rPr>
      </w:pPr>
    </w:p>
    <w:p w14:paraId="4796598E" w14:textId="77777777" w:rsidR="00AA7CD5" w:rsidRPr="00D8579B" w:rsidRDefault="00AA7CD5" w:rsidP="008A6B75">
      <w:pPr>
        <w:pStyle w:val="Heading3"/>
        <w:spacing w:line="360" w:lineRule="auto"/>
        <w:rPr>
          <w:rFonts w:ascii="Times New Roman" w:hAnsi="Times New Roman" w:cs="Times New Roman"/>
        </w:rPr>
      </w:pPr>
      <w:bookmarkStart w:id="101" w:name="_Toc139831964"/>
      <w:bookmarkStart w:id="102" w:name="_Toc151023724"/>
      <w:r w:rsidRPr="00D8579B">
        <w:rPr>
          <w:rFonts w:ascii="Times New Roman" w:hAnsi="Times New Roman" w:cs="Times New Roman"/>
        </w:rPr>
        <w:t>Limitations</w:t>
      </w:r>
      <w:bookmarkEnd w:id="101"/>
      <w:bookmarkEnd w:id="102"/>
    </w:p>
    <w:p w14:paraId="6DF68A0E"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Tennessee regional hippology contests were delivered in different formats in 2021 and 2023. The COVID-19 pandemic resulted in the 2021 contests to be delivered in a fully online platform as opposed to the in-person format of the 2023 contests. This could skew performance results due to participant preferences and learning styles related to online and in-person delivery. Despite this limitation, data collection from this study has the potential to provide comparative information on hippology contestant performance in an online setting vs. an in-person model. The literature suggests that performance is not negatively affected when engaging in a strictly online learning model as opposed to a fully face-to-face approach </w:t>
      </w:r>
      <w:r>
        <w:rPr>
          <w:rFonts w:ascii="Times New Roman" w:hAnsi="Times New Roman" w:cs="Times New Roman"/>
        </w:rPr>
        <w:fldChar w:fldCharType="begin"/>
      </w:r>
      <w:r>
        <w:rPr>
          <w:rFonts w:ascii="Times New Roman" w:hAnsi="Times New Roman" w:cs="Times New Roman"/>
        </w:rPr>
        <w:instrText xml:space="preserve"> ADDIN EN.CITE &lt;EndNote&gt;&lt;Cite&gt;&lt;Author&gt;Neuhauser&lt;/Author&gt;&lt;Year&gt;2002&lt;/Year&gt;&lt;RecNum&gt;23&lt;/RecNum&gt;&lt;DisplayText&gt;(Neuhauser, 2002)&lt;/DisplayText&gt;&lt;record&gt;&lt;rec-number&gt;23&lt;/rec-number&gt;&lt;foreign-keys&gt;&lt;key app="EN" db-id="xxs5w29drx0waserr05599fudw0rtv2p2vew" timestamp="1675104440"&gt;23&lt;/key&gt;&lt;/foreign-keys&gt;&lt;ref-type name="Journal Article"&gt;17&lt;/ref-type&gt;&lt;contributors&gt;&lt;authors&gt;&lt;author&gt;Neuhauser, Charlotte&lt;/author&gt;&lt;/authors&gt;&lt;/contributors&gt;&lt;titles&gt;&lt;title&gt;Learning Style and Effectiveness of Online and Face-to-Face Instruction&lt;/title&gt;&lt;secondary-title&gt;American Journal of Distance Education&lt;/secondary-title&gt;&lt;/titles&gt;&lt;periodical&gt;&lt;full-title&gt;American Journal of Distance Education&lt;/full-title&gt;&lt;/periodical&gt;&lt;pages&gt;99-113&lt;/pages&gt;&lt;volume&gt;16&lt;/volume&gt;&lt;number&gt;2&lt;/number&gt;&lt;dates&gt;&lt;year&gt;2002&lt;/year&gt;&lt;/dates&gt;&lt;publisher&gt;Informa UK Limited&lt;/publisher&gt;&lt;isbn&gt;0892-3647&lt;/isbn&gt;&lt;urls&gt;&lt;related-urls&gt;&lt;url&gt;https://dx.doi.org/10.1207/s15389286ajde1602_4&lt;/url&gt;&lt;/related-urls&gt;&lt;/urls&gt;&lt;electronic-resource-num&gt;10.1207/s15389286ajde1602_4&lt;/electronic-resource-num&gt;&lt;/record&gt;&lt;/Cite&gt;&lt;/EndNote&gt;</w:instrText>
      </w:r>
      <w:r>
        <w:rPr>
          <w:rFonts w:ascii="Times New Roman" w:hAnsi="Times New Roman" w:cs="Times New Roman"/>
        </w:rPr>
        <w:fldChar w:fldCharType="separate"/>
      </w:r>
      <w:r>
        <w:rPr>
          <w:rFonts w:ascii="Times New Roman" w:hAnsi="Times New Roman" w:cs="Times New Roman"/>
          <w:noProof/>
        </w:rPr>
        <w:t>(Neuhauser, 2002)</w:t>
      </w:r>
      <w:r>
        <w:rPr>
          <w:rFonts w:ascii="Times New Roman" w:hAnsi="Times New Roman" w:cs="Times New Roman"/>
        </w:rPr>
        <w:fldChar w:fldCharType="end"/>
      </w:r>
      <w:r>
        <w:rPr>
          <w:rFonts w:ascii="Times New Roman" w:hAnsi="Times New Roman" w:cs="Times New Roman"/>
        </w:rPr>
        <w:t xml:space="preserve">. Conversely, learners commonly prefer a face-to-face setting, so future research is warranted to determine if the contest structure impacted contestant performance </w:t>
      </w:r>
      <w:r>
        <w:rPr>
          <w:rFonts w:ascii="Times New Roman" w:hAnsi="Times New Roman" w:cs="Times New Roman"/>
        </w:rPr>
        <w:fldChar w:fldCharType="begin"/>
      </w:r>
      <w:r>
        <w:rPr>
          <w:rFonts w:ascii="Times New Roman" w:hAnsi="Times New Roman" w:cs="Times New Roman"/>
        </w:rPr>
        <w:instrText xml:space="preserve"> ADDIN EN.CITE &lt;EndNote&gt;&lt;Cite&gt;&lt;Author&gt;Allen&lt;/Author&gt;&lt;Year&gt;2002&lt;/Year&gt;&lt;RecNum&gt;22&lt;/RecNum&gt;&lt;DisplayText&gt;(Allen et al., 2002; Carrol &amp;amp; Burke, 2010)&lt;/DisplayText&gt;&lt;record&gt;&lt;rec-number&gt;22&lt;/rec-number&gt;&lt;foreign-keys&gt;&lt;key app="EN" db-id="xxs5w29drx0waserr05599fudw0rtv2p2vew" timestamp="1675104257"&gt;22&lt;/key&gt;&lt;/foreign-keys&gt;&lt;ref-type name="Journal Article"&gt;17&lt;/ref-type&gt;&lt;contributors&gt;&lt;authors&gt;&lt;author&gt;Allen, Mike&lt;/author&gt;&lt;author&gt;Bourhis, John&lt;/author&gt;&lt;author&gt;Burrell, Nancy&lt;/author&gt;&lt;author&gt;Mabry, Edward&lt;/author&gt;&lt;/authors&gt;&lt;/contributors&gt;&lt;titles&gt;&lt;title&gt;Comparing Student Satisfaction With Distance Education to Traditional Classrooms in Higher Education: A Meta-Analysis&lt;/title&gt;&lt;secondary-title&gt;American Journal of Distance Education&lt;/secondary-title&gt;&lt;/titles&gt;&lt;periodical&gt;&lt;full-title&gt;American Journal of Distance Education&lt;/full-title&gt;&lt;/periodical&gt;&lt;pages&gt;83-97&lt;/pages&gt;&lt;volume&gt;16&lt;/volume&gt;&lt;number&gt;2&lt;/number&gt;&lt;dates&gt;&lt;year&gt;2002&lt;/year&gt;&lt;/dates&gt;&lt;publisher&gt;Informa UK Limited&lt;/publisher&gt;&lt;isbn&gt;0892-3647&lt;/isbn&gt;&lt;urls&gt;&lt;related-urls&gt;&lt;url&gt;https://dx.doi.org/10.1207/s15389286ajde1602_3&lt;/url&gt;&lt;/related-urls&gt;&lt;/urls&gt;&lt;electronic-resource-num&gt;10.1207/s15389286ajde1602_3&lt;/electronic-resource-num&gt;&lt;/record&gt;&lt;/Cite&gt;&lt;Cite&gt;&lt;Author&gt;Carrol&lt;/Author&gt;&lt;Year&gt;2010&lt;/Year&gt;&lt;RecNum&gt;18&lt;/RecNum&gt;&lt;record&gt;&lt;rec-number&gt;18&lt;/rec-number&gt;&lt;foreign-keys&gt;&lt;key app="EN" db-id="xxs5w29drx0waserr05599fudw0rtv2p2vew" timestamp="1673291257"&gt;18&lt;/key&gt;&lt;/foreign-keys&gt;&lt;ref-type name="Journal Article"&gt;17&lt;/ref-type&gt;&lt;contributors&gt;&lt;authors&gt;&lt;author&gt;Carrol, Norman E&lt;/author&gt;&lt;author&gt;Burke, Molly&lt;/author&gt;&lt;/authors&gt;&lt;/contributors&gt;&lt;titles&gt;&lt;title&gt;Learning Effectiveness Using Different Teaching Modalities&lt;/title&gt;&lt;secondary-title&gt;American Journal of Business Education&lt;/secondary-title&gt;&lt;/titles&gt;&lt;periodical&gt;&lt;full-title&gt;American Journal of Business Education&lt;/full-title&gt;&lt;/periodical&gt;&lt;pages&gt;65-76&lt;/pages&gt;&lt;volume&gt;3&lt;/volume&gt;&lt;number&gt;12&lt;/number&gt;&lt;dates&gt;&lt;year&gt;2010&lt;/year&gt;&lt;/dates&gt;&lt;isbn&gt;1942-2504&lt;/isbn&gt;&lt;urls&gt;&lt;/urls&gt;&lt;/record&gt;&lt;/Cite&gt;&lt;/EndNote&gt;</w:instrText>
      </w:r>
      <w:r>
        <w:rPr>
          <w:rFonts w:ascii="Times New Roman" w:hAnsi="Times New Roman" w:cs="Times New Roman"/>
        </w:rPr>
        <w:fldChar w:fldCharType="separate"/>
      </w:r>
      <w:r>
        <w:rPr>
          <w:rFonts w:ascii="Times New Roman" w:hAnsi="Times New Roman" w:cs="Times New Roman"/>
          <w:noProof/>
        </w:rPr>
        <w:t>(Allen et al., 2002; Carrol &amp; Burke, 2010)</w:t>
      </w:r>
      <w:r>
        <w:rPr>
          <w:rFonts w:ascii="Times New Roman" w:hAnsi="Times New Roman" w:cs="Times New Roman"/>
        </w:rPr>
        <w:fldChar w:fldCharType="end"/>
      </w:r>
      <w:r>
        <w:rPr>
          <w:rFonts w:ascii="Times New Roman" w:hAnsi="Times New Roman" w:cs="Times New Roman"/>
        </w:rPr>
        <w:t xml:space="preserve">. </w:t>
      </w:r>
    </w:p>
    <w:p w14:paraId="261B2363" w14:textId="77777777" w:rsidR="00AA7CD5" w:rsidRDefault="00AA7CD5" w:rsidP="008A6B75">
      <w:pPr>
        <w:spacing w:line="360" w:lineRule="auto"/>
        <w:rPr>
          <w:rFonts w:ascii="Times New Roman" w:hAnsi="Times New Roman" w:cs="Times New Roman"/>
        </w:rPr>
      </w:pPr>
    </w:p>
    <w:p w14:paraId="7A2960CE"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Additionally, the set of youth that participated in the 2021 contests and the 2023 contests are likely composed of different individuals due to participants aging out, new youth entering the </w:t>
      </w:r>
      <w:r>
        <w:rPr>
          <w:rFonts w:ascii="Times New Roman" w:hAnsi="Times New Roman" w:cs="Times New Roman"/>
        </w:rPr>
        <w:lastRenderedPageBreak/>
        <w:t>contest, and teams being comprised of different youth sets. Thus, we were not able to compare knowledge retention on an individual basis. However, collecting data from different sets of youth provides a more all-encompassing representation of youth performance within the hippology contests along with data that is more reflective of agent training effect.</w:t>
      </w:r>
    </w:p>
    <w:p w14:paraId="2073C8DB" w14:textId="77777777" w:rsidR="00AA7CD5" w:rsidRDefault="00AA7CD5" w:rsidP="008A6B75">
      <w:pPr>
        <w:spacing w:line="360" w:lineRule="auto"/>
        <w:rPr>
          <w:rFonts w:ascii="Times New Roman" w:hAnsi="Times New Roman" w:cs="Times New Roman"/>
        </w:rPr>
      </w:pPr>
    </w:p>
    <w:p w14:paraId="14ED4384"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Agent turnover is another factor that could be a potential limitation to this study. Within the state of Tennessee, it is common for counties to see changes in agent employees frequently. Furthermore, this high turnover rate could have left some counties without equine-focused programs and create new horse project in other counties between 2021 and 2023, creating inconsistencies within the knowledge base of Tennessee youth. Additionally, newer agents may be unfamiliar with the process of accessing horse project and hippology resources through SharePoint and could cause their hippology teams to lack adequate training and knowledge. Despite the high agent turnover rate and common unfamiliarity with hippology resources, this project succeeded in providing participating counties with valuable knowledge, skills, and resources to bring back to their counties to implement within their hippology teams and 4-H horse project groups. </w:t>
      </w:r>
    </w:p>
    <w:p w14:paraId="6D43DD24" w14:textId="77777777" w:rsidR="00AA7CD5" w:rsidRDefault="00AA7CD5" w:rsidP="008A6B75">
      <w:pPr>
        <w:spacing w:line="360" w:lineRule="auto"/>
        <w:rPr>
          <w:rFonts w:ascii="Times New Roman" w:hAnsi="Times New Roman" w:cs="Times New Roman"/>
        </w:rPr>
      </w:pPr>
    </w:p>
    <w:p w14:paraId="5F87A523"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The initial timeframe of training program implementation could prove to be another limitation of this study. The lack of an observed training effect could be accredited to the training being administered too close to the regional contest, prohibiting agents from using the materials and strategies learned at the training before the students competed. However, the training is still provided agents with valuable curriculum and strategies to implement in the future. Future evaluation of contest scores could yield a training effect due to the additional time granted for agents to implement the aforementioned materials and teaching strategies. Additionally, future data collection over a span of multiple years could prove helpful in making more meaningful conclusions based on training impact and repeatability. </w:t>
      </w:r>
    </w:p>
    <w:p w14:paraId="71D721AE" w14:textId="77777777" w:rsidR="00AA7CD5" w:rsidRDefault="00AA7CD5" w:rsidP="008A6B75">
      <w:pPr>
        <w:spacing w:line="360" w:lineRule="auto"/>
        <w:rPr>
          <w:rFonts w:ascii="Times New Roman" w:hAnsi="Times New Roman" w:cs="Times New Roman"/>
        </w:rPr>
      </w:pPr>
    </w:p>
    <w:p w14:paraId="6533F49D" w14:textId="77777777" w:rsidR="00AA7CD5" w:rsidRDefault="00AA7CD5" w:rsidP="008A6B75">
      <w:pPr>
        <w:pStyle w:val="Heading3"/>
        <w:spacing w:line="360" w:lineRule="auto"/>
        <w:rPr>
          <w:rFonts w:ascii="Times New Roman" w:hAnsi="Times New Roman" w:cs="Times New Roman"/>
        </w:rPr>
      </w:pPr>
      <w:bookmarkStart w:id="103" w:name="_Toc139831965"/>
      <w:bookmarkStart w:id="104" w:name="_Toc151023725"/>
      <w:r w:rsidRPr="00D8579B">
        <w:rPr>
          <w:rFonts w:ascii="Times New Roman" w:hAnsi="Times New Roman" w:cs="Times New Roman"/>
        </w:rPr>
        <w:lastRenderedPageBreak/>
        <w:t>Implications</w:t>
      </w:r>
      <w:bookmarkEnd w:id="103"/>
      <w:r>
        <w:rPr>
          <w:rFonts w:ascii="Times New Roman" w:hAnsi="Times New Roman" w:cs="Times New Roman"/>
        </w:rPr>
        <w:t xml:space="preserve"> and Conclusions</w:t>
      </w:r>
      <w:bookmarkEnd w:id="104"/>
    </w:p>
    <w:p w14:paraId="153C142A" w14:textId="77777777" w:rsidR="00AA7CD5" w:rsidRDefault="00AA7CD5" w:rsidP="008A6B75">
      <w:pPr>
        <w:spacing w:line="360" w:lineRule="auto"/>
        <w:rPr>
          <w:rFonts w:ascii="Times New Roman" w:hAnsi="Times New Roman" w:cs="Times New Roman"/>
        </w:rPr>
      </w:pPr>
      <w:r>
        <w:rPr>
          <w:rFonts w:ascii="Times New Roman" w:hAnsi="Times New Roman" w:cs="Times New Roman"/>
        </w:rPr>
        <w:t xml:space="preserve">Findings hold immense value when assessing the current state of the Tennessee 4-H Horse Project and could prove to be invaluable across other youth contests if applied. The methods used in this study can provide valuable insight into knowledge gaps within youth regardless of the subject matter or content area. Additionally, if implemented yearly, this model could prove useful in providing long term tracking of performance data for any youth organization, contest, or project group both within and outside of an extension setting. Our findings yielded that participant scores did not significantly increase after the implementation of the train-the-trainer program. However, this data still holds immense value in evaluating the knowledge status of Tennessee 4-H Hippology contestants and can provide a framework for future train-the-trainer programs and knowledge assessments for youth livestock and equine programs. </w:t>
      </w:r>
    </w:p>
    <w:p w14:paraId="3CDE3CAA" w14:textId="77777777" w:rsidR="00AA7CD5" w:rsidRPr="009C4D96" w:rsidRDefault="00AA7CD5" w:rsidP="008A6B75">
      <w:pPr>
        <w:spacing w:line="360" w:lineRule="auto"/>
        <w:rPr>
          <w:rFonts w:ascii="Times New Roman" w:hAnsi="Times New Roman" w:cs="Times New Roman"/>
        </w:rPr>
      </w:pPr>
    </w:p>
    <w:p w14:paraId="34CA2272" w14:textId="77777777" w:rsidR="00AA7CD5" w:rsidRPr="009611E6" w:rsidRDefault="00AA7CD5" w:rsidP="008A6B75">
      <w:pPr>
        <w:spacing w:line="360" w:lineRule="auto"/>
      </w:pPr>
    </w:p>
    <w:p w14:paraId="49983D57" w14:textId="77777777" w:rsidR="00AA7CD5" w:rsidRPr="00DF7C87" w:rsidRDefault="00AA7CD5" w:rsidP="008A6B75">
      <w:pPr>
        <w:pStyle w:val="Heading2"/>
        <w:spacing w:line="360" w:lineRule="auto"/>
        <w:rPr>
          <w:rFonts w:ascii="Times New Roman" w:hAnsi="Times New Roman" w:cs="Times New Roman"/>
        </w:rPr>
      </w:pPr>
      <w:r w:rsidRPr="00DF7C87">
        <w:rPr>
          <w:rFonts w:ascii="Times New Roman" w:hAnsi="Times New Roman" w:cs="Times New Roman"/>
          <w:sz w:val="24"/>
          <w:szCs w:val="24"/>
        </w:rPr>
        <w:br w:type="page"/>
      </w:r>
      <w:bookmarkStart w:id="105" w:name="_Toc289175831"/>
      <w:bookmarkStart w:id="106" w:name="_Toc151023726"/>
      <w:r w:rsidRPr="00DF7C87">
        <w:rPr>
          <w:rFonts w:ascii="Times New Roman" w:hAnsi="Times New Roman" w:cs="Times New Roman"/>
        </w:rPr>
        <w:lastRenderedPageBreak/>
        <w:t>R</w:t>
      </w:r>
      <w:bookmarkEnd w:id="105"/>
      <w:r>
        <w:rPr>
          <w:rFonts w:ascii="Times New Roman" w:hAnsi="Times New Roman" w:cs="Times New Roman"/>
        </w:rPr>
        <w:t>EFERENCES</w:t>
      </w:r>
      <w:bookmarkEnd w:id="106"/>
    </w:p>
    <w:p w14:paraId="707608D8" w14:textId="77777777" w:rsidR="00AA7CD5" w:rsidRPr="00DF7C87" w:rsidRDefault="00AA7CD5" w:rsidP="008A6B75">
      <w:pPr>
        <w:spacing w:line="360" w:lineRule="auto"/>
        <w:rPr>
          <w:rFonts w:ascii="Times New Roman" w:hAnsi="Times New Roman" w:cs="Times New Roman"/>
        </w:rPr>
      </w:pPr>
    </w:p>
    <w:p w14:paraId="7B3E494A"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Adedoyin, O. B., &amp; Soykan, E. (2020). Covid-19 pandemic and online learning: the challenges and opportunities. </w:t>
      </w:r>
      <w:r w:rsidRPr="008C1DEA">
        <w:rPr>
          <w:rFonts w:ascii="Times New Roman" w:hAnsi="Times New Roman"/>
          <w:i/>
          <w:noProof/>
          <w:sz w:val="24"/>
          <w:szCs w:val="24"/>
        </w:rPr>
        <w:t>Interactive Learning Environments</w:t>
      </w:r>
      <w:r w:rsidRPr="008C1DEA">
        <w:rPr>
          <w:rFonts w:ascii="Times New Roman" w:hAnsi="Times New Roman"/>
          <w:noProof/>
          <w:sz w:val="24"/>
          <w:szCs w:val="24"/>
        </w:rPr>
        <w:t xml:space="preserve">, 1-13. </w:t>
      </w:r>
      <w:hyperlink r:id="rId15" w:history="1">
        <w:r w:rsidRPr="008C1DEA">
          <w:rPr>
            <w:rStyle w:val="Hyperlink"/>
            <w:rFonts w:ascii="Times New Roman" w:hAnsi="Times New Roman"/>
            <w:noProof/>
            <w:sz w:val="24"/>
            <w:szCs w:val="24"/>
          </w:rPr>
          <w:t>https://doi.org/10.1080/10494820.2020.1813180</w:t>
        </w:r>
      </w:hyperlink>
      <w:r w:rsidRPr="008C1DEA">
        <w:rPr>
          <w:rFonts w:ascii="Times New Roman" w:hAnsi="Times New Roman"/>
          <w:noProof/>
          <w:sz w:val="24"/>
          <w:szCs w:val="24"/>
        </w:rPr>
        <w:t xml:space="preserve"> </w:t>
      </w:r>
    </w:p>
    <w:p w14:paraId="1F8EA1C8"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Adunola, O. (2011). The impact of teachers’ teaching methods on the academic performance of Primary School Pupils in Ijebu-Ode Local Cut Area of Ogun State. In: Ego Booster Books, Ogun State, Nigeria.</w:t>
      </w:r>
    </w:p>
    <w:p w14:paraId="3DE13FE9"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Allen, I. E., &amp; Seaman, J. (2013). </w:t>
      </w:r>
      <w:r w:rsidRPr="008C1DEA">
        <w:rPr>
          <w:rFonts w:ascii="Times New Roman" w:hAnsi="Times New Roman"/>
          <w:i/>
          <w:noProof/>
          <w:sz w:val="24"/>
          <w:szCs w:val="24"/>
        </w:rPr>
        <w:t>Changing course: Ten years of tracking online education in the United States</w:t>
      </w:r>
      <w:r w:rsidRPr="008C1DEA">
        <w:rPr>
          <w:rFonts w:ascii="Times New Roman" w:hAnsi="Times New Roman"/>
          <w:noProof/>
          <w:sz w:val="24"/>
          <w:szCs w:val="24"/>
        </w:rPr>
        <w:t xml:space="preserve">. ERIC. </w:t>
      </w:r>
    </w:p>
    <w:p w14:paraId="055DA7B6"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Allen, M., Bourhis, J., Burrell, N., &amp; Mabry, E. (2002). Comparing Student Satisfaction With Distance Education to Traditional Classrooms in Higher Education: A Meta-Analysis. </w:t>
      </w:r>
      <w:r w:rsidRPr="008C1DEA">
        <w:rPr>
          <w:rFonts w:ascii="Times New Roman" w:hAnsi="Times New Roman"/>
          <w:i/>
          <w:noProof/>
          <w:sz w:val="24"/>
          <w:szCs w:val="24"/>
        </w:rPr>
        <w:t>American Journal of Distance Education</w:t>
      </w:r>
      <w:r w:rsidRPr="008C1DEA">
        <w:rPr>
          <w:rFonts w:ascii="Times New Roman" w:hAnsi="Times New Roman"/>
          <w:noProof/>
          <w:sz w:val="24"/>
          <w:szCs w:val="24"/>
        </w:rPr>
        <w:t>,</w:t>
      </w:r>
      <w:r w:rsidRPr="008C1DEA">
        <w:rPr>
          <w:rFonts w:ascii="Times New Roman" w:hAnsi="Times New Roman"/>
          <w:i/>
          <w:noProof/>
          <w:sz w:val="24"/>
          <w:szCs w:val="24"/>
        </w:rPr>
        <w:t xml:space="preserve"> 16</w:t>
      </w:r>
      <w:r w:rsidRPr="008C1DEA">
        <w:rPr>
          <w:rFonts w:ascii="Times New Roman" w:hAnsi="Times New Roman"/>
          <w:noProof/>
          <w:sz w:val="24"/>
          <w:szCs w:val="24"/>
        </w:rPr>
        <w:t xml:space="preserve">(2), 83-97. </w:t>
      </w:r>
      <w:hyperlink r:id="rId16" w:history="1">
        <w:r w:rsidRPr="008C1DEA">
          <w:rPr>
            <w:rStyle w:val="Hyperlink"/>
            <w:rFonts w:ascii="Times New Roman" w:hAnsi="Times New Roman"/>
            <w:noProof/>
            <w:sz w:val="24"/>
            <w:szCs w:val="24"/>
          </w:rPr>
          <w:t>https://doi.org/10.1207/s15389286ajde1602_3</w:t>
        </w:r>
      </w:hyperlink>
      <w:r w:rsidRPr="008C1DEA">
        <w:rPr>
          <w:rFonts w:ascii="Times New Roman" w:hAnsi="Times New Roman"/>
          <w:noProof/>
          <w:sz w:val="24"/>
          <w:szCs w:val="24"/>
        </w:rPr>
        <w:t xml:space="preserve"> </w:t>
      </w:r>
    </w:p>
    <w:p w14:paraId="74F7B154"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Bess, C. A., LaHaye, C., &amp; O’Brien, C. M. (2003). Train-the-Trainer Project meets organization’s strategic initiative for retention and continuous learning. </w:t>
      </w:r>
      <w:r w:rsidRPr="008C1DEA">
        <w:rPr>
          <w:rFonts w:ascii="Times New Roman" w:hAnsi="Times New Roman"/>
          <w:i/>
          <w:noProof/>
          <w:sz w:val="24"/>
          <w:szCs w:val="24"/>
        </w:rPr>
        <w:t>Journal for Nurses in Professional Development</w:t>
      </w:r>
      <w:r w:rsidRPr="008C1DEA">
        <w:rPr>
          <w:rFonts w:ascii="Times New Roman" w:hAnsi="Times New Roman"/>
          <w:noProof/>
          <w:sz w:val="24"/>
          <w:szCs w:val="24"/>
        </w:rPr>
        <w:t>,</w:t>
      </w:r>
      <w:r w:rsidRPr="008C1DEA">
        <w:rPr>
          <w:rFonts w:ascii="Times New Roman" w:hAnsi="Times New Roman"/>
          <w:i/>
          <w:noProof/>
          <w:sz w:val="24"/>
          <w:szCs w:val="24"/>
        </w:rPr>
        <w:t xml:space="preserve"> 19</w:t>
      </w:r>
      <w:r w:rsidRPr="008C1DEA">
        <w:rPr>
          <w:rFonts w:ascii="Times New Roman" w:hAnsi="Times New Roman"/>
          <w:noProof/>
          <w:sz w:val="24"/>
          <w:szCs w:val="24"/>
        </w:rPr>
        <w:t xml:space="preserve">(3), 121-127. </w:t>
      </w:r>
    </w:p>
    <w:p w14:paraId="5D5AD6E7"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Brown, A. S., Gibson, J. D., &amp; Stewart, D. L. (2008). An assessment of Virginia cooperative Extension's new Extension agent training program. </w:t>
      </w:r>
      <w:r w:rsidRPr="008C1DEA">
        <w:rPr>
          <w:rFonts w:ascii="Times New Roman" w:hAnsi="Times New Roman"/>
          <w:i/>
          <w:noProof/>
          <w:sz w:val="24"/>
          <w:szCs w:val="24"/>
        </w:rPr>
        <w:t>The Journal of Extension</w:t>
      </w:r>
      <w:r w:rsidRPr="008C1DEA">
        <w:rPr>
          <w:rFonts w:ascii="Times New Roman" w:hAnsi="Times New Roman"/>
          <w:noProof/>
          <w:sz w:val="24"/>
          <w:szCs w:val="24"/>
        </w:rPr>
        <w:t>,</w:t>
      </w:r>
      <w:r w:rsidRPr="008C1DEA">
        <w:rPr>
          <w:rFonts w:ascii="Times New Roman" w:hAnsi="Times New Roman"/>
          <w:i/>
          <w:noProof/>
          <w:sz w:val="24"/>
          <w:szCs w:val="24"/>
        </w:rPr>
        <w:t xml:space="preserve"> 46</w:t>
      </w:r>
      <w:r w:rsidRPr="008C1DEA">
        <w:rPr>
          <w:rFonts w:ascii="Times New Roman" w:hAnsi="Times New Roman"/>
          <w:noProof/>
          <w:sz w:val="24"/>
          <w:szCs w:val="24"/>
        </w:rPr>
        <w:t xml:space="preserve">(4), 9. </w:t>
      </w:r>
    </w:p>
    <w:p w14:paraId="00F351A2"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Cantrell, S., O'Leary, P., &amp; Ward, K. (2008). Strategies for success in online learning. </w:t>
      </w:r>
      <w:r w:rsidRPr="008C1DEA">
        <w:rPr>
          <w:rFonts w:ascii="Times New Roman" w:hAnsi="Times New Roman"/>
          <w:i/>
          <w:noProof/>
          <w:sz w:val="24"/>
          <w:szCs w:val="24"/>
        </w:rPr>
        <w:t>The Nursing Clinics of North America</w:t>
      </w:r>
      <w:r w:rsidRPr="008C1DEA">
        <w:rPr>
          <w:rFonts w:ascii="Times New Roman" w:hAnsi="Times New Roman"/>
          <w:noProof/>
          <w:sz w:val="24"/>
          <w:szCs w:val="24"/>
        </w:rPr>
        <w:t>,</w:t>
      </w:r>
      <w:r w:rsidRPr="008C1DEA">
        <w:rPr>
          <w:rFonts w:ascii="Times New Roman" w:hAnsi="Times New Roman"/>
          <w:i/>
          <w:noProof/>
          <w:sz w:val="24"/>
          <w:szCs w:val="24"/>
        </w:rPr>
        <w:t xml:space="preserve"> 43</w:t>
      </w:r>
      <w:r w:rsidRPr="008C1DEA">
        <w:rPr>
          <w:rFonts w:ascii="Times New Roman" w:hAnsi="Times New Roman"/>
          <w:noProof/>
          <w:sz w:val="24"/>
          <w:szCs w:val="24"/>
        </w:rPr>
        <w:t xml:space="preserve">(4), 547-555, vi. </w:t>
      </w:r>
    </w:p>
    <w:p w14:paraId="118F750B"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Carrol, N. E., &amp; Burke, M. (2010). Learning Effectiveness Using Different Teaching Modalities. </w:t>
      </w:r>
      <w:r w:rsidRPr="008C1DEA">
        <w:rPr>
          <w:rFonts w:ascii="Times New Roman" w:hAnsi="Times New Roman"/>
          <w:i/>
          <w:noProof/>
          <w:sz w:val="24"/>
          <w:szCs w:val="24"/>
        </w:rPr>
        <w:t>American Journal of Business Education</w:t>
      </w:r>
      <w:r w:rsidRPr="008C1DEA">
        <w:rPr>
          <w:rFonts w:ascii="Times New Roman" w:hAnsi="Times New Roman"/>
          <w:noProof/>
          <w:sz w:val="24"/>
          <w:szCs w:val="24"/>
        </w:rPr>
        <w:t>,</w:t>
      </w:r>
      <w:r w:rsidRPr="008C1DEA">
        <w:rPr>
          <w:rFonts w:ascii="Times New Roman" w:hAnsi="Times New Roman"/>
          <w:i/>
          <w:noProof/>
          <w:sz w:val="24"/>
          <w:szCs w:val="24"/>
        </w:rPr>
        <w:t xml:space="preserve"> 3</w:t>
      </w:r>
      <w:r w:rsidRPr="008C1DEA">
        <w:rPr>
          <w:rFonts w:ascii="Times New Roman" w:hAnsi="Times New Roman"/>
          <w:noProof/>
          <w:sz w:val="24"/>
          <w:szCs w:val="24"/>
        </w:rPr>
        <w:t xml:space="preserve">(12), 65-76. </w:t>
      </w:r>
    </w:p>
    <w:p w14:paraId="4789DB86"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Carruth, A. K., Pryor, S., Cormier, C., Bateman, A., Matzke, B., &amp; Gilmore, K. (2010). Evaluation of a School-Based Train-the-Trainer Intervention Program to Teach First Aid and Risk Reduction Among High School Students. </w:t>
      </w:r>
      <w:r w:rsidRPr="008C1DEA">
        <w:rPr>
          <w:rFonts w:ascii="Times New Roman" w:hAnsi="Times New Roman"/>
          <w:i/>
          <w:noProof/>
          <w:sz w:val="24"/>
          <w:szCs w:val="24"/>
        </w:rPr>
        <w:t>Journal of School Health</w:t>
      </w:r>
      <w:r w:rsidRPr="008C1DEA">
        <w:rPr>
          <w:rFonts w:ascii="Times New Roman" w:hAnsi="Times New Roman"/>
          <w:noProof/>
          <w:sz w:val="24"/>
          <w:szCs w:val="24"/>
        </w:rPr>
        <w:t>,</w:t>
      </w:r>
      <w:r w:rsidRPr="008C1DEA">
        <w:rPr>
          <w:rFonts w:ascii="Times New Roman" w:hAnsi="Times New Roman"/>
          <w:i/>
          <w:noProof/>
          <w:sz w:val="24"/>
          <w:szCs w:val="24"/>
        </w:rPr>
        <w:t xml:space="preserve"> 80</w:t>
      </w:r>
      <w:r w:rsidRPr="008C1DEA">
        <w:rPr>
          <w:rFonts w:ascii="Times New Roman" w:hAnsi="Times New Roman"/>
          <w:noProof/>
          <w:sz w:val="24"/>
          <w:szCs w:val="24"/>
        </w:rPr>
        <w:t xml:space="preserve">(9), 453-460. </w:t>
      </w:r>
      <w:hyperlink r:id="rId17" w:history="1">
        <w:r w:rsidRPr="008C1DEA">
          <w:rPr>
            <w:rStyle w:val="Hyperlink"/>
            <w:rFonts w:ascii="Times New Roman" w:hAnsi="Times New Roman"/>
            <w:noProof/>
            <w:sz w:val="24"/>
            <w:szCs w:val="24"/>
          </w:rPr>
          <w:t>https://doi.org/10.1111/j.1746-1561.2010.00527.x</w:t>
        </w:r>
      </w:hyperlink>
      <w:r w:rsidRPr="008C1DEA">
        <w:rPr>
          <w:rFonts w:ascii="Times New Roman" w:hAnsi="Times New Roman"/>
          <w:noProof/>
          <w:sz w:val="24"/>
          <w:szCs w:val="24"/>
        </w:rPr>
        <w:t xml:space="preserve"> </w:t>
      </w:r>
    </w:p>
    <w:p w14:paraId="0EB76F53"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Dailey, A. L., Conroy, C. A., &amp; Shelley-Tolbert, C. A. (2001). Using agricultural education as the context to teach life skills. </w:t>
      </w:r>
      <w:r w:rsidRPr="008C1DEA">
        <w:rPr>
          <w:rFonts w:ascii="Times New Roman" w:hAnsi="Times New Roman"/>
          <w:i/>
          <w:noProof/>
          <w:sz w:val="24"/>
          <w:szCs w:val="24"/>
        </w:rPr>
        <w:t>Journal of Agricultural Education</w:t>
      </w:r>
      <w:r w:rsidRPr="008C1DEA">
        <w:rPr>
          <w:rFonts w:ascii="Times New Roman" w:hAnsi="Times New Roman"/>
          <w:noProof/>
          <w:sz w:val="24"/>
          <w:szCs w:val="24"/>
        </w:rPr>
        <w:t>,</w:t>
      </w:r>
      <w:r w:rsidRPr="008C1DEA">
        <w:rPr>
          <w:rFonts w:ascii="Times New Roman" w:hAnsi="Times New Roman"/>
          <w:i/>
          <w:noProof/>
          <w:sz w:val="24"/>
          <w:szCs w:val="24"/>
        </w:rPr>
        <w:t xml:space="preserve"> 42</w:t>
      </w:r>
      <w:r w:rsidRPr="008C1DEA">
        <w:rPr>
          <w:rFonts w:ascii="Times New Roman" w:hAnsi="Times New Roman"/>
          <w:noProof/>
          <w:sz w:val="24"/>
          <w:szCs w:val="24"/>
        </w:rPr>
        <w:t xml:space="preserve">(1), 10-19. </w:t>
      </w:r>
    </w:p>
    <w:p w14:paraId="2E367176"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lastRenderedPageBreak/>
        <w:t xml:space="preserve">Duemer, L. S. (2007). The agricultural education origins of the Morrill Land Grant Act of 1862. </w:t>
      </w:r>
      <w:r w:rsidRPr="008C1DEA">
        <w:rPr>
          <w:rFonts w:ascii="Times New Roman" w:hAnsi="Times New Roman"/>
          <w:i/>
          <w:noProof/>
          <w:sz w:val="24"/>
          <w:szCs w:val="24"/>
        </w:rPr>
        <w:t>American Educational History Journal</w:t>
      </w:r>
      <w:r w:rsidRPr="008C1DEA">
        <w:rPr>
          <w:rFonts w:ascii="Times New Roman" w:hAnsi="Times New Roman"/>
          <w:noProof/>
          <w:sz w:val="24"/>
          <w:szCs w:val="24"/>
        </w:rPr>
        <w:t>,</w:t>
      </w:r>
      <w:r w:rsidRPr="008C1DEA">
        <w:rPr>
          <w:rFonts w:ascii="Times New Roman" w:hAnsi="Times New Roman"/>
          <w:i/>
          <w:noProof/>
          <w:sz w:val="24"/>
          <w:szCs w:val="24"/>
        </w:rPr>
        <w:t xml:space="preserve"> 34</w:t>
      </w:r>
      <w:r w:rsidRPr="008C1DEA">
        <w:rPr>
          <w:rFonts w:ascii="Times New Roman" w:hAnsi="Times New Roman"/>
          <w:noProof/>
          <w:sz w:val="24"/>
          <w:szCs w:val="24"/>
        </w:rPr>
        <w:t xml:space="preserve">(1), 135-146. </w:t>
      </w:r>
    </w:p>
    <w:p w14:paraId="79AB7915"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Ganyaupfu, E. M. (2013). Teaching methods and students’ academic performance. </w:t>
      </w:r>
      <w:r w:rsidRPr="008C1DEA">
        <w:rPr>
          <w:rFonts w:ascii="Times New Roman" w:hAnsi="Times New Roman"/>
          <w:i/>
          <w:noProof/>
          <w:sz w:val="24"/>
          <w:szCs w:val="24"/>
        </w:rPr>
        <w:t>International Journal of Humanities and Social Science Invention</w:t>
      </w:r>
      <w:r w:rsidRPr="008C1DEA">
        <w:rPr>
          <w:rFonts w:ascii="Times New Roman" w:hAnsi="Times New Roman"/>
          <w:noProof/>
          <w:sz w:val="24"/>
          <w:szCs w:val="24"/>
        </w:rPr>
        <w:t>,</w:t>
      </w:r>
      <w:r w:rsidRPr="008C1DEA">
        <w:rPr>
          <w:rFonts w:ascii="Times New Roman" w:hAnsi="Times New Roman"/>
          <w:i/>
          <w:noProof/>
          <w:sz w:val="24"/>
          <w:szCs w:val="24"/>
        </w:rPr>
        <w:t xml:space="preserve"> 2</w:t>
      </w:r>
      <w:r w:rsidRPr="008C1DEA">
        <w:rPr>
          <w:rFonts w:ascii="Times New Roman" w:hAnsi="Times New Roman"/>
          <w:noProof/>
          <w:sz w:val="24"/>
          <w:szCs w:val="24"/>
        </w:rPr>
        <w:t xml:space="preserve">(9), 29-35. </w:t>
      </w:r>
    </w:p>
    <w:p w14:paraId="425103D4"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Grant, P., Field, T., Green, R., &amp; Rollin, B. (2000). The importance of comprehensive agricultural education in land-grant institutions: A historical perspective. </w:t>
      </w:r>
      <w:r w:rsidRPr="008C1DEA">
        <w:rPr>
          <w:rFonts w:ascii="Times New Roman" w:hAnsi="Times New Roman"/>
          <w:i/>
          <w:noProof/>
          <w:sz w:val="24"/>
          <w:szCs w:val="24"/>
        </w:rPr>
        <w:t>Journal of animal science</w:t>
      </w:r>
      <w:r w:rsidRPr="008C1DEA">
        <w:rPr>
          <w:rFonts w:ascii="Times New Roman" w:hAnsi="Times New Roman"/>
          <w:noProof/>
          <w:sz w:val="24"/>
          <w:szCs w:val="24"/>
        </w:rPr>
        <w:t>,</w:t>
      </w:r>
      <w:r w:rsidRPr="008C1DEA">
        <w:rPr>
          <w:rFonts w:ascii="Times New Roman" w:hAnsi="Times New Roman"/>
          <w:i/>
          <w:noProof/>
          <w:sz w:val="24"/>
          <w:szCs w:val="24"/>
        </w:rPr>
        <w:t xml:space="preserve"> 78</w:t>
      </w:r>
      <w:r w:rsidRPr="008C1DEA">
        <w:rPr>
          <w:rFonts w:ascii="Times New Roman" w:hAnsi="Times New Roman"/>
          <w:noProof/>
          <w:sz w:val="24"/>
          <w:szCs w:val="24"/>
        </w:rPr>
        <w:t xml:space="preserve">(6), 1684-1689. </w:t>
      </w:r>
    </w:p>
    <w:p w14:paraId="390CB6C1"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Hrastinski, S. (2008). Asynchronous and synchronous e-learning. </w:t>
      </w:r>
      <w:r w:rsidRPr="008C1DEA">
        <w:rPr>
          <w:rFonts w:ascii="Times New Roman" w:hAnsi="Times New Roman"/>
          <w:i/>
          <w:noProof/>
          <w:sz w:val="24"/>
          <w:szCs w:val="24"/>
        </w:rPr>
        <w:t>Educause quarterly</w:t>
      </w:r>
      <w:r w:rsidRPr="008C1DEA">
        <w:rPr>
          <w:rFonts w:ascii="Times New Roman" w:hAnsi="Times New Roman"/>
          <w:noProof/>
          <w:sz w:val="24"/>
          <w:szCs w:val="24"/>
        </w:rPr>
        <w:t>,</w:t>
      </w:r>
      <w:r w:rsidRPr="008C1DEA">
        <w:rPr>
          <w:rFonts w:ascii="Times New Roman" w:hAnsi="Times New Roman"/>
          <w:i/>
          <w:noProof/>
          <w:sz w:val="24"/>
          <w:szCs w:val="24"/>
        </w:rPr>
        <w:t xml:space="preserve"> 31</w:t>
      </w:r>
      <w:r w:rsidRPr="008C1DEA">
        <w:rPr>
          <w:rFonts w:ascii="Times New Roman" w:hAnsi="Times New Roman"/>
          <w:noProof/>
          <w:sz w:val="24"/>
          <w:szCs w:val="24"/>
        </w:rPr>
        <w:t xml:space="preserve">(4), 51-55. </w:t>
      </w:r>
    </w:p>
    <w:p w14:paraId="37CBE2AE"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Huang, J. (2020). Successes and Challenges: Online Teaching and Learning of Chemistry in Higher Education in China in the Time of COVID-19. </w:t>
      </w:r>
      <w:r w:rsidRPr="008C1DEA">
        <w:rPr>
          <w:rFonts w:ascii="Times New Roman" w:hAnsi="Times New Roman"/>
          <w:i/>
          <w:noProof/>
          <w:sz w:val="24"/>
          <w:szCs w:val="24"/>
        </w:rPr>
        <w:t>Journal of Chemical Education</w:t>
      </w:r>
      <w:r w:rsidRPr="008C1DEA">
        <w:rPr>
          <w:rFonts w:ascii="Times New Roman" w:hAnsi="Times New Roman"/>
          <w:noProof/>
          <w:sz w:val="24"/>
          <w:szCs w:val="24"/>
        </w:rPr>
        <w:t>,</w:t>
      </w:r>
      <w:r w:rsidRPr="008C1DEA">
        <w:rPr>
          <w:rFonts w:ascii="Times New Roman" w:hAnsi="Times New Roman"/>
          <w:i/>
          <w:noProof/>
          <w:sz w:val="24"/>
          <w:szCs w:val="24"/>
        </w:rPr>
        <w:t xml:space="preserve"> 97</w:t>
      </w:r>
      <w:r w:rsidRPr="008C1DEA">
        <w:rPr>
          <w:rFonts w:ascii="Times New Roman" w:hAnsi="Times New Roman"/>
          <w:noProof/>
          <w:sz w:val="24"/>
          <w:szCs w:val="24"/>
        </w:rPr>
        <w:t xml:space="preserve">(9), 2810-2814. </w:t>
      </w:r>
      <w:hyperlink r:id="rId18" w:history="1">
        <w:r w:rsidRPr="008C1DEA">
          <w:rPr>
            <w:rStyle w:val="Hyperlink"/>
            <w:rFonts w:ascii="Times New Roman" w:hAnsi="Times New Roman"/>
            <w:noProof/>
            <w:sz w:val="24"/>
            <w:szCs w:val="24"/>
          </w:rPr>
          <w:t>https://doi.org/10.1021/acs.jchemed.0c00671</w:t>
        </w:r>
      </w:hyperlink>
      <w:r w:rsidRPr="008C1DEA">
        <w:rPr>
          <w:rFonts w:ascii="Times New Roman" w:hAnsi="Times New Roman"/>
          <w:noProof/>
          <w:sz w:val="24"/>
          <w:szCs w:val="24"/>
        </w:rPr>
        <w:t xml:space="preserve"> </w:t>
      </w:r>
    </w:p>
    <w:p w14:paraId="23C3FB83"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Hughes, G. (2007). Using blended learning to increase learner support and improve retention. </w:t>
      </w:r>
      <w:r w:rsidRPr="008C1DEA">
        <w:rPr>
          <w:rFonts w:ascii="Times New Roman" w:hAnsi="Times New Roman"/>
          <w:i/>
          <w:noProof/>
          <w:sz w:val="24"/>
          <w:szCs w:val="24"/>
        </w:rPr>
        <w:t>Teaching in Higher Education</w:t>
      </w:r>
      <w:r w:rsidRPr="008C1DEA">
        <w:rPr>
          <w:rFonts w:ascii="Times New Roman" w:hAnsi="Times New Roman"/>
          <w:noProof/>
          <w:sz w:val="24"/>
          <w:szCs w:val="24"/>
        </w:rPr>
        <w:t>,</w:t>
      </w:r>
      <w:r w:rsidRPr="008C1DEA">
        <w:rPr>
          <w:rFonts w:ascii="Times New Roman" w:hAnsi="Times New Roman"/>
          <w:i/>
          <w:noProof/>
          <w:sz w:val="24"/>
          <w:szCs w:val="24"/>
        </w:rPr>
        <w:t xml:space="preserve"> 12</w:t>
      </w:r>
      <w:r w:rsidRPr="008C1DEA">
        <w:rPr>
          <w:rFonts w:ascii="Times New Roman" w:hAnsi="Times New Roman"/>
          <w:noProof/>
          <w:sz w:val="24"/>
          <w:szCs w:val="24"/>
        </w:rPr>
        <w:t xml:space="preserve">(3), 349-363. </w:t>
      </w:r>
      <w:hyperlink r:id="rId19" w:history="1">
        <w:r w:rsidRPr="008C1DEA">
          <w:rPr>
            <w:rStyle w:val="Hyperlink"/>
            <w:rFonts w:ascii="Times New Roman" w:hAnsi="Times New Roman"/>
            <w:noProof/>
            <w:sz w:val="24"/>
            <w:szCs w:val="24"/>
          </w:rPr>
          <w:t>https://doi.org/10.1080/13562510701278690</w:t>
        </w:r>
      </w:hyperlink>
      <w:r w:rsidRPr="008C1DEA">
        <w:rPr>
          <w:rFonts w:ascii="Times New Roman" w:hAnsi="Times New Roman"/>
          <w:noProof/>
          <w:sz w:val="24"/>
          <w:szCs w:val="24"/>
        </w:rPr>
        <w:t xml:space="preserve"> </w:t>
      </w:r>
    </w:p>
    <w:p w14:paraId="3094A350"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Lakai, D., Jayaratne, K., Moore, G. E., &amp; Kistler, M. J. (2012). Barriers and effective educational strategies to develop extension agents’ professional competencies. </w:t>
      </w:r>
      <w:r w:rsidRPr="008C1DEA">
        <w:rPr>
          <w:rFonts w:ascii="Times New Roman" w:hAnsi="Times New Roman"/>
          <w:i/>
          <w:noProof/>
          <w:sz w:val="24"/>
          <w:szCs w:val="24"/>
        </w:rPr>
        <w:t>Journal of Extension</w:t>
      </w:r>
      <w:r w:rsidRPr="008C1DEA">
        <w:rPr>
          <w:rFonts w:ascii="Times New Roman" w:hAnsi="Times New Roman"/>
          <w:noProof/>
          <w:sz w:val="24"/>
          <w:szCs w:val="24"/>
        </w:rPr>
        <w:t>,</w:t>
      </w:r>
      <w:r w:rsidRPr="008C1DEA">
        <w:rPr>
          <w:rFonts w:ascii="Times New Roman" w:hAnsi="Times New Roman"/>
          <w:i/>
          <w:noProof/>
          <w:sz w:val="24"/>
          <w:szCs w:val="24"/>
        </w:rPr>
        <w:t xml:space="preserve"> 50</w:t>
      </w:r>
      <w:r w:rsidRPr="008C1DEA">
        <w:rPr>
          <w:rFonts w:ascii="Times New Roman" w:hAnsi="Times New Roman"/>
          <w:noProof/>
          <w:sz w:val="24"/>
          <w:szCs w:val="24"/>
        </w:rPr>
        <w:t xml:space="preserve">(4), 1-7. </w:t>
      </w:r>
    </w:p>
    <w:p w14:paraId="5149FBEB"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McDowell, G. R. (2001). </w:t>
      </w:r>
      <w:r w:rsidRPr="008C1DEA">
        <w:rPr>
          <w:rFonts w:ascii="Times New Roman" w:hAnsi="Times New Roman"/>
          <w:i/>
          <w:noProof/>
          <w:sz w:val="24"/>
          <w:szCs w:val="24"/>
        </w:rPr>
        <w:t>Land-Grant Universities and Extension into the 21st Century: Renegotiating or Abandoning a Social Contract</w:t>
      </w:r>
      <w:r w:rsidRPr="008C1DEA">
        <w:rPr>
          <w:rFonts w:ascii="Times New Roman" w:hAnsi="Times New Roman"/>
          <w:noProof/>
          <w:sz w:val="24"/>
          <w:szCs w:val="24"/>
        </w:rPr>
        <w:t xml:space="preserve">. ERIC. </w:t>
      </w:r>
    </w:p>
    <w:p w14:paraId="1E5247A1"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Neuhauser, C. (2002). Learning Style and Effectiveness of Online and Face-to-Face Instruction. </w:t>
      </w:r>
      <w:r w:rsidRPr="008C1DEA">
        <w:rPr>
          <w:rFonts w:ascii="Times New Roman" w:hAnsi="Times New Roman"/>
          <w:i/>
          <w:noProof/>
          <w:sz w:val="24"/>
          <w:szCs w:val="24"/>
        </w:rPr>
        <w:t>American Journal of Distance Education</w:t>
      </w:r>
      <w:r w:rsidRPr="008C1DEA">
        <w:rPr>
          <w:rFonts w:ascii="Times New Roman" w:hAnsi="Times New Roman"/>
          <w:noProof/>
          <w:sz w:val="24"/>
          <w:szCs w:val="24"/>
        </w:rPr>
        <w:t>,</w:t>
      </w:r>
      <w:r w:rsidRPr="008C1DEA">
        <w:rPr>
          <w:rFonts w:ascii="Times New Roman" w:hAnsi="Times New Roman"/>
          <w:i/>
          <w:noProof/>
          <w:sz w:val="24"/>
          <w:szCs w:val="24"/>
        </w:rPr>
        <w:t xml:space="preserve"> 16</w:t>
      </w:r>
      <w:r w:rsidRPr="008C1DEA">
        <w:rPr>
          <w:rFonts w:ascii="Times New Roman" w:hAnsi="Times New Roman"/>
          <w:noProof/>
          <w:sz w:val="24"/>
          <w:szCs w:val="24"/>
        </w:rPr>
        <w:t xml:space="preserve">(2), 99-113. </w:t>
      </w:r>
      <w:hyperlink r:id="rId20" w:history="1">
        <w:r w:rsidRPr="008C1DEA">
          <w:rPr>
            <w:rStyle w:val="Hyperlink"/>
            <w:rFonts w:ascii="Times New Roman" w:hAnsi="Times New Roman"/>
            <w:noProof/>
            <w:sz w:val="24"/>
            <w:szCs w:val="24"/>
          </w:rPr>
          <w:t>https://doi.org/10.1207/s15389286ajde1602_4</w:t>
        </w:r>
      </w:hyperlink>
      <w:r w:rsidRPr="008C1DEA">
        <w:rPr>
          <w:rFonts w:ascii="Times New Roman" w:hAnsi="Times New Roman"/>
          <w:noProof/>
          <w:sz w:val="24"/>
          <w:szCs w:val="24"/>
        </w:rPr>
        <w:t xml:space="preserve"> </w:t>
      </w:r>
    </w:p>
    <w:p w14:paraId="5592BC7C"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Orfaly, R. A., Frances, J. C., Campbell, P., Whittemore, B., Joly, B., &amp; Koh, H. (2005). Train-the-trainer as an educational model in public health preparedness. </w:t>
      </w:r>
      <w:r w:rsidRPr="008C1DEA">
        <w:rPr>
          <w:rFonts w:ascii="Times New Roman" w:hAnsi="Times New Roman"/>
          <w:i/>
          <w:noProof/>
          <w:sz w:val="24"/>
          <w:szCs w:val="24"/>
        </w:rPr>
        <w:t>Journal of Public Health Management and Practice</w:t>
      </w:r>
      <w:r w:rsidRPr="008C1DEA">
        <w:rPr>
          <w:rFonts w:ascii="Times New Roman" w:hAnsi="Times New Roman"/>
          <w:noProof/>
          <w:sz w:val="24"/>
          <w:szCs w:val="24"/>
        </w:rPr>
        <w:t>,</w:t>
      </w:r>
      <w:r w:rsidRPr="008C1DEA">
        <w:rPr>
          <w:rFonts w:ascii="Times New Roman" w:hAnsi="Times New Roman"/>
          <w:i/>
          <w:noProof/>
          <w:sz w:val="24"/>
          <w:szCs w:val="24"/>
        </w:rPr>
        <w:t xml:space="preserve"> 11</w:t>
      </w:r>
      <w:r w:rsidRPr="008C1DEA">
        <w:rPr>
          <w:rFonts w:ascii="Times New Roman" w:hAnsi="Times New Roman"/>
          <w:noProof/>
          <w:sz w:val="24"/>
          <w:szCs w:val="24"/>
        </w:rPr>
        <w:t xml:space="preserve">(6), S123-S127. </w:t>
      </w:r>
    </w:p>
    <w:p w14:paraId="7955C872"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Pancucci, S. (2007). Train the trainer: The bricks in the learning community scaffold of professional development. </w:t>
      </w:r>
      <w:r w:rsidRPr="008C1DEA">
        <w:rPr>
          <w:rFonts w:ascii="Times New Roman" w:hAnsi="Times New Roman"/>
          <w:i/>
          <w:noProof/>
          <w:sz w:val="24"/>
          <w:szCs w:val="24"/>
        </w:rPr>
        <w:t>International Journal of Educational and Pedagogical Sciences</w:t>
      </w:r>
      <w:r w:rsidRPr="008C1DEA">
        <w:rPr>
          <w:rFonts w:ascii="Times New Roman" w:hAnsi="Times New Roman"/>
          <w:noProof/>
          <w:sz w:val="24"/>
          <w:szCs w:val="24"/>
        </w:rPr>
        <w:t>,</w:t>
      </w:r>
      <w:r w:rsidRPr="008C1DEA">
        <w:rPr>
          <w:rFonts w:ascii="Times New Roman" w:hAnsi="Times New Roman"/>
          <w:i/>
          <w:noProof/>
          <w:sz w:val="24"/>
          <w:szCs w:val="24"/>
        </w:rPr>
        <w:t xml:space="preserve"> 1</w:t>
      </w:r>
      <w:r w:rsidRPr="008C1DEA">
        <w:rPr>
          <w:rFonts w:ascii="Times New Roman" w:hAnsi="Times New Roman"/>
          <w:noProof/>
          <w:sz w:val="24"/>
          <w:szCs w:val="24"/>
        </w:rPr>
        <w:t xml:space="preserve">(11), 597-604. </w:t>
      </w:r>
    </w:p>
    <w:p w14:paraId="6AF7B0BA"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lastRenderedPageBreak/>
        <w:t xml:space="preserve">Pigg, K. E., Busch, L., &amp; Lacy, W. B. (1980). Learning Styles in Adult Education: a Study of County Extension Agents. </w:t>
      </w:r>
      <w:r w:rsidRPr="008C1DEA">
        <w:rPr>
          <w:rFonts w:ascii="Times New Roman" w:hAnsi="Times New Roman"/>
          <w:i/>
          <w:noProof/>
          <w:sz w:val="24"/>
          <w:szCs w:val="24"/>
        </w:rPr>
        <w:t>Adult Education</w:t>
      </w:r>
      <w:r w:rsidRPr="008C1DEA">
        <w:rPr>
          <w:rFonts w:ascii="Times New Roman" w:hAnsi="Times New Roman"/>
          <w:noProof/>
          <w:sz w:val="24"/>
          <w:szCs w:val="24"/>
        </w:rPr>
        <w:t>,</w:t>
      </w:r>
      <w:r w:rsidRPr="008C1DEA">
        <w:rPr>
          <w:rFonts w:ascii="Times New Roman" w:hAnsi="Times New Roman"/>
          <w:i/>
          <w:noProof/>
          <w:sz w:val="24"/>
          <w:szCs w:val="24"/>
        </w:rPr>
        <w:t xml:space="preserve"> 30</w:t>
      </w:r>
      <w:r w:rsidRPr="008C1DEA">
        <w:rPr>
          <w:rFonts w:ascii="Times New Roman" w:hAnsi="Times New Roman"/>
          <w:noProof/>
          <w:sz w:val="24"/>
          <w:szCs w:val="24"/>
        </w:rPr>
        <w:t xml:space="preserve">(4), 233-244. </w:t>
      </w:r>
      <w:hyperlink r:id="rId21" w:history="1">
        <w:r w:rsidRPr="008C1DEA">
          <w:rPr>
            <w:rStyle w:val="Hyperlink"/>
            <w:rFonts w:ascii="Times New Roman" w:hAnsi="Times New Roman"/>
            <w:noProof/>
            <w:sz w:val="24"/>
            <w:szCs w:val="24"/>
          </w:rPr>
          <w:t>https://doi.org/10.1177/074171368003000404</w:t>
        </w:r>
      </w:hyperlink>
      <w:r w:rsidRPr="008C1DEA">
        <w:rPr>
          <w:rFonts w:ascii="Times New Roman" w:hAnsi="Times New Roman"/>
          <w:noProof/>
          <w:sz w:val="24"/>
          <w:szCs w:val="24"/>
        </w:rPr>
        <w:t xml:space="preserve"> </w:t>
      </w:r>
    </w:p>
    <w:p w14:paraId="3B43BE64"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Richards, J., Pratt, C., Skolits, G. J., &amp; Burney, J. (2012). Developing and evaluating the impact of an extension-based train-the-trainer model for effectively disseminating food safety education to middle school students. </w:t>
      </w:r>
      <w:r w:rsidRPr="008C1DEA">
        <w:rPr>
          <w:rFonts w:ascii="Times New Roman" w:hAnsi="Times New Roman"/>
          <w:i/>
          <w:noProof/>
          <w:sz w:val="24"/>
          <w:szCs w:val="24"/>
        </w:rPr>
        <w:t>Journal of Extension</w:t>
      </w:r>
      <w:r w:rsidRPr="008C1DEA">
        <w:rPr>
          <w:rFonts w:ascii="Times New Roman" w:hAnsi="Times New Roman"/>
          <w:noProof/>
          <w:sz w:val="24"/>
          <w:szCs w:val="24"/>
        </w:rPr>
        <w:t>,</w:t>
      </w:r>
      <w:r w:rsidRPr="008C1DEA">
        <w:rPr>
          <w:rFonts w:ascii="Times New Roman" w:hAnsi="Times New Roman"/>
          <w:i/>
          <w:noProof/>
          <w:sz w:val="24"/>
          <w:szCs w:val="24"/>
        </w:rPr>
        <w:t xml:space="preserve"> 50</w:t>
      </w:r>
      <w:r w:rsidRPr="008C1DEA">
        <w:rPr>
          <w:rFonts w:ascii="Times New Roman" w:hAnsi="Times New Roman"/>
          <w:noProof/>
          <w:sz w:val="24"/>
          <w:szCs w:val="24"/>
        </w:rPr>
        <w:t xml:space="preserve">(4), 4FEA6. </w:t>
      </w:r>
    </w:p>
    <w:p w14:paraId="30EBCEAE"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Sajjad, S. (2010). Effective teaching methods at higher education level. </w:t>
      </w:r>
      <w:r w:rsidRPr="008C1DEA">
        <w:rPr>
          <w:rFonts w:ascii="Times New Roman" w:hAnsi="Times New Roman"/>
          <w:i/>
          <w:noProof/>
          <w:sz w:val="24"/>
          <w:szCs w:val="24"/>
        </w:rPr>
        <w:t>Pakistan journal of special education</w:t>
      </w:r>
      <w:r w:rsidRPr="008C1DEA">
        <w:rPr>
          <w:rFonts w:ascii="Times New Roman" w:hAnsi="Times New Roman"/>
          <w:noProof/>
          <w:sz w:val="24"/>
          <w:szCs w:val="24"/>
        </w:rPr>
        <w:t>,</w:t>
      </w:r>
      <w:r w:rsidRPr="008C1DEA">
        <w:rPr>
          <w:rFonts w:ascii="Times New Roman" w:hAnsi="Times New Roman"/>
          <w:i/>
          <w:noProof/>
          <w:sz w:val="24"/>
          <w:szCs w:val="24"/>
        </w:rPr>
        <w:t xml:space="preserve"> 11</w:t>
      </w:r>
      <w:r w:rsidRPr="008C1DEA">
        <w:rPr>
          <w:rFonts w:ascii="Times New Roman" w:hAnsi="Times New Roman"/>
          <w:noProof/>
          <w:sz w:val="24"/>
          <w:szCs w:val="24"/>
        </w:rPr>
        <w:t xml:space="preserve">, 29-43. </w:t>
      </w:r>
    </w:p>
    <w:p w14:paraId="6164C692"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Scheerens, J., Luyten, H., &amp; Van Ravens, J. (2011). Measuring Educational Quality by Means of Indicators. In (pp. 35-50). Springer Netherlands. </w:t>
      </w:r>
      <w:hyperlink r:id="rId22" w:history="1">
        <w:r w:rsidRPr="008C1DEA">
          <w:rPr>
            <w:rStyle w:val="Hyperlink"/>
            <w:rFonts w:ascii="Times New Roman" w:hAnsi="Times New Roman"/>
            <w:noProof/>
            <w:sz w:val="24"/>
            <w:szCs w:val="24"/>
          </w:rPr>
          <w:t>https://doi.org/10.1007/978-94-007-0926-3_2</w:t>
        </w:r>
      </w:hyperlink>
      <w:r w:rsidRPr="008C1DEA">
        <w:rPr>
          <w:rFonts w:ascii="Times New Roman" w:hAnsi="Times New Roman"/>
          <w:noProof/>
          <w:sz w:val="24"/>
          <w:szCs w:val="24"/>
        </w:rPr>
        <w:t xml:space="preserve"> </w:t>
      </w:r>
    </w:p>
    <w:p w14:paraId="7222B550"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Schuwirth, L. W. T., &amp; Van Der Vleuten, C. P. M. (2004). Different written assessment methods: what can be said about their strengths and weaknesses? </w:t>
      </w:r>
      <w:r w:rsidRPr="008C1DEA">
        <w:rPr>
          <w:rFonts w:ascii="Times New Roman" w:hAnsi="Times New Roman"/>
          <w:i/>
          <w:noProof/>
          <w:sz w:val="24"/>
          <w:szCs w:val="24"/>
        </w:rPr>
        <w:t>Medical Education</w:t>
      </w:r>
      <w:r w:rsidRPr="008C1DEA">
        <w:rPr>
          <w:rFonts w:ascii="Times New Roman" w:hAnsi="Times New Roman"/>
          <w:noProof/>
          <w:sz w:val="24"/>
          <w:szCs w:val="24"/>
        </w:rPr>
        <w:t>,</w:t>
      </w:r>
      <w:r w:rsidRPr="008C1DEA">
        <w:rPr>
          <w:rFonts w:ascii="Times New Roman" w:hAnsi="Times New Roman"/>
          <w:i/>
          <w:noProof/>
          <w:sz w:val="24"/>
          <w:szCs w:val="24"/>
        </w:rPr>
        <w:t xml:space="preserve"> 38</w:t>
      </w:r>
      <w:r w:rsidRPr="008C1DEA">
        <w:rPr>
          <w:rFonts w:ascii="Times New Roman" w:hAnsi="Times New Roman"/>
          <w:noProof/>
          <w:sz w:val="24"/>
          <w:szCs w:val="24"/>
        </w:rPr>
        <w:t xml:space="preserve">(9), 974-979. </w:t>
      </w:r>
      <w:hyperlink r:id="rId23" w:history="1">
        <w:r w:rsidRPr="008C1DEA">
          <w:rPr>
            <w:rStyle w:val="Hyperlink"/>
            <w:rFonts w:ascii="Times New Roman" w:hAnsi="Times New Roman"/>
            <w:noProof/>
            <w:sz w:val="24"/>
            <w:szCs w:val="24"/>
          </w:rPr>
          <w:t>https://doi.org/10.1111/j.1365-2929.2004.01916.x</w:t>
        </w:r>
      </w:hyperlink>
      <w:r w:rsidRPr="008C1DEA">
        <w:rPr>
          <w:rFonts w:ascii="Times New Roman" w:hAnsi="Times New Roman"/>
          <w:noProof/>
          <w:sz w:val="24"/>
          <w:szCs w:val="24"/>
        </w:rPr>
        <w:t xml:space="preserve"> </w:t>
      </w:r>
    </w:p>
    <w:p w14:paraId="3892BBF1"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Shavelson, R. J., McDonnell, L., &amp; Oakes, J. (1990). What are educational indicators and indicator systems? </w:t>
      </w:r>
      <w:r w:rsidRPr="008C1DEA">
        <w:rPr>
          <w:rFonts w:ascii="Times New Roman" w:hAnsi="Times New Roman"/>
          <w:i/>
          <w:noProof/>
          <w:sz w:val="24"/>
          <w:szCs w:val="24"/>
        </w:rPr>
        <w:t>Practical Assessment, Research, and Evaluation</w:t>
      </w:r>
      <w:r w:rsidRPr="008C1DEA">
        <w:rPr>
          <w:rFonts w:ascii="Times New Roman" w:hAnsi="Times New Roman"/>
          <w:noProof/>
          <w:sz w:val="24"/>
          <w:szCs w:val="24"/>
        </w:rPr>
        <w:t>,</w:t>
      </w:r>
      <w:r w:rsidRPr="008C1DEA">
        <w:rPr>
          <w:rFonts w:ascii="Times New Roman" w:hAnsi="Times New Roman"/>
          <w:i/>
          <w:noProof/>
          <w:sz w:val="24"/>
          <w:szCs w:val="24"/>
        </w:rPr>
        <w:t xml:space="preserve"> 2</w:t>
      </w:r>
      <w:r w:rsidRPr="008C1DEA">
        <w:rPr>
          <w:rFonts w:ascii="Times New Roman" w:hAnsi="Times New Roman"/>
          <w:noProof/>
          <w:sz w:val="24"/>
          <w:szCs w:val="24"/>
        </w:rPr>
        <w:t xml:space="preserve">(1), 11. </w:t>
      </w:r>
    </w:p>
    <w:p w14:paraId="7040EC62"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Singh, H. (2021). Building Effective Blended Learning Programs. In (pp. 15-23). IGI Global. </w:t>
      </w:r>
      <w:hyperlink r:id="rId24" w:history="1">
        <w:r w:rsidRPr="008C1DEA">
          <w:rPr>
            <w:rStyle w:val="Hyperlink"/>
            <w:rFonts w:ascii="Times New Roman" w:hAnsi="Times New Roman"/>
            <w:noProof/>
            <w:sz w:val="24"/>
            <w:szCs w:val="24"/>
          </w:rPr>
          <w:t>https://doi.org/10.4018/978-1-7998-7607-6.ch002</w:t>
        </w:r>
      </w:hyperlink>
      <w:r w:rsidRPr="008C1DEA">
        <w:rPr>
          <w:rFonts w:ascii="Times New Roman" w:hAnsi="Times New Roman"/>
          <w:noProof/>
          <w:sz w:val="24"/>
          <w:szCs w:val="24"/>
        </w:rPr>
        <w:t xml:space="preserve"> </w:t>
      </w:r>
    </w:p>
    <w:p w14:paraId="05B951A8" w14:textId="77777777" w:rsidR="00AA7CD5" w:rsidRPr="008C1DEA" w:rsidRDefault="00AA7CD5" w:rsidP="008A6B75">
      <w:pPr>
        <w:pStyle w:val="EndNoteBibliography"/>
        <w:spacing w:line="360" w:lineRule="auto"/>
        <w:ind w:left="720" w:hanging="720"/>
        <w:rPr>
          <w:rFonts w:ascii="Times New Roman" w:hAnsi="Times New Roman"/>
          <w:noProof/>
          <w:sz w:val="24"/>
          <w:szCs w:val="24"/>
        </w:rPr>
      </w:pPr>
      <w:r w:rsidRPr="008C1DEA">
        <w:rPr>
          <w:rFonts w:ascii="Times New Roman" w:hAnsi="Times New Roman"/>
          <w:noProof/>
          <w:sz w:val="24"/>
          <w:szCs w:val="24"/>
        </w:rPr>
        <w:t xml:space="preserve">Singh, H., &amp; Reed, C. (2001). A white paper: Achieving success with blended learning. </w:t>
      </w:r>
      <w:r w:rsidRPr="008C1DEA">
        <w:rPr>
          <w:rFonts w:ascii="Times New Roman" w:hAnsi="Times New Roman"/>
          <w:i/>
          <w:noProof/>
          <w:sz w:val="24"/>
          <w:szCs w:val="24"/>
        </w:rPr>
        <w:t>Centra software</w:t>
      </w:r>
      <w:r w:rsidRPr="008C1DEA">
        <w:rPr>
          <w:rFonts w:ascii="Times New Roman" w:hAnsi="Times New Roman"/>
          <w:noProof/>
          <w:sz w:val="24"/>
          <w:szCs w:val="24"/>
        </w:rPr>
        <w:t>,</w:t>
      </w:r>
      <w:r w:rsidRPr="008C1DEA">
        <w:rPr>
          <w:rFonts w:ascii="Times New Roman" w:hAnsi="Times New Roman"/>
          <w:i/>
          <w:noProof/>
          <w:sz w:val="24"/>
          <w:szCs w:val="24"/>
        </w:rPr>
        <w:t xml:space="preserve"> 1</w:t>
      </w:r>
      <w:r w:rsidRPr="008C1DEA">
        <w:rPr>
          <w:rFonts w:ascii="Times New Roman" w:hAnsi="Times New Roman"/>
          <w:noProof/>
          <w:sz w:val="24"/>
          <w:szCs w:val="24"/>
        </w:rPr>
        <w:t xml:space="preserve">, 1-11. </w:t>
      </w:r>
    </w:p>
    <w:p w14:paraId="317E5CCB" w14:textId="77777777" w:rsidR="00AA7CD5" w:rsidRPr="007024BD" w:rsidRDefault="00AA7CD5" w:rsidP="008A6B75">
      <w:pPr>
        <w:pStyle w:val="EndNoteBibliography"/>
        <w:spacing w:line="360" w:lineRule="auto"/>
        <w:ind w:left="720" w:hanging="720"/>
        <w:rPr>
          <w:noProof/>
        </w:rPr>
      </w:pPr>
      <w:r w:rsidRPr="008C1DEA">
        <w:rPr>
          <w:rFonts w:ascii="Times New Roman" w:hAnsi="Times New Roman"/>
          <w:noProof/>
          <w:sz w:val="24"/>
          <w:szCs w:val="24"/>
        </w:rPr>
        <w:t xml:space="preserve">Sood, A., Tigges, B., &amp; Helitzer, D. (2016). Mentoring early-career faculty researchers is important—but first “train the trainer”. </w:t>
      </w:r>
      <w:r w:rsidRPr="008C1DEA">
        <w:rPr>
          <w:rFonts w:ascii="Times New Roman" w:hAnsi="Times New Roman"/>
          <w:i/>
          <w:noProof/>
          <w:sz w:val="24"/>
          <w:szCs w:val="24"/>
        </w:rPr>
        <w:t>Academic medicine: journal of the Association of American Medical Colleges</w:t>
      </w:r>
      <w:r w:rsidRPr="008C1DEA">
        <w:rPr>
          <w:rFonts w:ascii="Times New Roman" w:hAnsi="Times New Roman"/>
          <w:noProof/>
          <w:sz w:val="24"/>
          <w:szCs w:val="24"/>
        </w:rPr>
        <w:t>,</w:t>
      </w:r>
      <w:r w:rsidRPr="008C1DEA">
        <w:rPr>
          <w:rFonts w:ascii="Times New Roman" w:hAnsi="Times New Roman"/>
          <w:i/>
          <w:noProof/>
          <w:sz w:val="24"/>
          <w:szCs w:val="24"/>
        </w:rPr>
        <w:t xml:space="preserve"> 91</w:t>
      </w:r>
      <w:r w:rsidRPr="008C1DEA">
        <w:rPr>
          <w:rFonts w:ascii="Times New Roman" w:hAnsi="Times New Roman"/>
          <w:noProof/>
          <w:sz w:val="24"/>
          <w:szCs w:val="24"/>
        </w:rPr>
        <w:t>(12), 1598.</w:t>
      </w:r>
      <w:r w:rsidRPr="007024BD">
        <w:rPr>
          <w:noProof/>
        </w:rPr>
        <w:t xml:space="preserve"> </w:t>
      </w:r>
    </w:p>
    <w:p w14:paraId="2460786F" w14:textId="57BAAB84" w:rsidR="00D677AA" w:rsidRPr="00DF7C87" w:rsidRDefault="00D677AA" w:rsidP="008A6B75">
      <w:pPr>
        <w:pStyle w:val="Heading1"/>
        <w:spacing w:line="360" w:lineRule="auto"/>
        <w:rPr>
          <w:rFonts w:ascii="Times New Roman" w:hAnsi="Times New Roman" w:cs="Times New Roman"/>
        </w:rPr>
      </w:pPr>
    </w:p>
    <w:p w14:paraId="23F8F153" w14:textId="77777777" w:rsidR="00D677AA" w:rsidRPr="00DF7C87" w:rsidRDefault="00D677AA" w:rsidP="008A6B75">
      <w:pPr>
        <w:spacing w:line="360" w:lineRule="auto"/>
        <w:rPr>
          <w:rFonts w:ascii="Times New Roman" w:hAnsi="Times New Roman" w:cs="Times New Roman"/>
        </w:rPr>
      </w:pPr>
    </w:p>
    <w:p w14:paraId="204EBD12" w14:textId="77777777" w:rsidR="00D677AA" w:rsidRPr="00DF7C87" w:rsidRDefault="00D677AA" w:rsidP="008A6B75">
      <w:pPr>
        <w:spacing w:line="360" w:lineRule="auto"/>
        <w:rPr>
          <w:rFonts w:ascii="Times New Roman" w:hAnsi="Times New Roman" w:cs="Times New Roman"/>
        </w:rPr>
      </w:pPr>
    </w:p>
    <w:p w14:paraId="07B80CB2" w14:textId="77777777" w:rsidR="00D677AA" w:rsidRPr="00DF7C87" w:rsidRDefault="00D677AA" w:rsidP="008A6B75">
      <w:pPr>
        <w:spacing w:line="360" w:lineRule="auto"/>
        <w:rPr>
          <w:rFonts w:ascii="Times New Roman" w:hAnsi="Times New Roman" w:cs="Times New Roman"/>
        </w:rPr>
      </w:pPr>
    </w:p>
    <w:p w14:paraId="3ACBC222" w14:textId="77777777" w:rsidR="00D677AA" w:rsidRPr="00DF7C87" w:rsidRDefault="00D677AA" w:rsidP="008A6B75">
      <w:pPr>
        <w:spacing w:line="360" w:lineRule="auto"/>
        <w:rPr>
          <w:rFonts w:ascii="Times New Roman" w:hAnsi="Times New Roman" w:cs="Times New Roman"/>
        </w:rPr>
      </w:pPr>
    </w:p>
    <w:p w14:paraId="01A99BB5" w14:textId="77777777" w:rsidR="00825933" w:rsidRPr="00DF7C87" w:rsidRDefault="00236E6D" w:rsidP="008A6B75">
      <w:pPr>
        <w:pStyle w:val="Heading1"/>
        <w:spacing w:line="360" w:lineRule="auto"/>
        <w:jc w:val="left"/>
        <w:rPr>
          <w:rFonts w:ascii="Times New Roman" w:hAnsi="Times New Roman" w:cs="Times New Roman"/>
          <w:sz w:val="24"/>
        </w:rPr>
      </w:pPr>
      <w:r w:rsidRPr="00DF7C87">
        <w:rPr>
          <w:rFonts w:ascii="Times New Roman" w:hAnsi="Times New Roman" w:cs="Times New Roman"/>
          <w:sz w:val="24"/>
        </w:rPr>
        <w:br w:type="page"/>
      </w:r>
    </w:p>
    <w:p w14:paraId="62C711E5" w14:textId="77777777" w:rsidR="00236E6D" w:rsidRPr="00DF7C87" w:rsidRDefault="00526151" w:rsidP="008A6B75">
      <w:pPr>
        <w:pStyle w:val="Heading1"/>
        <w:spacing w:line="360" w:lineRule="auto"/>
        <w:rPr>
          <w:rFonts w:ascii="Times New Roman" w:hAnsi="Times New Roman" w:cs="Times New Roman"/>
          <w:szCs w:val="28"/>
        </w:rPr>
      </w:pPr>
      <w:bookmarkStart w:id="107" w:name="_Toc289175845"/>
      <w:bookmarkStart w:id="108" w:name="_Toc151023727"/>
      <w:r w:rsidRPr="00DF7C87">
        <w:rPr>
          <w:rFonts w:ascii="Times New Roman" w:hAnsi="Times New Roman" w:cs="Times New Roman"/>
          <w:szCs w:val="28"/>
        </w:rPr>
        <w:lastRenderedPageBreak/>
        <w:t>VITA</w:t>
      </w:r>
      <w:bookmarkEnd w:id="107"/>
      <w:bookmarkEnd w:id="108"/>
    </w:p>
    <w:p w14:paraId="0A065F4E" w14:textId="77777777" w:rsidR="003D63DF" w:rsidRPr="00DF7C87" w:rsidRDefault="003D63DF" w:rsidP="008A6B75">
      <w:pPr>
        <w:spacing w:line="360" w:lineRule="auto"/>
        <w:rPr>
          <w:rFonts w:ascii="Times New Roman" w:hAnsi="Times New Roman" w:cs="Times New Roman"/>
        </w:rPr>
      </w:pPr>
    </w:p>
    <w:p w14:paraId="3182DB80" w14:textId="53F09192" w:rsidR="003D63DF" w:rsidRPr="00DF7C87" w:rsidRDefault="00EC434C" w:rsidP="008A6B75">
      <w:pPr>
        <w:spacing w:line="360" w:lineRule="auto"/>
        <w:rPr>
          <w:rFonts w:ascii="Times New Roman" w:hAnsi="Times New Roman" w:cs="Times New Roman"/>
        </w:rPr>
      </w:pPr>
      <w:r>
        <w:rPr>
          <w:rFonts w:ascii="Times New Roman" w:hAnsi="Times New Roman" w:cs="Times New Roman"/>
        </w:rPr>
        <w:t>Sawyer Main grew up in a small town in Northeast Tennessee with his parents on their small family farm. Throughout his high school career, he developed a passion for education and agriculture</w:t>
      </w:r>
      <w:r w:rsidR="00500877">
        <w:rPr>
          <w:rFonts w:ascii="Times New Roman" w:hAnsi="Times New Roman" w:cs="Times New Roman"/>
        </w:rPr>
        <w:t xml:space="preserve">. He let this passion continue to grow beginning </w:t>
      </w:r>
      <w:r>
        <w:rPr>
          <w:rFonts w:ascii="Times New Roman" w:hAnsi="Times New Roman" w:cs="Times New Roman"/>
        </w:rPr>
        <w:t>his collegiate studies at the University of Tennessee</w:t>
      </w:r>
      <w:r w:rsidR="00500877">
        <w:rPr>
          <w:rFonts w:ascii="Times New Roman" w:hAnsi="Times New Roman" w:cs="Times New Roman"/>
        </w:rPr>
        <w:t xml:space="preserve"> in the Fall of 2016</w:t>
      </w:r>
      <w:r>
        <w:rPr>
          <w:rFonts w:ascii="Times New Roman" w:hAnsi="Times New Roman" w:cs="Times New Roman"/>
        </w:rPr>
        <w:t xml:space="preserve">. In </w:t>
      </w:r>
      <w:r w:rsidR="00500877">
        <w:rPr>
          <w:rFonts w:ascii="Times New Roman" w:hAnsi="Times New Roman" w:cs="Times New Roman"/>
        </w:rPr>
        <w:t xml:space="preserve">the Spring of </w:t>
      </w:r>
      <w:r>
        <w:rPr>
          <w:rFonts w:ascii="Times New Roman" w:hAnsi="Times New Roman" w:cs="Times New Roman"/>
        </w:rPr>
        <w:t xml:space="preserve">2020, Sawyer graduated with a bachelor’s degree in agriculture education then began his graduate program in Animal Science under the mentorship of Dr. Jennie Ivey. </w:t>
      </w:r>
      <w:r w:rsidR="00500877">
        <w:rPr>
          <w:rFonts w:ascii="Times New Roman" w:hAnsi="Times New Roman" w:cs="Times New Roman"/>
        </w:rPr>
        <w:t xml:space="preserve">During his graduate studies, Sawyer worked for the University of Tennessee Extension in the department of Animal Science and continued to strive to be a good educator and advocate for agriculture and animal science. </w:t>
      </w:r>
    </w:p>
    <w:sectPr w:rsidR="003D63DF" w:rsidRPr="00DF7C87" w:rsidSect="00F34034">
      <w:pgSz w:w="12240" w:h="15840" w:code="1"/>
      <w:pgMar w:top="1440" w:right="1440" w:bottom="1440" w:left="1440" w:header="144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E93B9" w14:textId="77777777" w:rsidR="00DC0C66" w:rsidRDefault="00DC0C66" w:rsidP="005E54E2">
      <w:r>
        <w:separator/>
      </w:r>
    </w:p>
    <w:p w14:paraId="5FF5F181" w14:textId="77777777" w:rsidR="00DC0C66" w:rsidRDefault="00DC0C66" w:rsidP="005E54E2"/>
    <w:p w14:paraId="793EBEC5" w14:textId="77777777" w:rsidR="00DC0C66" w:rsidRDefault="00DC0C66" w:rsidP="005E54E2"/>
    <w:p w14:paraId="772994C2" w14:textId="77777777" w:rsidR="00DC0C66" w:rsidRDefault="00DC0C66" w:rsidP="005E54E2"/>
  </w:endnote>
  <w:endnote w:type="continuationSeparator" w:id="0">
    <w:p w14:paraId="63A33E5F" w14:textId="77777777" w:rsidR="00DC0C66" w:rsidRDefault="00DC0C66" w:rsidP="005E54E2">
      <w:r>
        <w:continuationSeparator/>
      </w:r>
    </w:p>
    <w:p w14:paraId="089CC08B" w14:textId="77777777" w:rsidR="00DC0C66" w:rsidRDefault="00DC0C66" w:rsidP="005E54E2"/>
    <w:p w14:paraId="00935BE8" w14:textId="77777777" w:rsidR="00DC0C66" w:rsidRDefault="00DC0C66" w:rsidP="005E54E2"/>
    <w:p w14:paraId="30398ABB" w14:textId="77777777" w:rsidR="00DC0C66" w:rsidRDefault="00DC0C6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ABE7F" w14:textId="77777777" w:rsidR="00387656" w:rsidRPr="000E3772" w:rsidRDefault="00387656">
    <w:pPr>
      <w:pStyle w:val="Footer"/>
      <w:jc w:val="right"/>
      <w:rPr>
        <w:rFonts w:ascii="Times New Roman" w:hAnsi="Times New Roman" w:cs="Times New Roman"/>
      </w:rPr>
    </w:pPr>
    <w:r w:rsidRPr="000E3772">
      <w:rPr>
        <w:rFonts w:ascii="Times New Roman" w:hAnsi="Times New Roman" w:cs="Times New Roman"/>
      </w:rPr>
      <w:fldChar w:fldCharType="begin"/>
    </w:r>
    <w:r w:rsidRPr="000E3772">
      <w:rPr>
        <w:rFonts w:ascii="Times New Roman" w:hAnsi="Times New Roman" w:cs="Times New Roman"/>
      </w:rPr>
      <w:instrText xml:space="preserve"> PAGE   \* MERGEFORMAT </w:instrText>
    </w:r>
    <w:r w:rsidRPr="000E3772">
      <w:rPr>
        <w:rFonts w:ascii="Times New Roman" w:hAnsi="Times New Roman" w:cs="Times New Roman"/>
      </w:rPr>
      <w:fldChar w:fldCharType="separate"/>
    </w:r>
    <w:r w:rsidR="000E3772">
      <w:rPr>
        <w:rFonts w:ascii="Times New Roman" w:hAnsi="Times New Roman" w:cs="Times New Roman"/>
        <w:noProof/>
      </w:rPr>
      <w:t>13</w:t>
    </w:r>
    <w:r w:rsidRPr="000E3772">
      <w:rPr>
        <w:rFonts w:ascii="Times New Roman" w:hAnsi="Times New Roman" w:cs="Times New Roman"/>
        <w:noProof/>
      </w:rPr>
      <w:fldChar w:fldCharType="end"/>
    </w:r>
  </w:p>
  <w:p w14:paraId="6F6AD9A9"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459F3" w14:textId="77777777" w:rsidR="00DC0C66" w:rsidRDefault="00DC0C66" w:rsidP="005E54E2">
      <w:r>
        <w:separator/>
      </w:r>
    </w:p>
    <w:p w14:paraId="08CB9A3C" w14:textId="77777777" w:rsidR="00DC0C66" w:rsidRDefault="00DC0C66" w:rsidP="005E54E2"/>
    <w:p w14:paraId="05E8A79F" w14:textId="77777777" w:rsidR="00DC0C66" w:rsidRDefault="00DC0C66" w:rsidP="005E54E2"/>
    <w:p w14:paraId="49733E9A" w14:textId="77777777" w:rsidR="00DC0C66" w:rsidRDefault="00DC0C66" w:rsidP="005E54E2"/>
  </w:footnote>
  <w:footnote w:type="continuationSeparator" w:id="0">
    <w:p w14:paraId="4D4347BA" w14:textId="77777777" w:rsidR="00DC0C66" w:rsidRDefault="00DC0C66" w:rsidP="005E54E2">
      <w:r>
        <w:continuationSeparator/>
      </w:r>
    </w:p>
    <w:p w14:paraId="29239040" w14:textId="77777777" w:rsidR="00DC0C66" w:rsidRDefault="00DC0C66" w:rsidP="005E54E2"/>
    <w:p w14:paraId="5461AD62" w14:textId="77777777" w:rsidR="00DC0C66" w:rsidRDefault="00DC0C66" w:rsidP="005E54E2"/>
    <w:p w14:paraId="4245630A" w14:textId="77777777" w:rsidR="00DC0C66" w:rsidRDefault="00DC0C66"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9314C"/>
    <w:multiLevelType w:val="hybridMultilevel"/>
    <w:tmpl w:val="D1CA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7871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removePersonalInformation/>
  <w:removeDateAndTime/>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4FB4"/>
    <w:rsid w:val="000073AC"/>
    <w:rsid w:val="000122B9"/>
    <w:rsid w:val="00014A3E"/>
    <w:rsid w:val="000156E9"/>
    <w:rsid w:val="000166A9"/>
    <w:rsid w:val="000325FB"/>
    <w:rsid w:val="0003672C"/>
    <w:rsid w:val="00037A58"/>
    <w:rsid w:val="00057004"/>
    <w:rsid w:val="00060A6A"/>
    <w:rsid w:val="00061496"/>
    <w:rsid w:val="00071FB8"/>
    <w:rsid w:val="00076A95"/>
    <w:rsid w:val="00085B47"/>
    <w:rsid w:val="000A508B"/>
    <w:rsid w:val="000A78C4"/>
    <w:rsid w:val="000B2378"/>
    <w:rsid w:val="000B5C42"/>
    <w:rsid w:val="000C0510"/>
    <w:rsid w:val="000D0B9C"/>
    <w:rsid w:val="000D529F"/>
    <w:rsid w:val="000E15AE"/>
    <w:rsid w:val="000E1BC2"/>
    <w:rsid w:val="000E3772"/>
    <w:rsid w:val="000E67F1"/>
    <w:rsid w:val="000F3A2B"/>
    <w:rsid w:val="0010217F"/>
    <w:rsid w:val="00102631"/>
    <w:rsid w:val="00106B25"/>
    <w:rsid w:val="0011683F"/>
    <w:rsid w:val="00120077"/>
    <w:rsid w:val="0015115D"/>
    <w:rsid w:val="00160114"/>
    <w:rsid w:val="00164489"/>
    <w:rsid w:val="001854FB"/>
    <w:rsid w:val="00193642"/>
    <w:rsid w:val="001A34F1"/>
    <w:rsid w:val="001A5179"/>
    <w:rsid w:val="001B1034"/>
    <w:rsid w:val="001B41B0"/>
    <w:rsid w:val="001C39F6"/>
    <w:rsid w:val="001C3A0D"/>
    <w:rsid w:val="001C66FE"/>
    <w:rsid w:val="001D4908"/>
    <w:rsid w:val="001D5770"/>
    <w:rsid w:val="001D6904"/>
    <w:rsid w:val="001E1898"/>
    <w:rsid w:val="001F43C1"/>
    <w:rsid w:val="001F522F"/>
    <w:rsid w:val="00215C1D"/>
    <w:rsid w:val="0022210F"/>
    <w:rsid w:val="00236E6D"/>
    <w:rsid w:val="002429E5"/>
    <w:rsid w:val="00246AF3"/>
    <w:rsid w:val="0024723A"/>
    <w:rsid w:val="0025087F"/>
    <w:rsid w:val="00261B12"/>
    <w:rsid w:val="002771C9"/>
    <w:rsid w:val="00280CEF"/>
    <w:rsid w:val="00284F7F"/>
    <w:rsid w:val="0028757A"/>
    <w:rsid w:val="002910AA"/>
    <w:rsid w:val="002942F5"/>
    <w:rsid w:val="00294A9D"/>
    <w:rsid w:val="002A12F0"/>
    <w:rsid w:val="002A3264"/>
    <w:rsid w:val="002E0C33"/>
    <w:rsid w:val="002E2492"/>
    <w:rsid w:val="002E5F14"/>
    <w:rsid w:val="002F4FE7"/>
    <w:rsid w:val="002F6C76"/>
    <w:rsid w:val="00304BD0"/>
    <w:rsid w:val="003050D2"/>
    <w:rsid w:val="00307D77"/>
    <w:rsid w:val="00313E9E"/>
    <w:rsid w:val="00314C7F"/>
    <w:rsid w:val="003150D5"/>
    <w:rsid w:val="003206F1"/>
    <w:rsid w:val="00320F78"/>
    <w:rsid w:val="0032603B"/>
    <w:rsid w:val="003339F7"/>
    <w:rsid w:val="00334400"/>
    <w:rsid w:val="003348A6"/>
    <w:rsid w:val="0035768F"/>
    <w:rsid w:val="00360822"/>
    <w:rsid w:val="00360B3C"/>
    <w:rsid w:val="0036251E"/>
    <w:rsid w:val="00370C6B"/>
    <w:rsid w:val="00373919"/>
    <w:rsid w:val="00377E9C"/>
    <w:rsid w:val="0038177C"/>
    <w:rsid w:val="003836EB"/>
    <w:rsid w:val="00387024"/>
    <w:rsid w:val="00387656"/>
    <w:rsid w:val="00393B17"/>
    <w:rsid w:val="00394464"/>
    <w:rsid w:val="00396ACF"/>
    <w:rsid w:val="003B2F16"/>
    <w:rsid w:val="003B5CC5"/>
    <w:rsid w:val="003C070F"/>
    <w:rsid w:val="003C1575"/>
    <w:rsid w:val="003C41C1"/>
    <w:rsid w:val="003C7FC5"/>
    <w:rsid w:val="003D07F7"/>
    <w:rsid w:val="003D5275"/>
    <w:rsid w:val="003D59C9"/>
    <w:rsid w:val="003D63DF"/>
    <w:rsid w:val="003D737F"/>
    <w:rsid w:val="003F4654"/>
    <w:rsid w:val="003F72BE"/>
    <w:rsid w:val="003F7474"/>
    <w:rsid w:val="00402BB7"/>
    <w:rsid w:val="00404616"/>
    <w:rsid w:val="00406F6E"/>
    <w:rsid w:val="00407B6A"/>
    <w:rsid w:val="00414400"/>
    <w:rsid w:val="004210DA"/>
    <w:rsid w:val="00421CD4"/>
    <w:rsid w:val="00422932"/>
    <w:rsid w:val="00423EA7"/>
    <w:rsid w:val="004257E4"/>
    <w:rsid w:val="00427833"/>
    <w:rsid w:val="004335E8"/>
    <w:rsid w:val="0044196E"/>
    <w:rsid w:val="00446D74"/>
    <w:rsid w:val="00461AAA"/>
    <w:rsid w:val="00461BAC"/>
    <w:rsid w:val="004661D9"/>
    <w:rsid w:val="00473351"/>
    <w:rsid w:val="00474210"/>
    <w:rsid w:val="00480B96"/>
    <w:rsid w:val="00482C02"/>
    <w:rsid w:val="0048303E"/>
    <w:rsid w:val="0049004B"/>
    <w:rsid w:val="004920F6"/>
    <w:rsid w:val="004941DA"/>
    <w:rsid w:val="00497636"/>
    <w:rsid w:val="004A20EC"/>
    <w:rsid w:val="004A67E8"/>
    <w:rsid w:val="004B731B"/>
    <w:rsid w:val="004C2071"/>
    <w:rsid w:val="004C3D65"/>
    <w:rsid w:val="004C7407"/>
    <w:rsid w:val="004D0248"/>
    <w:rsid w:val="004D6472"/>
    <w:rsid w:val="004D691B"/>
    <w:rsid w:val="004E053D"/>
    <w:rsid w:val="004F2CE2"/>
    <w:rsid w:val="00500877"/>
    <w:rsid w:val="005049EE"/>
    <w:rsid w:val="00506BE6"/>
    <w:rsid w:val="005074BE"/>
    <w:rsid w:val="00525BEA"/>
    <w:rsid w:val="00526151"/>
    <w:rsid w:val="00526CAD"/>
    <w:rsid w:val="00537CFB"/>
    <w:rsid w:val="0055002C"/>
    <w:rsid w:val="00552465"/>
    <w:rsid w:val="00563BC8"/>
    <w:rsid w:val="00582C92"/>
    <w:rsid w:val="00583A04"/>
    <w:rsid w:val="005867A5"/>
    <w:rsid w:val="00597AD2"/>
    <w:rsid w:val="00597D3F"/>
    <w:rsid w:val="005A0CCE"/>
    <w:rsid w:val="005B6FDB"/>
    <w:rsid w:val="005B79E9"/>
    <w:rsid w:val="005C0422"/>
    <w:rsid w:val="005C13FA"/>
    <w:rsid w:val="005D3BD8"/>
    <w:rsid w:val="005D5B59"/>
    <w:rsid w:val="005E4912"/>
    <w:rsid w:val="005E54E2"/>
    <w:rsid w:val="005E6F1F"/>
    <w:rsid w:val="005E7AE4"/>
    <w:rsid w:val="005F44D1"/>
    <w:rsid w:val="006011EB"/>
    <w:rsid w:val="0060224B"/>
    <w:rsid w:val="00611B90"/>
    <w:rsid w:val="00621129"/>
    <w:rsid w:val="006233F5"/>
    <w:rsid w:val="0063265A"/>
    <w:rsid w:val="00633916"/>
    <w:rsid w:val="00641D2B"/>
    <w:rsid w:val="00647CCC"/>
    <w:rsid w:val="00652687"/>
    <w:rsid w:val="00662D3E"/>
    <w:rsid w:val="00665C7E"/>
    <w:rsid w:val="00671DF5"/>
    <w:rsid w:val="00672DDD"/>
    <w:rsid w:val="00676C91"/>
    <w:rsid w:val="006803C0"/>
    <w:rsid w:val="00684EB3"/>
    <w:rsid w:val="00685FED"/>
    <w:rsid w:val="00690B77"/>
    <w:rsid w:val="00692C42"/>
    <w:rsid w:val="0069303C"/>
    <w:rsid w:val="006A2E7A"/>
    <w:rsid w:val="006A5A3F"/>
    <w:rsid w:val="006B0F11"/>
    <w:rsid w:val="006B1944"/>
    <w:rsid w:val="006B6936"/>
    <w:rsid w:val="006C4000"/>
    <w:rsid w:val="006C621F"/>
    <w:rsid w:val="006C651A"/>
    <w:rsid w:val="006D5EE8"/>
    <w:rsid w:val="006D6980"/>
    <w:rsid w:val="006E56E8"/>
    <w:rsid w:val="006E5B01"/>
    <w:rsid w:val="006E5D18"/>
    <w:rsid w:val="006F5AA4"/>
    <w:rsid w:val="00703F3E"/>
    <w:rsid w:val="00707048"/>
    <w:rsid w:val="00711200"/>
    <w:rsid w:val="0072397F"/>
    <w:rsid w:val="00727250"/>
    <w:rsid w:val="00730F88"/>
    <w:rsid w:val="00731922"/>
    <w:rsid w:val="00731ACB"/>
    <w:rsid w:val="00733EA2"/>
    <w:rsid w:val="00734405"/>
    <w:rsid w:val="007368AD"/>
    <w:rsid w:val="0074133D"/>
    <w:rsid w:val="00745DF6"/>
    <w:rsid w:val="0075196D"/>
    <w:rsid w:val="0075558C"/>
    <w:rsid w:val="00761EFA"/>
    <w:rsid w:val="00764873"/>
    <w:rsid w:val="007649C2"/>
    <w:rsid w:val="007676B9"/>
    <w:rsid w:val="007778DD"/>
    <w:rsid w:val="00781055"/>
    <w:rsid w:val="00787617"/>
    <w:rsid w:val="00787FB7"/>
    <w:rsid w:val="0079055A"/>
    <w:rsid w:val="00796693"/>
    <w:rsid w:val="007A0F41"/>
    <w:rsid w:val="007B46F0"/>
    <w:rsid w:val="007B696A"/>
    <w:rsid w:val="007C36A9"/>
    <w:rsid w:val="007C7591"/>
    <w:rsid w:val="007D1C7E"/>
    <w:rsid w:val="007D5CD5"/>
    <w:rsid w:val="007E42A7"/>
    <w:rsid w:val="007E7ED3"/>
    <w:rsid w:val="007F6AE9"/>
    <w:rsid w:val="00801250"/>
    <w:rsid w:val="008046FE"/>
    <w:rsid w:val="00804B45"/>
    <w:rsid w:val="008062A2"/>
    <w:rsid w:val="00806E92"/>
    <w:rsid w:val="00825933"/>
    <w:rsid w:val="00826D54"/>
    <w:rsid w:val="00834CBF"/>
    <w:rsid w:val="00836F89"/>
    <w:rsid w:val="00840468"/>
    <w:rsid w:val="00846459"/>
    <w:rsid w:val="00851D41"/>
    <w:rsid w:val="00854619"/>
    <w:rsid w:val="0085757D"/>
    <w:rsid w:val="00863435"/>
    <w:rsid w:val="00864954"/>
    <w:rsid w:val="00872827"/>
    <w:rsid w:val="0087349A"/>
    <w:rsid w:val="0087532D"/>
    <w:rsid w:val="008865B6"/>
    <w:rsid w:val="0089086A"/>
    <w:rsid w:val="008940B9"/>
    <w:rsid w:val="008949E3"/>
    <w:rsid w:val="00895DF4"/>
    <w:rsid w:val="008A6B75"/>
    <w:rsid w:val="008A7971"/>
    <w:rsid w:val="008B0A19"/>
    <w:rsid w:val="008B1A4D"/>
    <w:rsid w:val="008C2D04"/>
    <w:rsid w:val="008C3318"/>
    <w:rsid w:val="008C4606"/>
    <w:rsid w:val="008D0A54"/>
    <w:rsid w:val="008D44B2"/>
    <w:rsid w:val="008D589C"/>
    <w:rsid w:val="008D5CD6"/>
    <w:rsid w:val="008E7085"/>
    <w:rsid w:val="008F60C3"/>
    <w:rsid w:val="00904969"/>
    <w:rsid w:val="009254D6"/>
    <w:rsid w:val="0092669B"/>
    <w:rsid w:val="00930E88"/>
    <w:rsid w:val="0093163E"/>
    <w:rsid w:val="009341F3"/>
    <w:rsid w:val="00935F8F"/>
    <w:rsid w:val="00936436"/>
    <w:rsid w:val="00943D74"/>
    <w:rsid w:val="00944DB9"/>
    <w:rsid w:val="00945C40"/>
    <w:rsid w:val="009611E6"/>
    <w:rsid w:val="00966BAC"/>
    <w:rsid w:val="00975E37"/>
    <w:rsid w:val="009A2ABE"/>
    <w:rsid w:val="009A6A2F"/>
    <w:rsid w:val="009C755C"/>
    <w:rsid w:val="009C780F"/>
    <w:rsid w:val="009D287D"/>
    <w:rsid w:val="009D794C"/>
    <w:rsid w:val="009E3BC0"/>
    <w:rsid w:val="009E4528"/>
    <w:rsid w:val="009F7A0F"/>
    <w:rsid w:val="00A101E6"/>
    <w:rsid w:val="00A1556B"/>
    <w:rsid w:val="00A205EE"/>
    <w:rsid w:val="00A25353"/>
    <w:rsid w:val="00A34F5F"/>
    <w:rsid w:val="00A376A8"/>
    <w:rsid w:val="00A46A68"/>
    <w:rsid w:val="00A50EE9"/>
    <w:rsid w:val="00A50F5A"/>
    <w:rsid w:val="00A746DE"/>
    <w:rsid w:val="00A74E0C"/>
    <w:rsid w:val="00A847CB"/>
    <w:rsid w:val="00A86F48"/>
    <w:rsid w:val="00A93E9C"/>
    <w:rsid w:val="00AA3E0C"/>
    <w:rsid w:val="00AA504B"/>
    <w:rsid w:val="00AA60D3"/>
    <w:rsid w:val="00AA7CD5"/>
    <w:rsid w:val="00AB6429"/>
    <w:rsid w:val="00AB6581"/>
    <w:rsid w:val="00AD0A33"/>
    <w:rsid w:val="00AD31BE"/>
    <w:rsid w:val="00AD346D"/>
    <w:rsid w:val="00AE0982"/>
    <w:rsid w:val="00AF19D4"/>
    <w:rsid w:val="00B07524"/>
    <w:rsid w:val="00B113E7"/>
    <w:rsid w:val="00B1714F"/>
    <w:rsid w:val="00B261BE"/>
    <w:rsid w:val="00B35B7C"/>
    <w:rsid w:val="00B36790"/>
    <w:rsid w:val="00B37E67"/>
    <w:rsid w:val="00B53C15"/>
    <w:rsid w:val="00B57D3C"/>
    <w:rsid w:val="00B7746D"/>
    <w:rsid w:val="00B90095"/>
    <w:rsid w:val="00BB0759"/>
    <w:rsid w:val="00BD2603"/>
    <w:rsid w:val="00BD3522"/>
    <w:rsid w:val="00BD43E6"/>
    <w:rsid w:val="00BD4D33"/>
    <w:rsid w:val="00BE6672"/>
    <w:rsid w:val="00BF178C"/>
    <w:rsid w:val="00BF5CF1"/>
    <w:rsid w:val="00C06E10"/>
    <w:rsid w:val="00C0799A"/>
    <w:rsid w:val="00C11D0D"/>
    <w:rsid w:val="00C1256D"/>
    <w:rsid w:val="00C128A9"/>
    <w:rsid w:val="00C21D19"/>
    <w:rsid w:val="00C26544"/>
    <w:rsid w:val="00C27A8B"/>
    <w:rsid w:val="00C30D60"/>
    <w:rsid w:val="00C509C3"/>
    <w:rsid w:val="00C50A17"/>
    <w:rsid w:val="00C70EAE"/>
    <w:rsid w:val="00C71878"/>
    <w:rsid w:val="00C82216"/>
    <w:rsid w:val="00C83B65"/>
    <w:rsid w:val="00C84251"/>
    <w:rsid w:val="00CA0960"/>
    <w:rsid w:val="00CA3E16"/>
    <w:rsid w:val="00CD18BC"/>
    <w:rsid w:val="00CD50B5"/>
    <w:rsid w:val="00CD73A9"/>
    <w:rsid w:val="00CE3419"/>
    <w:rsid w:val="00CE3A3E"/>
    <w:rsid w:val="00CE4D4B"/>
    <w:rsid w:val="00D02CB2"/>
    <w:rsid w:val="00D054A3"/>
    <w:rsid w:val="00D06F12"/>
    <w:rsid w:val="00D21EF3"/>
    <w:rsid w:val="00D3451E"/>
    <w:rsid w:val="00D3625D"/>
    <w:rsid w:val="00D4034A"/>
    <w:rsid w:val="00D41205"/>
    <w:rsid w:val="00D46790"/>
    <w:rsid w:val="00D53114"/>
    <w:rsid w:val="00D5405A"/>
    <w:rsid w:val="00D555EB"/>
    <w:rsid w:val="00D63923"/>
    <w:rsid w:val="00D6504C"/>
    <w:rsid w:val="00D6627C"/>
    <w:rsid w:val="00D677AA"/>
    <w:rsid w:val="00D73F4D"/>
    <w:rsid w:val="00D82E57"/>
    <w:rsid w:val="00D85EEA"/>
    <w:rsid w:val="00D91C27"/>
    <w:rsid w:val="00DA1F4A"/>
    <w:rsid w:val="00DB0A22"/>
    <w:rsid w:val="00DC0C66"/>
    <w:rsid w:val="00DC4C7F"/>
    <w:rsid w:val="00DC50EC"/>
    <w:rsid w:val="00DC5925"/>
    <w:rsid w:val="00DC60FA"/>
    <w:rsid w:val="00DD00DE"/>
    <w:rsid w:val="00DE23AF"/>
    <w:rsid w:val="00DF3B9A"/>
    <w:rsid w:val="00DF7C87"/>
    <w:rsid w:val="00E07CC9"/>
    <w:rsid w:val="00E11DD8"/>
    <w:rsid w:val="00E17598"/>
    <w:rsid w:val="00E256BA"/>
    <w:rsid w:val="00E41BDE"/>
    <w:rsid w:val="00E459DC"/>
    <w:rsid w:val="00E579B9"/>
    <w:rsid w:val="00E60A79"/>
    <w:rsid w:val="00E61F2D"/>
    <w:rsid w:val="00E633BE"/>
    <w:rsid w:val="00E71D52"/>
    <w:rsid w:val="00E7463D"/>
    <w:rsid w:val="00E91D7A"/>
    <w:rsid w:val="00EA464C"/>
    <w:rsid w:val="00EA5199"/>
    <w:rsid w:val="00EA592B"/>
    <w:rsid w:val="00EB0EB1"/>
    <w:rsid w:val="00EB2213"/>
    <w:rsid w:val="00EB2862"/>
    <w:rsid w:val="00EB7159"/>
    <w:rsid w:val="00EC05F1"/>
    <w:rsid w:val="00EC434C"/>
    <w:rsid w:val="00ED7A05"/>
    <w:rsid w:val="00EE334C"/>
    <w:rsid w:val="00F02153"/>
    <w:rsid w:val="00F0245E"/>
    <w:rsid w:val="00F02D3C"/>
    <w:rsid w:val="00F058DF"/>
    <w:rsid w:val="00F063AE"/>
    <w:rsid w:val="00F10A4D"/>
    <w:rsid w:val="00F15675"/>
    <w:rsid w:val="00F2094D"/>
    <w:rsid w:val="00F21250"/>
    <w:rsid w:val="00F2398D"/>
    <w:rsid w:val="00F26C23"/>
    <w:rsid w:val="00F34034"/>
    <w:rsid w:val="00F442D7"/>
    <w:rsid w:val="00F634A3"/>
    <w:rsid w:val="00F66929"/>
    <w:rsid w:val="00F70716"/>
    <w:rsid w:val="00F709C4"/>
    <w:rsid w:val="00F710F9"/>
    <w:rsid w:val="00F71ADC"/>
    <w:rsid w:val="00F7620F"/>
    <w:rsid w:val="00F87446"/>
    <w:rsid w:val="00F87F40"/>
    <w:rsid w:val="00FA0AE4"/>
    <w:rsid w:val="00FA75A5"/>
    <w:rsid w:val="00FB0BCA"/>
    <w:rsid w:val="00FB4DBA"/>
    <w:rsid w:val="00FB4FA0"/>
    <w:rsid w:val="00FB667E"/>
    <w:rsid w:val="00FC5A1B"/>
    <w:rsid w:val="00FC733B"/>
    <w:rsid w:val="00FE0014"/>
    <w:rsid w:val="00FE44AA"/>
    <w:rsid w:val="00FE46D9"/>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79E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CA3E16"/>
    <w:pPr>
      <w:keepNext/>
      <w:spacing w:before="120" w:after="120"/>
    </w:pPr>
    <w:rPr>
      <w:rFonts w:ascii="Times New Roman" w:hAnsi="Times New Roman"/>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8A6B75"/>
    <w:pPr>
      <w:tabs>
        <w:tab w:val="right" w:leader="dot" w:pos="8630"/>
      </w:tabs>
    </w:pPr>
  </w:style>
  <w:style w:type="paragraph" w:styleId="TOC2">
    <w:name w:val="toc 2"/>
    <w:basedOn w:val="Normal"/>
    <w:next w:val="Normal"/>
    <w:autoRedefine/>
    <w:uiPriority w:val="39"/>
    <w:rsid w:val="00461BAC"/>
    <w:pPr>
      <w:tabs>
        <w:tab w:val="right" w:leader="dot" w:pos="8630"/>
      </w:tabs>
      <w:ind w:left="240"/>
    </w:pPr>
  </w:style>
  <w:style w:type="paragraph" w:styleId="TOC3">
    <w:name w:val="toc 3"/>
    <w:basedOn w:val="Normal"/>
    <w:next w:val="Normal"/>
    <w:autoRedefine/>
    <w:uiPriority w:val="39"/>
    <w:rsid w:val="00BF5CF1"/>
    <w:pPr>
      <w:tabs>
        <w:tab w:val="right" w:leader="dot" w:pos="8630"/>
      </w:tabs>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11E6"/>
    <w:rPr>
      <w:sz w:val="16"/>
      <w:szCs w:val="16"/>
    </w:rPr>
  </w:style>
  <w:style w:type="character" w:customStyle="1" w:styleId="contentpasted1">
    <w:name w:val="contentpasted1"/>
    <w:basedOn w:val="DefaultParagraphFont"/>
    <w:rsid w:val="009611E6"/>
  </w:style>
  <w:style w:type="paragraph" w:customStyle="1" w:styleId="EndNoteBibliography">
    <w:name w:val="EndNote Bibliography"/>
    <w:basedOn w:val="Normal"/>
    <w:link w:val="EndNoteBibliographyChar"/>
    <w:rsid w:val="009611E6"/>
    <w:pPr>
      <w:spacing w:line="240" w:lineRule="atLeast"/>
      <w:jc w:val="both"/>
    </w:pPr>
    <w:rPr>
      <w:rFonts w:ascii="Palatino Linotype" w:eastAsia="SimSun" w:hAnsi="Palatino Linotype" w:cs="Times New Roman"/>
      <w:color w:val="000000"/>
      <w:sz w:val="18"/>
      <w:szCs w:val="22"/>
      <w:lang w:eastAsia="zh-CN" w:bidi="en-US"/>
    </w:rPr>
  </w:style>
  <w:style w:type="character" w:customStyle="1" w:styleId="EndNoteBibliographyChar">
    <w:name w:val="EndNote Bibliography Char"/>
    <w:basedOn w:val="DefaultParagraphFont"/>
    <w:link w:val="EndNoteBibliography"/>
    <w:rsid w:val="009611E6"/>
    <w:rPr>
      <w:rFonts w:ascii="Palatino Linotype" w:eastAsia="SimSun" w:hAnsi="Palatino Linotype"/>
      <w:color w:val="000000"/>
      <w:sz w:val="18"/>
      <w:szCs w:val="22"/>
      <w:lang w:eastAsia="zh-CN" w:bidi="en-US"/>
    </w:rPr>
  </w:style>
  <w:style w:type="paragraph" w:styleId="NormalWeb">
    <w:name w:val="Normal (Web)"/>
    <w:basedOn w:val="Normal"/>
    <w:uiPriority w:val="99"/>
    <w:unhideWhenUsed/>
    <w:rsid w:val="00FE0014"/>
    <w:pPr>
      <w:spacing w:before="100" w:beforeAutospacing="1" w:after="100" w:afterAutospacing="1"/>
    </w:pPr>
    <w:rPr>
      <w:rFonts w:ascii="Times New Roman" w:hAnsi="Times New Roman" w:cs="Times New Roman"/>
    </w:rPr>
  </w:style>
  <w:style w:type="paragraph" w:customStyle="1" w:styleId="MDPI42tablebody">
    <w:name w:val="MDPI_4.2_table_body"/>
    <w:qFormat/>
    <w:rsid w:val="00FE0014"/>
    <w:pPr>
      <w:adjustRightInd w:val="0"/>
      <w:snapToGrid w:val="0"/>
      <w:jc w:val="center"/>
    </w:pPr>
    <w:rPr>
      <w:rFonts w:ascii="Palatino Linotype" w:hAnsi="Palatino Linotype"/>
      <w:snapToGrid w:val="0"/>
      <w:color w:val="000000"/>
      <w:lang w:eastAsia="de-DE" w:bidi="en-US"/>
    </w:rPr>
  </w:style>
  <w:style w:type="paragraph" w:customStyle="1" w:styleId="MDPI41tablecaption">
    <w:name w:val="MDPI_4.1_table_caption"/>
    <w:qFormat/>
    <w:rsid w:val="00FE0014"/>
    <w:pPr>
      <w:adjustRightInd w:val="0"/>
      <w:snapToGrid w:val="0"/>
      <w:spacing w:before="240" w:after="120" w:line="228" w:lineRule="auto"/>
      <w:ind w:left="2608"/>
    </w:pPr>
    <w:rPr>
      <w:rFonts w:ascii="Palatino Linotype" w:hAnsi="Palatino Linotype" w:cstheme="minorBidi"/>
      <w:color w:val="000000"/>
      <w:sz w:val="18"/>
      <w:szCs w:val="22"/>
      <w:lang w:eastAsia="de-DE" w:bidi="en-US"/>
    </w:rPr>
  </w:style>
  <w:style w:type="paragraph" w:customStyle="1" w:styleId="MDPI31text">
    <w:name w:val="MDPI_3.1_text"/>
    <w:link w:val="MDPI31textChar"/>
    <w:qFormat/>
    <w:rsid w:val="00FE0014"/>
    <w:pPr>
      <w:adjustRightInd w:val="0"/>
      <w:snapToGrid w:val="0"/>
      <w:spacing w:line="228" w:lineRule="auto"/>
      <w:ind w:left="2608" w:firstLine="425"/>
      <w:jc w:val="both"/>
    </w:pPr>
    <w:rPr>
      <w:rFonts w:ascii="Palatino Linotype" w:hAnsi="Palatino Linotype"/>
      <w:snapToGrid w:val="0"/>
      <w:color w:val="000000"/>
      <w:szCs w:val="22"/>
      <w:lang w:eastAsia="de-DE" w:bidi="en-US"/>
    </w:rPr>
  </w:style>
  <w:style w:type="character" w:customStyle="1" w:styleId="MDPI31textChar">
    <w:name w:val="MDPI_3.1_text Char"/>
    <w:basedOn w:val="DefaultParagraphFont"/>
    <w:link w:val="MDPI31text"/>
    <w:rsid w:val="00FE0014"/>
    <w:rPr>
      <w:rFonts w:ascii="Palatino Linotype" w:hAnsi="Palatino Linotype"/>
      <w:snapToGrid w:val="0"/>
      <w:color w:val="000000"/>
      <w:szCs w:val="22"/>
      <w:lang w:eastAsia="de-DE" w:bidi="en-US"/>
    </w:rPr>
  </w:style>
  <w:style w:type="paragraph" w:customStyle="1" w:styleId="MDPI51figurecaption">
    <w:name w:val="MDPI_5.1_figure_caption"/>
    <w:qFormat/>
    <w:rsid w:val="00FE0014"/>
    <w:pPr>
      <w:adjustRightInd w:val="0"/>
      <w:snapToGrid w:val="0"/>
      <w:spacing w:before="120" w:after="240" w:line="228" w:lineRule="auto"/>
      <w:ind w:left="2608"/>
    </w:pPr>
    <w:rPr>
      <w:rFonts w:ascii="Palatino Linotype" w:hAnsi="Palatino Linotype"/>
      <w:color w:val="000000"/>
      <w:sz w:val="18"/>
      <w:lang w:eastAsia="de-DE" w:bidi="en-US"/>
    </w:rPr>
  </w:style>
  <w:style w:type="paragraph" w:customStyle="1" w:styleId="MDPI43tablefooter">
    <w:name w:val="MDPI_4.3_table_footer"/>
    <w:next w:val="MDPI31text"/>
    <w:qFormat/>
    <w:rsid w:val="00FE0014"/>
    <w:pPr>
      <w:adjustRightInd w:val="0"/>
      <w:snapToGrid w:val="0"/>
      <w:spacing w:after="240" w:line="228" w:lineRule="auto"/>
      <w:ind w:left="2608"/>
    </w:pPr>
    <w:rPr>
      <w:rFonts w:ascii="Palatino Linotype" w:hAnsi="Palatino Linotype" w:cs="Cordia New"/>
      <w:color w:val="000000"/>
      <w:sz w:val="18"/>
      <w:szCs w:val="22"/>
      <w:lang w:eastAsia="de-DE" w:bidi="en-US"/>
    </w:rPr>
  </w:style>
  <w:style w:type="paragraph" w:styleId="Revision">
    <w:name w:val="Revision"/>
    <w:hidden/>
    <w:uiPriority w:val="99"/>
    <w:semiHidden/>
    <w:rsid w:val="00806E92"/>
    <w:rPr>
      <w:rFonts w:ascii="Arial" w:hAnsi="Arial" w:cs="Arial"/>
      <w:sz w:val="24"/>
      <w:szCs w:val="24"/>
    </w:rPr>
  </w:style>
  <w:style w:type="paragraph" w:styleId="CommentText">
    <w:name w:val="annotation text"/>
    <w:basedOn w:val="Normal"/>
    <w:link w:val="CommentTextChar"/>
    <w:semiHidden/>
    <w:unhideWhenUsed/>
    <w:rsid w:val="00C71878"/>
    <w:rPr>
      <w:sz w:val="20"/>
      <w:szCs w:val="20"/>
    </w:rPr>
  </w:style>
  <w:style w:type="character" w:customStyle="1" w:styleId="CommentTextChar">
    <w:name w:val="Comment Text Char"/>
    <w:basedOn w:val="DefaultParagraphFont"/>
    <w:link w:val="CommentText"/>
    <w:semiHidden/>
    <w:rsid w:val="00C71878"/>
    <w:rPr>
      <w:rFonts w:ascii="Arial" w:hAnsi="Arial" w:cs="Arial"/>
    </w:rPr>
  </w:style>
  <w:style w:type="paragraph" w:styleId="CommentSubject">
    <w:name w:val="annotation subject"/>
    <w:basedOn w:val="CommentText"/>
    <w:next w:val="CommentText"/>
    <w:link w:val="CommentSubjectChar"/>
    <w:semiHidden/>
    <w:unhideWhenUsed/>
    <w:rsid w:val="00C71878"/>
    <w:rPr>
      <w:b/>
      <w:bCs/>
    </w:rPr>
  </w:style>
  <w:style w:type="character" w:customStyle="1" w:styleId="CommentSubjectChar">
    <w:name w:val="Comment Subject Char"/>
    <w:basedOn w:val="CommentTextChar"/>
    <w:link w:val="CommentSubject"/>
    <w:semiHidden/>
    <w:rsid w:val="00C71878"/>
    <w:rPr>
      <w:rFonts w:ascii="Arial" w:hAnsi="Arial" w:cs="Arial"/>
      <w:b/>
      <w:bCs/>
    </w:rPr>
  </w:style>
  <w:style w:type="character" w:styleId="LineNumber">
    <w:name w:val="line number"/>
    <w:basedOn w:val="DefaultParagraphFont"/>
    <w:semiHidden/>
    <w:unhideWhenUsed/>
    <w:rsid w:val="002910AA"/>
  </w:style>
  <w:style w:type="character" w:customStyle="1" w:styleId="Heading2Char">
    <w:name w:val="Heading 2 Char"/>
    <w:basedOn w:val="DefaultParagraphFont"/>
    <w:link w:val="Heading2"/>
    <w:rsid w:val="004D0248"/>
    <w:rPr>
      <w:rFonts w:ascii="Arial" w:hAnsi="Arial" w:cs="Arial"/>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61912">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029793639">
      <w:bodyDiv w:val="1"/>
      <w:marLeft w:val="0"/>
      <w:marRight w:val="0"/>
      <w:marTop w:val="0"/>
      <w:marBottom w:val="0"/>
      <w:divBdr>
        <w:top w:val="none" w:sz="0" w:space="0" w:color="auto"/>
        <w:left w:val="none" w:sz="0" w:space="0" w:color="auto"/>
        <w:bottom w:val="none" w:sz="0" w:space="0" w:color="auto"/>
        <w:right w:val="none" w:sz="0" w:space="0" w:color="auto"/>
      </w:divBdr>
    </w:div>
    <w:div w:id="1091319527">
      <w:bodyDiv w:val="1"/>
      <w:marLeft w:val="0"/>
      <w:marRight w:val="0"/>
      <w:marTop w:val="0"/>
      <w:marBottom w:val="0"/>
      <w:divBdr>
        <w:top w:val="none" w:sz="0" w:space="0" w:color="auto"/>
        <w:left w:val="none" w:sz="0" w:space="0" w:color="auto"/>
        <w:bottom w:val="none" w:sz="0" w:space="0" w:color="auto"/>
        <w:right w:val="none" w:sz="0" w:space="0" w:color="auto"/>
      </w:divBdr>
    </w:div>
    <w:div w:id="1608848429">
      <w:bodyDiv w:val="1"/>
      <w:marLeft w:val="0"/>
      <w:marRight w:val="0"/>
      <w:marTop w:val="0"/>
      <w:marBottom w:val="0"/>
      <w:divBdr>
        <w:top w:val="none" w:sz="0" w:space="0" w:color="auto"/>
        <w:left w:val="none" w:sz="0" w:space="0" w:color="auto"/>
        <w:bottom w:val="none" w:sz="0" w:space="0" w:color="auto"/>
        <w:right w:val="none" w:sz="0" w:space="0" w:color="auto"/>
      </w:divBdr>
    </w:div>
    <w:div w:id="1767118281">
      <w:bodyDiv w:val="1"/>
      <w:marLeft w:val="0"/>
      <w:marRight w:val="0"/>
      <w:marTop w:val="0"/>
      <w:marBottom w:val="0"/>
      <w:divBdr>
        <w:top w:val="none" w:sz="0" w:space="0" w:color="auto"/>
        <w:left w:val="none" w:sz="0" w:space="0" w:color="auto"/>
        <w:bottom w:val="none" w:sz="0" w:space="0" w:color="auto"/>
        <w:right w:val="none" w:sz="0" w:space="0" w:color="auto"/>
      </w:divBdr>
    </w:div>
    <w:div w:id="211891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merckvetmanual.com/special-subjects/reference-guides/serum-biochemical-reference-ranges" TargetMode="External"/><Relationship Id="rId18" Type="http://schemas.openxmlformats.org/officeDocument/2006/relationships/hyperlink" Target="https://doi.org/10.1021/acs.jchemed.0c0067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1177/074171368003000404"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1111/j.1746-1561.2010.00527.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207/s15389286ajde1602_3" TargetMode="External"/><Relationship Id="rId20" Type="http://schemas.openxmlformats.org/officeDocument/2006/relationships/hyperlink" Target="https://doi.org/10.1207/s15389286ajde1602_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doi.org/10.4018/978-1-7998-7607-6.ch002" TargetMode="External"/><Relationship Id="rId5" Type="http://schemas.openxmlformats.org/officeDocument/2006/relationships/webSettings" Target="webSettings.xml"/><Relationship Id="rId15" Type="http://schemas.openxmlformats.org/officeDocument/2006/relationships/hyperlink" Target="https://doi.org/10.1080/10494820.2020.1813180" TargetMode="External"/><Relationship Id="rId23" Type="http://schemas.openxmlformats.org/officeDocument/2006/relationships/hyperlink" Target="https://doi.org/10.1111/j.1365-2929.2004.01916.x" TargetMode="External"/><Relationship Id="rId10" Type="http://schemas.openxmlformats.org/officeDocument/2006/relationships/image" Target="media/image2.png"/><Relationship Id="rId19" Type="http://schemas.openxmlformats.org/officeDocument/2006/relationships/hyperlink" Target="https://doi.org/10.1080/1356251070127869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merriam-webster.com/dictionary/malnutrition" TargetMode="External"/><Relationship Id="rId22" Type="http://schemas.openxmlformats.org/officeDocument/2006/relationships/hyperlink" Target="https://doi.org/10.1007/978-94-007-0926-3_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89</Pages>
  <Words>35635</Words>
  <Characters>203122</Characters>
  <Application>Microsoft Office Word</Application>
  <DocSecurity>0</DocSecurity>
  <Lines>1692</Lines>
  <Paragraphs>476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238281</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2023-09-08T00:48:00Z</dcterms:created>
  <dcterms:modified xsi:type="dcterms:W3CDTF">2023-11-21T17:15:00Z</dcterms:modified>
</cp:coreProperties>
</file>