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FEA1C" w14:textId="77777777" w:rsidR="00496DFE" w:rsidRDefault="00496DFE" w:rsidP="00496DFE">
      <w:pPr>
        <w:spacing w:after="0"/>
        <w:jc w:val="center"/>
        <w:rPr>
          <w:rFonts w:ascii="Times New Roman" w:hAnsi="Times New Roman" w:cs="Times New Roman"/>
          <w:b/>
          <w:sz w:val="24"/>
          <w:szCs w:val="24"/>
        </w:rPr>
      </w:pPr>
      <w:r w:rsidRPr="009A14DA">
        <w:rPr>
          <w:rFonts w:ascii="Times New Roman" w:hAnsi="Times New Roman" w:cs="Times New Roman"/>
          <w:b/>
          <w:sz w:val="24"/>
          <w:szCs w:val="24"/>
        </w:rPr>
        <w:t>The Impact of Increased Tax</w:t>
      </w:r>
      <w:r>
        <w:rPr>
          <w:rFonts w:ascii="Times New Roman" w:hAnsi="Times New Roman" w:cs="Times New Roman"/>
          <w:b/>
          <w:sz w:val="24"/>
          <w:szCs w:val="24"/>
        </w:rPr>
        <w:t xml:space="preserve"> Return </w:t>
      </w:r>
      <w:r w:rsidRPr="009A14DA">
        <w:rPr>
          <w:rFonts w:ascii="Times New Roman" w:hAnsi="Times New Roman" w:cs="Times New Roman"/>
          <w:b/>
          <w:sz w:val="24"/>
          <w:szCs w:val="24"/>
        </w:rPr>
        <w:t>Reporting on Financial Statement Tax Disclosure Quality</w:t>
      </w:r>
      <w:r>
        <w:rPr>
          <w:rFonts w:ascii="Times New Roman" w:hAnsi="Times New Roman" w:cs="Times New Roman"/>
          <w:b/>
          <w:sz w:val="24"/>
          <w:szCs w:val="24"/>
        </w:rPr>
        <w:t>: Evidence from IRS Schedule UTP</w:t>
      </w:r>
    </w:p>
    <w:p w14:paraId="6A64F834" w14:textId="77777777" w:rsidR="00496DFE" w:rsidRPr="009A14DA" w:rsidRDefault="00496DFE" w:rsidP="00496DFE">
      <w:pPr>
        <w:spacing w:after="0"/>
        <w:jc w:val="center"/>
        <w:rPr>
          <w:rFonts w:ascii="Times New Roman" w:hAnsi="Times New Roman" w:cs="Times New Roman"/>
          <w:b/>
          <w:sz w:val="24"/>
          <w:szCs w:val="24"/>
        </w:rPr>
      </w:pPr>
    </w:p>
    <w:p w14:paraId="3E92E065" w14:textId="77777777" w:rsidR="00496DFE" w:rsidRPr="009A14DA" w:rsidRDefault="00496DFE" w:rsidP="00496DFE">
      <w:pPr>
        <w:spacing w:after="0"/>
        <w:jc w:val="center"/>
        <w:rPr>
          <w:rFonts w:ascii="Times New Roman" w:hAnsi="Times New Roman" w:cs="Times New Roman"/>
          <w:b/>
          <w:sz w:val="24"/>
          <w:szCs w:val="24"/>
        </w:rPr>
      </w:pPr>
    </w:p>
    <w:p w14:paraId="23B7660C" w14:textId="77777777" w:rsidR="00496DFE" w:rsidRDefault="00496DFE" w:rsidP="00496DFE">
      <w:pPr>
        <w:spacing w:after="0"/>
        <w:jc w:val="center"/>
        <w:rPr>
          <w:rFonts w:ascii="Times New Roman" w:hAnsi="Times New Roman" w:cs="Times New Roman"/>
          <w:b/>
          <w:sz w:val="24"/>
          <w:szCs w:val="24"/>
        </w:rPr>
      </w:pPr>
    </w:p>
    <w:p w14:paraId="4DD2AEA7" w14:textId="77777777" w:rsidR="00496DFE" w:rsidRDefault="00496DFE" w:rsidP="00496DFE">
      <w:pPr>
        <w:spacing w:after="0"/>
        <w:jc w:val="center"/>
        <w:rPr>
          <w:rFonts w:ascii="Times New Roman" w:hAnsi="Times New Roman" w:cs="Times New Roman"/>
          <w:b/>
          <w:sz w:val="24"/>
          <w:szCs w:val="24"/>
        </w:rPr>
      </w:pPr>
    </w:p>
    <w:p w14:paraId="268323C5" w14:textId="77777777" w:rsidR="00496DFE" w:rsidRDefault="00496DFE" w:rsidP="00496DFE">
      <w:pPr>
        <w:spacing w:after="0"/>
        <w:jc w:val="center"/>
        <w:rPr>
          <w:rFonts w:ascii="Times New Roman" w:hAnsi="Times New Roman" w:cs="Times New Roman"/>
          <w:b/>
          <w:sz w:val="24"/>
          <w:szCs w:val="24"/>
        </w:rPr>
      </w:pPr>
    </w:p>
    <w:p w14:paraId="10001403" w14:textId="77777777" w:rsidR="00496DFE" w:rsidRDefault="00496DFE" w:rsidP="00496DFE">
      <w:pPr>
        <w:spacing w:after="0"/>
        <w:jc w:val="center"/>
        <w:rPr>
          <w:rFonts w:ascii="Times New Roman" w:hAnsi="Times New Roman" w:cs="Times New Roman"/>
          <w:b/>
          <w:sz w:val="24"/>
          <w:szCs w:val="24"/>
        </w:rPr>
      </w:pPr>
    </w:p>
    <w:p w14:paraId="6E0C6997" w14:textId="77777777" w:rsidR="00496DFE" w:rsidRDefault="00496DFE" w:rsidP="00496DFE">
      <w:pPr>
        <w:spacing w:after="0"/>
        <w:jc w:val="center"/>
        <w:rPr>
          <w:rFonts w:ascii="Times New Roman" w:hAnsi="Times New Roman" w:cs="Times New Roman"/>
          <w:b/>
          <w:sz w:val="24"/>
          <w:szCs w:val="24"/>
        </w:rPr>
      </w:pPr>
    </w:p>
    <w:p w14:paraId="6D3BB007" w14:textId="77777777" w:rsidR="00496DFE" w:rsidRDefault="00496DFE" w:rsidP="00496DFE">
      <w:pPr>
        <w:spacing w:after="0"/>
        <w:jc w:val="center"/>
        <w:rPr>
          <w:rFonts w:ascii="Times New Roman" w:hAnsi="Times New Roman" w:cs="Times New Roman"/>
          <w:b/>
          <w:sz w:val="24"/>
          <w:szCs w:val="24"/>
        </w:rPr>
      </w:pPr>
    </w:p>
    <w:p w14:paraId="25DCE538" w14:textId="77777777" w:rsidR="00496DFE" w:rsidRDefault="00496DFE" w:rsidP="00496DF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A Dissertation Presented for the </w:t>
      </w:r>
    </w:p>
    <w:p w14:paraId="13CF0C0C" w14:textId="426EF2C2" w:rsidR="0098035A" w:rsidRDefault="005E2686" w:rsidP="00496DFE">
      <w:pPr>
        <w:spacing w:after="0"/>
        <w:jc w:val="center"/>
        <w:rPr>
          <w:rFonts w:ascii="Times New Roman" w:hAnsi="Times New Roman" w:cs="Times New Roman"/>
          <w:b/>
          <w:sz w:val="24"/>
          <w:szCs w:val="24"/>
        </w:rPr>
      </w:pPr>
      <w:r>
        <w:rPr>
          <w:rFonts w:ascii="Times New Roman" w:hAnsi="Times New Roman" w:cs="Times New Roman"/>
          <w:b/>
          <w:sz w:val="24"/>
          <w:szCs w:val="24"/>
        </w:rPr>
        <w:t>Doctor</w:t>
      </w:r>
      <w:r w:rsidR="00496DFE">
        <w:rPr>
          <w:rFonts w:ascii="Times New Roman" w:hAnsi="Times New Roman" w:cs="Times New Roman"/>
          <w:b/>
          <w:sz w:val="24"/>
          <w:szCs w:val="24"/>
        </w:rPr>
        <w:t xml:space="preserve"> of Philosophy </w:t>
      </w:r>
    </w:p>
    <w:p w14:paraId="265265BE" w14:textId="06114119" w:rsidR="00496DFE" w:rsidRDefault="00496DFE" w:rsidP="00496DFE">
      <w:pPr>
        <w:spacing w:after="0"/>
        <w:jc w:val="center"/>
        <w:rPr>
          <w:rFonts w:ascii="Times New Roman" w:hAnsi="Times New Roman" w:cs="Times New Roman"/>
          <w:b/>
          <w:sz w:val="24"/>
          <w:szCs w:val="24"/>
        </w:rPr>
      </w:pPr>
      <w:r>
        <w:rPr>
          <w:rFonts w:ascii="Times New Roman" w:hAnsi="Times New Roman" w:cs="Times New Roman"/>
          <w:b/>
          <w:sz w:val="24"/>
          <w:szCs w:val="24"/>
        </w:rPr>
        <w:t>Degree</w:t>
      </w:r>
    </w:p>
    <w:p w14:paraId="4216000B" w14:textId="77777777" w:rsidR="00496DFE" w:rsidRPr="007E48B9" w:rsidRDefault="00496DFE" w:rsidP="00496DFE">
      <w:pPr>
        <w:spacing w:after="0"/>
        <w:jc w:val="center"/>
        <w:rPr>
          <w:rFonts w:ascii="Times New Roman" w:hAnsi="Times New Roman" w:cs="Times New Roman"/>
          <w:b/>
          <w:sz w:val="24"/>
          <w:szCs w:val="24"/>
        </w:rPr>
      </w:pPr>
      <w:r w:rsidRPr="007E48B9">
        <w:rPr>
          <w:rFonts w:ascii="Times New Roman" w:hAnsi="Times New Roman" w:cs="Times New Roman"/>
          <w:b/>
          <w:sz w:val="24"/>
          <w:szCs w:val="24"/>
        </w:rPr>
        <w:t>The University of Tennessee, Knoxville</w:t>
      </w:r>
    </w:p>
    <w:p w14:paraId="610C6D8D" w14:textId="77777777" w:rsidR="00496DFE" w:rsidRDefault="00496DFE" w:rsidP="00496DFE">
      <w:pPr>
        <w:spacing w:after="0"/>
        <w:jc w:val="center"/>
        <w:rPr>
          <w:rFonts w:ascii="Times New Roman" w:hAnsi="Times New Roman" w:cs="Times New Roman"/>
          <w:sz w:val="24"/>
          <w:szCs w:val="24"/>
        </w:rPr>
      </w:pPr>
    </w:p>
    <w:p w14:paraId="34D3A5F8" w14:textId="77777777" w:rsidR="00496DFE" w:rsidRDefault="00496DFE" w:rsidP="00496DFE">
      <w:pPr>
        <w:spacing w:after="0"/>
        <w:jc w:val="center"/>
        <w:rPr>
          <w:rFonts w:ascii="Times New Roman" w:hAnsi="Times New Roman" w:cs="Times New Roman"/>
          <w:sz w:val="24"/>
          <w:szCs w:val="24"/>
        </w:rPr>
      </w:pPr>
    </w:p>
    <w:p w14:paraId="3692FC94" w14:textId="77777777" w:rsidR="00496DFE" w:rsidRDefault="00496DFE" w:rsidP="00496DFE">
      <w:pPr>
        <w:spacing w:after="0"/>
        <w:jc w:val="center"/>
        <w:rPr>
          <w:rFonts w:ascii="Times New Roman" w:hAnsi="Times New Roman" w:cs="Times New Roman"/>
          <w:sz w:val="24"/>
          <w:szCs w:val="24"/>
        </w:rPr>
      </w:pPr>
    </w:p>
    <w:p w14:paraId="3FF0794E" w14:textId="77777777" w:rsidR="00496DFE" w:rsidRDefault="00496DFE" w:rsidP="00496DFE">
      <w:pPr>
        <w:spacing w:after="0"/>
        <w:jc w:val="center"/>
        <w:rPr>
          <w:rFonts w:ascii="Times New Roman" w:hAnsi="Times New Roman" w:cs="Times New Roman"/>
          <w:sz w:val="24"/>
          <w:szCs w:val="24"/>
        </w:rPr>
      </w:pPr>
    </w:p>
    <w:p w14:paraId="076A8061" w14:textId="77777777" w:rsidR="00496DFE" w:rsidRDefault="00496DFE" w:rsidP="00496DFE">
      <w:pPr>
        <w:spacing w:after="0"/>
        <w:jc w:val="center"/>
        <w:rPr>
          <w:rFonts w:ascii="Times New Roman" w:hAnsi="Times New Roman" w:cs="Times New Roman"/>
          <w:sz w:val="24"/>
          <w:szCs w:val="24"/>
        </w:rPr>
      </w:pPr>
    </w:p>
    <w:p w14:paraId="1BCBB0F4" w14:textId="77777777" w:rsidR="00496DFE" w:rsidRDefault="00496DFE" w:rsidP="00496DFE">
      <w:pPr>
        <w:spacing w:after="0"/>
        <w:jc w:val="center"/>
        <w:rPr>
          <w:rFonts w:ascii="Times New Roman" w:hAnsi="Times New Roman" w:cs="Times New Roman"/>
          <w:sz w:val="24"/>
          <w:szCs w:val="24"/>
        </w:rPr>
      </w:pPr>
    </w:p>
    <w:p w14:paraId="70503E74" w14:textId="77777777" w:rsidR="00496DFE" w:rsidRDefault="00496DFE" w:rsidP="00496DFE">
      <w:pPr>
        <w:spacing w:after="0"/>
        <w:jc w:val="center"/>
        <w:rPr>
          <w:rFonts w:ascii="Times New Roman" w:hAnsi="Times New Roman" w:cs="Times New Roman"/>
          <w:sz w:val="24"/>
          <w:szCs w:val="24"/>
        </w:rPr>
      </w:pPr>
    </w:p>
    <w:p w14:paraId="5178E2B9" w14:textId="77777777" w:rsidR="00496DFE" w:rsidRDefault="00496DFE" w:rsidP="00496DFE">
      <w:pPr>
        <w:spacing w:after="0"/>
        <w:jc w:val="center"/>
        <w:rPr>
          <w:rFonts w:ascii="Times New Roman" w:hAnsi="Times New Roman" w:cs="Times New Roman"/>
          <w:sz w:val="24"/>
          <w:szCs w:val="24"/>
        </w:rPr>
      </w:pPr>
    </w:p>
    <w:p w14:paraId="259EB358" w14:textId="77777777" w:rsidR="00496DFE" w:rsidRDefault="00496DFE" w:rsidP="00496DFE">
      <w:pPr>
        <w:spacing w:after="0"/>
        <w:jc w:val="center"/>
        <w:rPr>
          <w:rFonts w:ascii="Times New Roman" w:hAnsi="Times New Roman" w:cs="Times New Roman"/>
          <w:sz w:val="24"/>
          <w:szCs w:val="24"/>
        </w:rPr>
      </w:pPr>
    </w:p>
    <w:p w14:paraId="5452EC2B" w14:textId="77777777" w:rsidR="00496DFE" w:rsidRDefault="00496DFE" w:rsidP="00496DFE">
      <w:pPr>
        <w:spacing w:after="0"/>
        <w:jc w:val="center"/>
        <w:rPr>
          <w:rFonts w:ascii="Times New Roman" w:hAnsi="Times New Roman" w:cs="Times New Roman"/>
          <w:sz w:val="24"/>
          <w:szCs w:val="24"/>
        </w:rPr>
      </w:pPr>
    </w:p>
    <w:p w14:paraId="0C3B061D" w14:textId="77777777" w:rsidR="00496DFE" w:rsidRDefault="00496DFE" w:rsidP="00496DFE">
      <w:pPr>
        <w:spacing w:after="0"/>
        <w:jc w:val="center"/>
        <w:rPr>
          <w:rFonts w:ascii="Times New Roman" w:hAnsi="Times New Roman" w:cs="Times New Roman"/>
          <w:sz w:val="24"/>
          <w:szCs w:val="24"/>
        </w:rPr>
      </w:pPr>
    </w:p>
    <w:p w14:paraId="4F664DDE" w14:textId="77777777" w:rsidR="00496DFE" w:rsidRDefault="00496DFE" w:rsidP="00496DFE">
      <w:pPr>
        <w:spacing w:after="0"/>
        <w:jc w:val="center"/>
        <w:rPr>
          <w:rFonts w:ascii="Times New Roman" w:hAnsi="Times New Roman" w:cs="Times New Roman"/>
          <w:sz w:val="24"/>
          <w:szCs w:val="24"/>
        </w:rPr>
      </w:pPr>
    </w:p>
    <w:p w14:paraId="22C6147E" w14:textId="77777777" w:rsidR="00496DFE" w:rsidRDefault="00496DFE" w:rsidP="00496DFE">
      <w:pPr>
        <w:spacing w:after="0"/>
        <w:jc w:val="center"/>
        <w:rPr>
          <w:rFonts w:ascii="Times New Roman" w:hAnsi="Times New Roman" w:cs="Times New Roman"/>
          <w:sz w:val="24"/>
          <w:szCs w:val="24"/>
        </w:rPr>
      </w:pPr>
    </w:p>
    <w:p w14:paraId="240CED42" w14:textId="77777777" w:rsidR="00496DFE" w:rsidRDefault="00496DFE" w:rsidP="00496DFE">
      <w:pPr>
        <w:spacing w:after="0"/>
        <w:jc w:val="center"/>
        <w:rPr>
          <w:rFonts w:ascii="Times New Roman" w:hAnsi="Times New Roman" w:cs="Times New Roman"/>
          <w:sz w:val="24"/>
          <w:szCs w:val="24"/>
        </w:rPr>
      </w:pPr>
    </w:p>
    <w:p w14:paraId="1EF6BB65" w14:textId="77777777" w:rsidR="00496DFE" w:rsidRDefault="00496DFE" w:rsidP="00496DFE">
      <w:pPr>
        <w:spacing w:after="0"/>
        <w:jc w:val="center"/>
        <w:rPr>
          <w:rFonts w:ascii="Times New Roman" w:hAnsi="Times New Roman" w:cs="Times New Roman"/>
          <w:sz w:val="24"/>
          <w:szCs w:val="24"/>
        </w:rPr>
      </w:pPr>
    </w:p>
    <w:p w14:paraId="7A7FD0ED" w14:textId="77777777" w:rsidR="00496DFE" w:rsidRDefault="00496DFE" w:rsidP="00496DFE">
      <w:pPr>
        <w:spacing w:after="0"/>
        <w:jc w:val="center"/>
        <w:rPr>
          <w:rFonts w:ascii="Times New Roman" w:hAnsi="Times New Roman" w:cs="Times New Roman"/>
          <w:sz w:val="24"/>
          <w:szCs w:val="24"/>
        </w:rPr>
      </w:pPr>
    </w:p>
    <w:p w14:paraId="147F1FFE" w14:textId="2C61C201" w:rsidR="00496DFE" w:rsidRDefault="00496DFE" w:rsidP="00496DFE">
      <w:pPr>
        <w:spacing w:after="0"/>
        <w:jc w:val="center"/>
        <w:rPr>
          <w:rFonts w:ascii="Times New Roman" w:hAnsi="Times New Roman" w:cs="Times New Roman"/>
          <w:sz w:val="24"/>
          <w:szCs w:val="24"/>
        </w:rPr>
      </w:pPr>
    </w:p>
    <w:p w14:paraId="3D5C63A6" w14:textId="1095F196" w:rsidR="00E63E76" w:rsidRDefault="00E63E76" w:rsidP="00496DFE">
      <w:pPr>
        <w:spacing w:after="0"/>
        <w:jc w:val="center"/>
        <w:rPr>
          <w:rFonts w:ascii="Times New Roman" w:hAnsi="Times New Roman" w:cs="Times New Roman"/>
          <w:sz w:val="24"/>
          <w:szCs w:val="24"/>
        </w:rPr>
      </w:pPr>
    </w:p>
    <w:p w14:paraId="6361C515" w14:textId="38D29C4F" w:rsidR="00E63E76" w:rsidRDefault="00E63E76" w:rsidP="00496DFE">
      <w:pPr>
        <w:spacing w:after="0"/>
        <w:jc w:val="center"/>
        <w:rPr>
          <w:rFonts w:ascii="Times New Roman" w:hAnsi="Times New Roman" w:cs="Times New Roman"/>
          <w:sz w:val="24"/>
          <w:szCs w:val="24"/>
        </w:rPr>
      </w:pPr>
    </w:p>
    <w:p w14:paraId="02C348D6" w14:textId="777DFCDF" w:rsidR="00E63E76" w:rsidRDefault="00E63E76" w:rsidP="00496DFE">
      <w:pPr>
        <w:spacing w:after="0"/>
        <w:jc w:val="center"/>
        <w:rPr>
          <w:rFonts w:ascii="Times New Roman" w:hAnsi="Times New Roman" w:cs="Times New Roman"/>
          <w:sz w:val="24"/>
          <w:szCs w:val="24"/>
        </w:rPr>
      </w:pPr>
    </w:p>
    <w:p w14:paraId="375AE3F5" w14:textId="34E80C0A" w:rsidR="00E63E76" w:rsidRDefault="00E63E76" w:rsidP="00496DFE">
      <w:pPr>
        <w:spacing w:after="0"/>
        <w:jc w:val="center"/>
        <w:rPr>
          <w:rFonts w:ascii="Times New Roman" w:hAnsi="Times New Roman" w:cs="Times New Roman"/>
          <w:sz w:val="24"/>
          <w:szCs w:val="24"/>
        </w:rPr>
      </w:pPr>
    </w:p>
    <w:p w14:paraId="4522B3E6" w14:textId="77777777" w:rsidR="00E63E76" w:rsidRDefault="00E63E76" w:rsidP="00496DFE">
      <w:pPr>
        <w:spacing w:after="0"/>
        <w:jc w:val="center"/>
        <w:rPr>
          <w:rFonts w:ascii="Times New Roman" w:hAnsi="Times New Roman" w:cs="Times New Roman"/>
          <w:sz w:val="24"/>
          <w:szCs w:val="24"/>
        </w:rPr>
      </w:pPr>
    </w:p>
    <w:p w14:paraId="6BFB0B8B" w14:textId="77777777" w:rsidR="00496DFE" w:rsidRPr="009A14DA" w:rsidRDefault="00496DFE" w:rsidP="00496DFE">
      <w:pPr>
        <w:spacing w:after="0"/>
        <w:jc w:val="center"/>
        <w:rPr>
          <w:rFonts w:ascii="Times New Roman" w:hAnsi="Times New Roman" w:cs="Times New Roman"/>
          <w:b/>
          <w:sz w:val="24"/>
          <w:szCs w:val="24"/>
        </w:rPr>
      </w:pPr>
      <w:r w:rsidRPr="009A14DA">
        <w:rPr>
          <w:rFonts w:ascii="Times New Roman" w:hAnsi="Times New Roman" w:cs="Times New Roman"/>
          <w:b/>
          <w:sz w:val="24"/>
          <w:szCs w:val="24"/>
        </w:rPr>
        <w:t xml:space="preserve">Michelle </w:t>
      </w:r>
      <w:r>
        <w:rPr>
          <w:rFonts w:ascii="Times New Roman" w:hAnsi="Times New Roman" w:cs="Times New Roman"/>
          <w:b/>
          <w:sz w:val="24"/>
          <w:szCs w:val="24"/>
        </w:rPr>
        <w:t xml:space="preserve">Kim </w:t>
      </w:r>
      <w:r w:rsidRPr="009A14DA">
        <w:rPr>
          <w:rFonts w:ascii="Times New Roman" w:hAnsi="Times New Roman" w:cs="Times New Roman"/>
          <w:b/>
          <w:sz w:val="24"/>
          <w:szCs w:val="24"/>
        </w:rPr>
        <w:t>Harding</w:t>
      </w:r>
    </w:p>
    <w:p w14:paraId="57F24D9B" w14:textId="77777777" w:rsidR="00496DFE" w:rsidRPr="00E63E76" w:rsidRDefault="00496DFE" w:rsidP="00496DFE">
      <w:pPr>
        <w:spacing w:after="0" w:line="240" w:lineRule="auto"/>
        <w:jc w:val="center"/>
        <w:rPr>
          <w:rFonts w:ascii="Times New Roman" w:hAnsi="Times New Roman" w:cs="Times New Roman"/>
          <w:b/>
          <w:sz w:val="24"/>
          <w:szCs w:val="24"/>
        </w:rPr>
      </w:pPr>
      <w:r w:rsidRPr="00E63E76">
        <w:rPr>
          <w:rFonts w:ascii="Times New Roman" w:hAnsi="Times New Roman" w:cs="Times New Roman"/>
          <w:b/>
          <w:sz w:val="24"/>
          <w:szCs w:val="24"/>
        </w:rPr>
        <w:t>May 2017</w:t>
      </w:r>
    </w:p>
    <w:p w14:paraId="4D967E98" w14:textId="77777777" w:rsidR="00496DFE" w:rsidRDefault="00496DFE" w:rsidP="00496DFE">
      <w:pPr>
        <w:spacing w:after="0" w:line="240" w:lineRule="auto"/>
        <w:jc w:val="center"/>
        <w:rPr>
          <w:rFonts w:ascii="Times New Roman" w:hAnsi="Times New Roman" w:cs="Times New Roman"/>
          <w:sz w:val="24"/>
          <w:szCs w:val="24"/>
        </w:rPr>
      </w:pPr>
    </w:p>
    <w:p w14:paraId="11568A66" w14:textId="77777777" w:rsidR="00496DFE" w:rsidRDefault="00496DFE" w:rsidP="00496DFE">
      <w:pPr>
        <w:spacing w:after="0" w:line="240" w:lineRule="auto"/>
        <w:jc w:val="center"/>
        <w:rPr>
          <w:rFonts w:ascii="Times New Roman" w:hAnsi="Times New Roman" w:cs="Times New Roman"/>
          <w:sz w:val="24"/>
          <w:szCs w:val="24"/>
        </w:rPr>
      </w:pPr>
    </w:p>
    <w:p w14:paraId="069B1C80" w14:textId="77777777" w:rsidR="00496DFE" w:rsidRDefault="00496DFE" w:rsidP="00496DFE">
      <w:pPr>
        <w:spacing w:after="0" w:line="240" w:lineRule="auto"/>
        <w:jc w:val="center"/>
        <w:rPr>
          <w:rFonts w:ascii="Times New Roman" w:hAnsi="Times New Roman" w:cs="Times New Roman"/>
          <w:sz w:val="24"/>
          <w:szCs w:val="24"/>
        </w:rPr>
      </w:pPr>
    </w:p>
    <w:p w14:paraId="09748087" w14:textId="77777777" w:rsidR="00496DFE" w:rsidRDefault="00496DFE" w:rsidP="00496DFE">
      <w:pPr>
        <w:spacing w:after="0" w:line="240" w:lineRule="auto"/>
        <w:jc w:val="center"/>
        <w:rPr>
          <w:rFonts w:ascii="Times New Roman" w:hAnsi="Times New Roman" w:cs="Times New Roman"/>
          <w:sz w:val="24"/>
          <w:szCs w:val="24"/>
        </w:rPr>
      </w:pPr>
    </w:p>
    <w:p w14:paraId="4A521FBE" w14:textId="77777777" w:rsidR="00496DFE" w:rsidRDefault="00496DFE" w:rsidP="00496DFE">
      <w:pPr>
        <w:spacing w:after="0" w:line="240" w:lineRule="auto"/>
        <w:jc w:val="center"/>
        <w:rPr>
          <w:rFonts w:ascii="Times New Roman" w:hAnsi="Times New Roman" w:cs="Times New Roman"/>
          <w:sz w:val="24"/>
          <w:szCs w:val="24"/>
        </w:rPr>
      </w:pPr>
    </w:p>
    <w:p w14:paraId="6097F1CE" w14:textId="0B75B2F8" w:rsidR="00496DFE" w:rsidRDefault="00496DFE" w:rsidP="00E63E76">
      <w:pPr>
        <w:spacing w:after="0" w:line="240" w:lineRule="auto"/>
        <w:rPr>
          <w:rFonts w:ascii="Times New Roman" w:hAnsi="Times New Roman" w:cs="Times New Roman"/>
          <w:sz w:val="24"/>
          <w:szCs w:val="24"/>
        </w:rPr>
      </w:pPr>
    </w:p>
    <w:p w14:paraId="1E8302A1" w14:textId="13E29491" w:rsidR="00496DFE" w:rsidRDefault="00496DFE" w:rsidP="00496DFE">
      <w:pPr>
        <w:jc w:val="center"/>
        <w:rPr>
          <w:rFonts w:ascii="Times New Roman" w:hAnsi="Times New Roman" w:cs="Times New Roman"/>
          <w:sz w:val="24"/>
          <w:szCs w:val="24"/>
        </w:rPr>
      </w:pPr>
      <w:r w:rsidRPr="006227A0">
        <w:rPr>
          <w:rFonts w:ascii="Times New Roman" w:hAnsi="Times New Roman" w:cs="Times New Roman"/>
          <w:b/>
          <w:sz w:val="24"/>
          <w:szCs w:val="24"/>
        </w:rPr>
        <w:lastRenderedPageBreak/>
        <w:t>Acknowledgements</w:t>
      </w:r>
    </w:p>
    <w:p w14:paraId="4282C316" w14:textId="0D989DC3" w:rsidR="00CF2E70" w:rsidRDefault="00496DFE" w:rsidP="00CF2E70">
      <w:pPr>
        <w:rPr>
          <w:rFonts w:ascii="Times New Roman" w:hAnsi="Times New Roman" w:cs="Times New Roman"/>
          <w:sz w:val="24"/>
          <w:szCs w:val="24"/>
        </w:rPr>
      </w:pPr>
      <w:r w:rsidRPr="006227A0">
        <w:rPr>
          <w:rFonts w:ascii="Times New Roman" w:hAnsi="Times New Roman" w:cs="Times New Roman"/>
          <w:sz w:val="24"/>
          <w:szCs w:val="24"/>
        </w:rPr>
        <w:t xml:space="preserve">I greatly appreciate the feedback and support from my dissertation committee:  </w:t>
      </w:r>
      <w:r>
        <w:rPr>
          <w:rFonts w:ascii="Times New Roman" w:hAnsi="Times New Roman" w:cs="Times New Roman"/>
          <w:sz w:val="24"/>
          <w:szCs w:val="24"/>
        </w:rPr>
        <w:t>LeAnn Luna</w:t>
      </w:r>
      <w:r w:rsidRPr="006227A0">
        <w:rPr>
          <w:rFonts w:ascii="Times New Roman" w:hAnsi="Times New Roman" w:cs="Times New Roman"/>
          <w:sz w:val="24"/>
          <w:szCs w:val="24"/>
        </w:rPr>
        <w:t xml:space="preserve"> (Chair), </w:t>
      </w:r>
      <w:r>
        <w:rPr>
          <w:rFonts w:ascii="Times New Roman" w:hAnsi="Times New Roman" w:cs="Times New Roman"/>
          <w:sz w:val="24"/>
          <w:szCs w:val="24"/>
        </w:rPr>
        <w:t>Bruce Behn</w:t>
      </w:r>
      <w:r w:rsidRPr="006227A0">
        <w:rPr>
          <w:rFonts w:ascii="Times New Roman" w:hAnsi="Times New Roman" w:cs="Times New Roman"/>
          <w:sz w:val="24"/>
          <w:szCs w:val="24"/>
        </w:rPr>
        <w:t xml:space="preserve">, </w:t>
      </w:r>
      <w:r>
        <w:rPr>
          <w:rFonts w:ascii="Times New Roman" w:hAnsi="Times New Roman" w:cs="Times New Roman"/>
          <w:sz w:val="24"/>
          <w:szCs w:val="24"/>
        </w:rPr>
        <w:t>James Chyz</w:t>
      </w:r>
      <w:r w:rsidRPr="006227A0">
        <w:rPr>
          <w:rFonts w:ascii="Times New Roman" w:hAnsi="Times New Roman" w:cs="Times New Roman"/>
          <w:sz w:val="24"/>
          <w:szCs w:val="24"/>
        </w:rPr>
        <w:t xml:space="preserve">, and </w:t>
      </w:r>
      <w:r>
        <w:rPr>
          <w:rFonts w:ascii="Times New Roman" w:hAnsi="Times New Roman" w:cs="Times New Roman"/>
          <w:sz w:val="24"/>
          <w:szCs w:val="24"/>
        </w:rPr>
        <w:t>Don Bruce</w:t>
      </w:r>
      <w:r w:rsidR="00CF2E70">
        <w:rPr>
          <w:rFonts w:ascii="Times New Roman" w:hAnsi="Times New Roman" w:cs="Times New Roman"/>
          <w:sz w:val="24"/>
          <w:szCs w:val="24"/>
        </w:rPr>
        <w:t xml:space="preserve">.  I am thankful to Linda Myers for her guidance as PhD Director.  I am grateful to </w:t>
      </w:r>
      <w:r w:rsidR="00121AD5">
        <w:rPr>
          <w:rFonts w:ascii="Times New Roman" w:hAnsi="Times New Roman" w:cs="Times New Roman"/>
          <w:sz w:val="24"/>
          <w:szCs w:val="24"/>
        </w:rPr>
        <w:t xml:space="preserve">Robert Fuller for the training that I received while working as his research assistant.  I am also grateful to administrators, faculty, and staff in the Haslam College of Business.  A special thanks to Annette Ranft, </w:t>
      </w:r>
      <w:r w:rsidR="00C00E52">
        <w:rPr>
          <w:rFonts w:ascii="Times New Roman" w:hAnsi="Times New Roman" w:cs="Times New Roman"/>
          <w:sz w:val="24"/>
          <w:szCs w:val="24"/>
        </w:rPr>
        <w:t xml:space="preserve">Ernest Brothers, </w:t>
      </w:r>
      <w:r w:rsidR="00CF2E70">
        <w:rPr>
          <w:rFonts w:ascii="Times New Roman" w:hAnsi="Times New Roman" w:cs="Times New Roman"/>
          <w:sz w:val="24"/>
          <w:szCs w:val="24"/>
        </w:rPr>
        <w:t>Randy Bradley, Tyvi Small, Tammi Brown, and Janice Branch for your unwavering</w:t>
      </w:r>
      <w:r w:rsidR="00121AD5">
        <w:rPr>
          <w:rFonts w:ascii="Times New Roman" w:hAnsi="Times New Roman" w:cs="Times New Roman"/>
          <w:sz w:val="24"/>
          <w:szCs w:val="24"/>
        </w:rPr>
        <w:t xml:space="preserve"> support</w:t>
      </w:r>
      <w:r w:rsidR="00CF2E70">
        <w:rPr>
          <w:rFonts w:ascii="Times New Roman" w:hAnsi="Times New Roman" w:cs="Times New Roman"/>
          <w:sz w:val="24"/>
          <w:szCs w:val="24"/>
        </w:rPr>
        <w:t>.  Your encouragement and words of affirmation buoyed me throughout my doctoral program.</w:t>
      </w:r>
    </w:p>
    <w:p w14:paraId="291754DD" w14:textId="31C25B39" w:rsidR="00496DFE" w:rsidRDefault="00496DFE">
      <w:pPr>
        <w:rPr>
          <w:rFonts w:ascii="Times New Roman" w:hAnsi="Times New Roman" w:cs="Times New Roman"/>
          <w:b/>
          <w:sz w:val="24"/>
          <w:szCs w:val="24"/>
        </w:rPr>
      </w:pPr>
      <w:r w:rsidRPr="006227A0">
        <w:rPr>
          <w:rFonts w:ascii="Times New Roman" w:hAnsi="Times New Roman" w:cs="Times New Roman"/>
          <w:sz w:val="24"/>
          <w:szCs w:val="24"/>
        </w:rPr>
        <w:t xml:space="preserve">I am thankful for the support of my fellow PhD students at </w:t>
      </w:r>
      <w:r>
        <w:rPr>
          <w:rFonts w:ascii="Times New Roman" w:hAnsi="Times New Roman" w:cs="Times New Roman"/>
          <w:sz w:val="24"/>
          <w:szCs w:val="24"/>
        </w:rPr>
        <w:t xml:space="preserve">the </w:t>
      </w:r>
      <w:r w:rsidRPr="006227A0">
        <w:rPr>
          <w:rFonts w:ascii="Times New Roman" w:hAnsi="Times New Roman" w:cs="Times New Roman"/>
          <w:sz w:val="24"/>
          <w:szCs w:val="24"/>
        </w:rPr>
        <w:t xml:space="preserve">University </w:t>
      </w:r>
      <w:r>
        <w:rPr>
          <w:rFonts w:ascii="Times New Roman" w:hAnsi="Times New Roman" w:cs="Times New Roman"/>
          <w:sz w:val="24"/>
          <w:szCs w:val="24"/>
        </w:rPr>
        <w:t xml:space="preserve">of Tennessee </w:t>
      </w:r>
      <w:r w:rsidRPr="006227A0">
        <w:rPr>
          <w:rFonts w:ascii="Times New Roman" w:hAnsi="Times New Roman" w:cs="Times New Roman"/>
          <w:sz w:val="24"/>
          <w:szCs w:val="24"/>
        </w:rPr>
        <w:t>and members of the PhD Project Accounting Doctoral Student Association.  Finally, I gratefully acknowledge generous f</w:t>
      </w:r>
      <w:r>
        <w:rPr>
          <w:rFonts w:ascii="Times New Roman" w:hAnsi="Times New Roman" w:cs="Times New Roman"/>
          <w:sz w:val="24"/>
          <w:szCs w:val="24"/>
        </w:rPr>
        <w:t xml:space="preserve">inancial support from the </w:t>
      </w:r>
      <w:r w:rsidRPr="006227A0">
        <w:rPr>
          <w:rFonts w:ascii="Times New Roman" w:hAnsi="Times New Roman" w:cs="Times New Roman"/>
          <w:sz w:val="24"/>
          <w:szCs w:val="24"/>
        </w:rPr>
        <w:t>University</w:t>
      </w:r>
      <w:r>
        <w:rPr>
          <w:rFonts w:ascii="Times New Roman" w:hAnsi="Times New Roman" w:cs="Times New Roman"/>
          <w:sz w:val="24"/>
          <w:szCs w:val="24"/>
        </w:rPr>
        <w:t xml:space="preserve"> of Tennessee</w:t>
      </w:r>
      <w:r w:rsidRPr="006227A0">
        <w:rPr>
          <w:rFonts w:ascii="Times New Roman" w:hAnsi="Times New Roman" w:cs="Times New Roman"/>
          <w:sz w:val="24"/>
          <w:szCs w:val="24"/>
        </w:rPr>
        <w:t xml:space="preserve">, </w:t>
      </w:r>
      <w:r>
        <w:rPr>
          <w:rFonts w:ascii="Times New Roman" w:hAnsi="Times New Roman" w:cs="Times New Roman"/>
          <w:sz w:val="24"/>
          <w:szCs w:val="24"/>
        </w:rPr>
        <w:t>Haslam College of Business</w:t>
      </w:r>
      <w:r w:rsidRPr="006227A0">
        <w:rPr>
          <w:rFonts w:ascii="Times New Roman" w:hAnsi="Times New Roman" w:cs="Times New Roman"/>
          <w:sz w:val="24"/>
          <w:szCs w:val="24"/>
        </w:rPr>
        <w:t>, AICPA Foundation, and KPMG Foundation</w:t>
      </w:r>
      <w:r>
        <w:rPr>
          <w:rFonts w:ascii="Times New Roman" w:hAnsi="Times New Roman" w:cs="Times New Roman"/>
          <w:sz w:val="24"/>
          <w:szCs w:val="24"/>
        </w:rPr>
        <w:t>.</w:t>
      </w:r>
      <w:r>
        <w:rPr>
          <w:rFonts w:ascii="Times New Roman" w:hAnsi="Times New Roman" w:cs="Times New Roman"/>
          <w:b/>
          <w:sz w:val="24"/>
          <w:szCs w:val="24"/>
        </w:rPr>
        <w:br w:type="page"/>
      </w:r>
    </w:p>
    <w:p w14:paraId="41BFF3E0" w14:textId="3308EFEB" w:rsidR="00496DFE" w:rsidRDefault="00496DFE" w:rsidP="00496D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7C1709C8" w14:textId="77777777" w:rsidR="00496DFE" w:rsidRDefault="00496DFE" w:rsidP="00496DFE">
      <w:pPr>
        <w:spacing w:after="0" w:line="240" w:lineRule="auto"/>
        <w:jc w:val="both"/>
        <w:rPr>
          <w:rFonts w:ascii="Times New Roman" w:hAnsi="Times New Roman" w:cs="Times New Roman"/>
          <w:b/>
          <w:sz w:val="24"/>
          <w:szCs w:val="24"/>
        </w:rPr>
      </w:pPr>
    </w:p>
    <w:p w14:paraId="593D38B3" w14:textId="77777777" w:rsidR="005E7AC2" w:rsidRPr="00383E5D" w:rsidRDefault="005E7AC2" w:rsidP="005E7AC2">
      <w:pPr>
        <w:spacing w:after="0" w:line="24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This study uses the 2010 implementation of IRS Schedule UTP (Uncertain Tax Position) to examine the impact of additional tax return reporting on financial statement tax disclosure quality.  Using a hand-collected sample, I find that firms reduce the quality of their Financial Accounting Standards Board Interpretation No. 48 (FIN 48) disclosures for Accounting for Uncertainty in Income Taxes in response to increased proprietary costs following the adoption of IRS Schedule UTP.  Standard setters intended FIN 48 disclosures to benefit investors.  Contrary to this intended outcome, I find that as tax return reporting increases, firms reduce discretionary FIN 48 disclosures, making public tax disclosures more opaque and less useful to tax authorities and other stakeholders.  Thus, an unintended consequence of increased tax return reporting is lower financial statement tax disclosure quality that undermines standard setters’ goals of transparency, relevance, and comparability in financial reporting of income taxes.  </w:t>
      </w:r>
    </w:p>
    <w:p w14:paraId="25766792" w14:textId="6719862C" w:rsidR="00496DFE" w:rsidRPr="00026AE6" w:rsidRDefault="00496DFE" w:rsidP="00496DFE">
      <w:pPr>
        <w:spacing w:after="0" w:line="240" w:lineRule="auto"/>
        <w:ind w:firstLine="720"/>
        <w:jc w:val="both"/>
        <w:rPr>
          <w:rFonts w:ascii="Times New Roman" w:hAnsi="Times New Roman" w:cs="Times New Roman"/>
          <w:sz w:val="24"/>
          <w:szCs w:val="24"/>
        </w:rPr>
      </w:pPr>
      <w:r w:rsidRPr="00026AE6">
        <w:rPr>
          <w:rFonts w:ascii="Times New Roman" w:hAnsi="Times New Roman" w:cs="Times New Roman"/>
          <w:sz w:val="24"/>
          <w:szCs w:val="24"/>
        </w:rPr>
        <w:t xml:space="preserve">  </w:t>
      </w:r>
    </w:p>
    <w:p w14:paraId="064CF466" w14:textId="77777777" w:rsidR="00496DFE" w:rsidRDefault="00496DFE">
      <w:pPr>
        <w:rPr>
          <w:rFonts w:ascii="Times New Roman" w:hAnsi="Times New Roman" w:cs="Times New Roman"/>
          <w:b/>
          <w:sz w:val="24"/>
          <w:szCs w:val="24"/>
        </w:rPr>
      </w:pPr>
    </w:p>
    <w:p w14:paraId="7B1BB3AB" w14:textId="5EE15A2A" w:rsidR="00496DFE" w:rsidRDefault="00496DFE">
      <w:pPr>
        <w:rPr>
          <w:rFonts w:ascii="Times New Roman" w:hAnsi="Times New Roman" w:cs="Times New Roman"/>
          <w:b/>
          <w:sz w:val="24"/>
          <w:szCs w:val="24"/>
        </w:rPr>
      </w:pPr>
      <w:r>
        <w:rPr>
          <w:rFonts w:ascii="Times New Roman" w:hAnsi="Times New Roman" w:cs="Times New Roman"/>
          <w:b/>
          <w:sz w:val="24"/>
          <w:szCs w:val="24"/>
        </w:rPr>
        <w:br w:type="page"/>
      </w:r>
    </w:p>
    <w:p w14:paraId="44FE2AE1" w14:textId="5E3A3BF9" w:rsidR="00496DFE" w:rsidRDefault="00496DFE" w:rsidP="00496DFE">
      <w:pPr>
        <w:jc w:val="center"/>
        <w:rPr>
          <w:rFonts w:ascii="Times New Roman" w:hAnsi="Times New Roman" w:cs="Times New Roman"/>
          <w:b/>
          <w:sz w:val="24"/>
          <w:szCs w:val="24"/>
        </w:rPr>
      </w:pPr>
      <w:r>
        <w:rPr>
          <w:rFonts w:ascii="Times New Roman" w:hAnsi="Times New Roman" w:cs="Times New Roman"/>
          <w:b/>
          <w:sz w:val="24"/>
          <w:szCs w:val="24"/>
        </w:rPr>
        <w:t>Table of Contents</w:t>
      </w:r>
    </w:p>
    <w:p w14:paraId="14D608C9" w14:textId="77777777" w:rsidR="00496DFE" w:rsidRDefault="00496DFE" w:rsidP="00496DFE">
      <w:pPr>
        <w:jc w:val="center"/>
        <w:rPr>
          <w:rFonts w:ascii="Times New Roman" w:hAnsi="Times New Roman" w:cs="Times New Roman"/>
          <w:b/>
          <w:sz w:val="24"/>
          <w:szCs w:val="24"/>
        </w:rPr>
      </w:pPr>
    </w:p>
    <w:p w14:paraId="69E4AE8B" w14:textId="1C123F20" w:rsidR="00F0722A" w:rsidRPr="005E7AC2" w:rsidRDefault="000165E8" w:rsidP="00F0722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F0722A" w:rsidRPr="005E7AC2">
        <w:rPr>
          <w:rFonts w:ascii="Times New Roman" w:hAnsi="Times New Roman" w:cs="Times New Roman"/>
          <w:sz w:val="24"/>
          <w:szCs w:val="24"/>
        </w:rPr>
        <w:t>Introduction</w:t>
      </w:r>
      <w:r w:rsidR="00C00E52" w:rsidRPr="005E7AC2">
        <w:rPr>
          <w:rFonts w:ascii="Times New Roman" w:hAnsi="Times New Roman" w:cs="Times New Roman"/>
          <w:sz w:val="24"/>
          <w:szCs w:val="24"/>
        </w:rPr>
        <w:t>…………………………………………………………………..….</w:t>
      </w:r>
      <w:r>
        <w:rPr>
          <w:rFonts w:ascii="Times New Roman" w:hAnsi="Times New Roman" w:cs="Times New Roman"/>
          <w:sz w:val="24"/>
          <w:szCs w:val="24"/>
        </w:rPr>
        <w:t>.</w:t>
      </w:r>
      <w:r w:rsidR="006A4393" w:rsidRPr="005E7AC2">
        <w:rPr>
          <w:rFonts w:ascii="Times New Roman" w:hAnsi="Times New Roman" w:cs="Times New Roman"/>
          <w:sz w:val="24"/>
          <w:szCs w:val="24"/>
        </w:rPr>
        <w:t>1</w:t>
      </w:r>
    </w:p>
    <w:p w14:paraId="30E4E259" w14:textId="20D11EA3" w:rsidR="00F0722A" w:rsidRPr="005E7AC2" w:rsidRDefault="000165E8" w:rsidP="00F0722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sidR="00F0722A" w:rsidRPr="005E7AC2">
        <w:rPr>
          <w:rFonts w:ascii="Times New Roman" w:hAnsi="Times New Roman" w:cs="Times New Roman"/>
          <w:sz w:val="24"/>
          <w:szCs w:val="24"/>
        </w:rPr>
        <w:t>Background and Literature Review</w:t>
      </w:r>
      <w:r>
        <w:rPr>
          <w:rFonts w:ascii="Times New Roman" w:hAnsi="Times New Roman" w:cs="Times New Roman"/>
          <w:sz w:val="24"/>
          <w:szCs w:val="24"/>
        </w:rPr>
        <w:t>……………………………………………..8</w:t>
      </w:r>
    </w:p>
    <w:p w14:paraId="1678B46A" w14:textId="26921862" w:rsidR="006A4393" w:rsidRPr="005E7AC2" w:rsidRDefault="000165E8" w:rsidP="00F0722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III. </w:t>
      </w:r>
      <w:r w:rsidR="006A4393" w:rsidRPr="005E7AC2">
        <w:rPr>
          <w:rFonts w:ascii="Times New Roman" w:hAnsi="Times New Roman" w:cs="Times New Roman"/>
          <w:sz w:val="24"/>
          <w:szCs w:val="24"/>
        </w:rPr>
        <w:t>Hypothesis Development</w:t>
      </w:r>
      <w:r w:rsidR="00C00E52" w:rsidRPr="005E7AC2">
        <w:rPr>
          <w:rFonts w:ascii="Times New Roman" w:hAnsi="Times New Roman" w:cs="Times New Roman"/>
          <w:sz w:val="24"/>
          <w:szCs w:val="24"/>
        </w:rPr>
        <w:t>………………………………………………………</w:t>
      </w:r>
      <w:r>
        <w:rPr>
          <w:rFonts w:ascii="Times New Roman" w:hAnsi="Times New Roman" w:cs="Times New Roman"/>
          <w:sz w:val="24"/>
          <w:szCs w:val="24"/>
        </w:rPr>
        <w:t>15</w:t>
      </w:r>
    </w:p>
    <w:p w14:paraId="113726F9" w14:textId="7F142406" w:rsidR="00F0722A" w:rsidRPr="005E7AC2" w:rsidRDefault="000165E8" w:rsidP="00F0722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IV. </w:t>
      </w:r>
      <w:r w:rsidR="00E63E76" w:rsidRPr="005E7AC2">
        <w:rPr>
          <w:rFonts w:ascii="Times New Roman" w:hAnsi="Times New Roman" w:cs="Times New Roman"/>
          <w:sz w:val="24"/>
          <w:szCs w:val="24"/>
        </w:rPr>
        <w:t>Data and Research Design</w:t>
      </w:r>
      <w:r w:rsidR="00C00E52" w:rsidRPr="005E7AC2">
        <w:rPr>
          <w:rFonts w:ascii="Times New Roman" w:hAnsi="Times New Roman" w:cs="Times New Roman"/>
          <w:sz w:val="24"/>
          <w:szCs w:val="24"/>
        </w:rPr>
        <w:t>……………………………………………………..</w:t>
      </w:r>
      <w:r>
        <w:rPr>
          <w:rFonts w:ascii="Times New Roman" w:hAnsi="Times New Roman" w:cs="Times New Roman"/>
          <w:sz w:val="24"/>
          <w:szCs w:val="24"/>
        </w:rPr>
        <w:t>18</w:t>
      </w:r>
    </w:p>
    <w:p w14:paraId="7B8A2216" w14:textId="15FBEECF" w:rsidR="00E63E76" w:rsidRPr="005E7AC2" w:rsidRDefault="000165E8" w:rsidP="00E63E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V. </w:t>
      </w:r>
      <w:r w:rsidR="00E63E76" w:rsidRPr="005E7AC2">
        <w:rPr>
          <w:rFonts w:ascii="Times New Roman" w:hAnsi="Times New Roman" w:cs="Times New Roman"/>
          <w:sz w:val="24"/>
          <w:szCs w:val="24"/>
        </w:rPr>
        <w:t>Empirical Results</w:t>
      </w:r>
      <w:r w:rsidR="00C00E52" w:rsidRPr="005E7AC2">
        <w:rPr>
          <w:rFonts w:ascii="Times New Roman" w:hAnsi="Times New Roman" w:cs="Times New Roman"/>
          <w:sz w:val="24"/>
          <w:szCs w:val="24"/>
        </w:rPr>
        <w:t>………………………………………………………………</w:t>
      </w:r>
      <w:r>
        <w:rPr>
          <w:rFonts w:ascii="Times New Roman" w:hAnsi="Times New Roman" w:cs="Times New Roman"/>
          <w:sz w:val="24"/>
          <w:szCs w:val="24"/>
        </w:rPr>
        <w:t>.26</w:t>
      </w:r>
    </w:p>
    <w:p w14:paraId="0F5E8CC4" w14:textId="19AD8D68" w:rsidR="00D066F7" w:rsidRPr="005E7AC2" w:rsidRDefault="000165E8" w:rsidP="00E63E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VI. </w:t>
      </w:r>
      <w:r w:rsidR="00D066F7" w:rsidRPr="005E7AC2">
        <w:rPr>
          <w:rFonts w:ascii="Times New Roman" w:hAnsi="Times New Roman" w:cs="Times New Roman"/>
          <w:sz w:val="24"/>
          <w:szCs w:val="24"/>
        </w:rPr>
        <w:t>Additional Analysis</w:t>
      </w:r>
      <w:r w:rsidR="00D066F7">
        <w:rPr>
          <w:rFonts w:ascii="Times New Roman" w:hAnsi="Times New Roman" w:cs="Times New Roman"/>
          <w:sz w:val="24"/>
          <w:szCs w:val="24"/>
        </w:rPr>
        <w:t xml:space="preserve"> </w:t>
      </w:r>
      <w:r>
        <w:rPr>
          <w:rFonts w:ascii="Times New Roman" w:hAnsi="Times New Roman" w:cs="Times New Roman"/>
          <w:sz w:val="24"/>
          <w:szCs w:val="24"/>
        </w:rPr>
        <w:t>…………………………………..………………….....…31</w:t>
      </w:r>
    </w:p>
    <w:p w14:paraId="321CCE65" w14:textId="72F05610" w:rsidR="00E63E76" w:rsidRPr="005E7AC2" w:rsidRDefault="000165E8" w:rsidP="00E63E7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VII. </w:t>
      </w:r>
      <w:r w:rsidR="00E63E76" w:rsidRPr="005E7AC2">
        <w:rPr>
          <w:rFonts w:ascii="Times New Roman" w:hAnsi="Times New Roman" w:cs="Times New Roman"/>
          <w:sz w:val="24"/>
          <w:szCs w:val="24"/>
        </w:rPr>
        <w:t>Conclusion</w:t>
      </w:r>
      <w:r w:rsidR="00C00E52" w:rsidRPr="005E7AC2">
        <w:rPr>
          <w:rFonts w:ascii="Times New Roman" w:hAnsi="Times New Roman" w:cs="Times New Roman"/>
          <w:sz w:val="24"/>
          <w:szCs w:val="24"/>
        </w:rPr>
        <w:t>………………………………………….........................................</w:t>
      </w:r>
      <w:r>
        <w:rPr>
          <w:rFonts w:ascii="Times New Roman" w:hAnsi="Times New Roman" w:cs="Times New Roman"/>
          <w:sz w:val="24"/>
          <w:szCs w:val="24"/>
        </w:rPr>
        <w:t>36</w:t>
      </w:r>
    </w:p>
    <w:p w14:paraId="0D39D9DF" w14:textId="773C7142" w:rsidR="00D066F7" w:rsidRPr="005E7AC2" w:rsidRDefault="00D066F7" w:rsidP="00D066F7">
      <w:pPr>
        <w:rPr>
          <w:rFonts w:ascii="Times New Roman" w:hAnsi="Times New Roman" w:cs="Times New Roman"/>
          <w:b/>
          <w:sz w:val="24"/>
          <w:szCs w:val="24"/>
        </w:rPr>
      </w:pPr>
      <w:r w:rsidRPr="005E7AC2">
        <w:rPr>
          <w:rFonts w:ascii="Times New Roman" w:hAnsi="Times New Roman" w:cs="Times New Roman"/>
          <w:sz w:val="24"/>
          <w:szCs w:val="24"/>
        </w:rPr>
        <w:t>References……………………….......................................................................</w:t>
      </w:r>
      <w:r w:rsidR="000165E8">
        <w:rPr>
          <w:rFonts w:ascii="Times New Roman" w:hAnsi="Times New Roman" w:cs="Times New Roman"/>
          <w:sz w:val="24"/>
          <w:szCs w:val="24"/>
        </w:rPr>
        <w:t>......38</w:t>
      </w:r>
    </w:p>
    <w:p w14:paraId="0DF30DE8" w14:textId="07C90C39" w:rsidR="00496DFE" w:rsidRPr="005E7AC2" w:rsidRDefault="00B35C42" w:rsidP="00496DFE">
      <w:pPr>
        <w:rPr>
          <w:rFonts w:ascii="Times New Roman" w:hAnsi="Times New Roman" w:cs="Times New Roman"/>
          <w:sz w:val="24"/>
          <w:szCs w:val="24"/>
        </w:rPr>
      </w:pPr>
      <w:r w:rsidRPr="005E7AC2">
        <w:rPr>
          <w:rFonts w:ascii="Times New Roman" w:hAnsi="Times New Roman" w:cs="Times New Roman"/>
          <w:sz w:val="24"/>
          <w:szCs w:val="24"/>
        </w:rPr>
        <w:t>Appendi</w:t>
      </w:r>
      <w:r w:rsidR="000165E8">
        <w:rPr>
          <w:rFonts w:ascii="Times New Roman" w:hAnsi="Times New Roman" w:cs="Times New Roman"/>
          <w:sz w:val="24"/>
          <w:szCs w:val="24"/>
        </w:rPr>
        <w:t>ces……</w:t>
      </w:r>
      <w:r w:rsidR="00C00E52" w:rsidRPr="005E7AC2">
        <w:rPr>
          <w:rFonts w:ascii="Times New Roman" w:hAnsi="Times New Roman" w:cs="Times New Roman"/>
          <w:sz w:val="24"/>
          <w:szCs w:val="24"/>
        </w:rPr>
        <w:t>…………………………...............................................................</w:t>
      </w:r>
      <w:r w:rsidR="000165E8">
        <w:rPr>
          <w:rFonts w:ascii="Times New Roman" w:hAnsi="Times New Roman" w:cs="Times New Roman"/>
          <w:sz w:val="24"/>
          <w:szCs w:val="24"/>
        </w:rPr>
        <w:t>.44</w:t>
      </w:r>
    </w:p>
    <w:p w14:paraId="0BD65C32" w14:textId="07C1081E" w:rsidR="00DF0043" w:rsidRPr="005E7AC2" w:rsidRDefault="00DF0043" w:rsidP="00496DFE">
      <w:pPr>
        <w:rPr>
          <w:rFonts w:ascii="Times New Roman" w:hAnsi="Times New Roman" w:cs="Times New Roman"/>
          <w:sz w:val="24"/>
          <w:szCs w:val="24"/>
        </w:rPr>
      </w:pPr>
      <w:r w:rsidRPr="005E7AC2">
        <w:rPr>
          <w:rFonts w:ascii="Times New Roman" w:hAnsi="Times New Roman" w:cs="Times New Roman"/>
          <w:sz w:val="24"/>
          <w:szCs w:val="24"/>
        </w:rPr>
        <w:t>Vita</w:t>
      </w:r>
      <w:r w:rsidR="00C00E52" w:rsidRPr="005E7AC2">
        <w:rPr>
          <w:rFonts w:ascii="Times New Roman" w:hAnsi="Times New Roman" w:cs="Times New Roman"/>
          <w:sz w:val="24"/>
          <w:szCs w:val="24"/>
        </w:rPr>
        <w:t>…………………..........................................................................................</w:t>
      </w:r>
      <w:r w:rsidR="000165E8">
        <w:rPr>
          <w:rFonts w:ascii="Times New Roman" w:hAnsi="Times New Roman" w:cs="Times New Roman"/>
          <w:sz w:val="24"/>
          <w:szCs w:val="24"/>
        </w:rPr>
        <w:t>......61</w:t>
      </w:r>
    </w:p>
    <w:p w14:paraId="7D20C898" w14:textId="684A8592" w:rsidR="00496DFE" w:rsidRDefault="00496DFE" w:rsidP="00496DFE">
      <w:pPr>
        <w:jc w:val="center"/>
        <w:rPr>
          <w:rFonts w:ascii="Times New Roman" w:hAnsi="Times New Roman" w:cs="Times New Roman"/>
          <w:b/>
          <w:sz w:val="24"/>
          <w:szCs w:val="24"/>
        </w:rPr>
      </w:pPr>
      <w:r>
        <w:rPr>
          <w:rFonts w:ascii="Times New Roman" w:hAnsi="Times New Roman" w:cs="Times New Roman"/>
          <w:b/>
          <w:sz w:val="24"/>
          <w:szCs w:val="24"/>
        </w:rPr>
        <w:br w:type="page"/>
      </w:r>
    </w:p>
    <w:p w14:paraId="416AD693" w14:textId="77777777" w:rsidR="00BA6890" w:rsidRDefault="00BA6890" w:rsidP="00BA6890">
      <w:pPr>
        <w:jc w:val="center"/>
        <w:rPr>
          <w:rFonts w:ascii="Times New Roman" w:hAnsi="Times New Roman" w:cs="Times New Roman"/>
          <w:b/>
          <w:sz w:val="24"/>
          <w:szCs w:val="24"/>
        </w:rPr>
      </w:pPr>
      <w:r>
        <w:rPr>
          <w:rFonts w:ascii="Times New Roman" w:hAnsi="Times New Roman" w:cs="Times New Roman"/>
          <w:b/>
          <w:sz w:val="24"/>
          <w:szCs w:val="24"/>
        </w:rPr>
        <w:t>List of Tables</w:t>
      </w:r>
    </w:p>
    <w:p w14:paraId="713F1219" w14:textId="77777777" w:rsidR="00BA6890" w:rsidRPr="00661E56" w:rsidRDefault="00BA6890" w:rsidP="00BA6890">
      <w:pPr>
        <w:jc w:val="center"/>
        <w:rPr>
          <w:rFonts w:ascii="Times New Roman" w:hAnsi="Times New Roman" w:cs="Times New Roman"/>
          <w:sz w:val="24"/>
          <w:szCs w:val="24"/>
        </w:rPr>
      </w:pPr>
    </w:p>
    <w:p w14:paraId="25574C56" w14:textId="75EDC327" w:rsidR="001E3EB4" w:rsidRPr="00C00E52" w:rsidRDefault="00661E56" w:rsidP="008D16D5">
      <w:pPr>
        <w:spacing w:after="0"/>
        <w:rPr>
          <w:rFonts w:ascii="Times New Roman" w:hAnsi="Times New Roman" w:cs="Times New Roman"/>
          <w:sz w:val="24"/>
          <w:szCs w:val="24"/>
        </w:rPr>
      </w:pPr>
      <w:r w:rsidRPr="00C00E52">
        <w:rPr>
          <w:rFonts w:ascii="Times New Roman" w:hAnsi="Times New Roman" w:cs="Times New Roman"/>
          <w:sz w:val="24"/>
          <w:szCs w:val="24"/>
        </w:rPr>
        <w:t xml:space="preserve">Table 1 </w:t>
      </w:r>
      <w:r w:rsidR="001E3EB4" w:rsidRPr="00C00E52">
        <w:rPr>
          <w:rFonts w:ascii="Times New Roman" w:hAnsi="Times New Roman" w:cs="Times New Roman"/>
          <w:sz w:val="24"/>
          <w:szCs w:val="24"/>
        </w:rPr>
        <w:tab/>
      </w:r>
      <w:r w:rsidR="001E3EB4" w:rsidRPr="00C00E52">
        <w:rPr>
          <w:rFonts w:ascii="Times New Roman" w:hAnsi="Times New Roman" w:cs="Times New Roman"/>
          <w:sz w:val="24"/>
          <w:szCs w:val="24"/>
        </w:rPr>
        <w:tab/>
      </w:r>
      <w:r w:rsidR="001E3EB4" w:rsidRPr="00C00E52">
        <w:rPr>
          <w:rFonts w:ascii="Times New Roman" w:hAnsi="Times New Roman" w:cs="Times New Roman"/>
          <w:sz w:val="24"/>
          <w:szCs w:val="24"/>
        </w:rPr>
        <w:tab/>
        <w:t>Variable Definitions</w:t>
      </w:r>
      <w:r w:rsidR="001E3EB4" w:rsidRPr="00C00E52">
        <w:rPr>
          <w:rFonts w:ascii="Times New Roman" w:hAnsi="Times New Roman" w:cs="Times New Roman"/>
          <w:sz w:val="24"/>
          <w:szCs w:val="24"/>
        </w:rPr>
        <w:tab/>
      </w:r>
      <w:r w:rsidR="001E3EB4" w:rsidRPr="00C00E52">
        <w:rPr>
          <w:rFonts w:ascii="Times New Roman" w:hAnsi="Times New Roman" w:cs="Times New Roman"/>
          <w:sz w:val="24"/>
          <w:szCs w:val="24"/>
        </w:rPr>
        <w:tab/>
      </w:r>
      <w:r w:rsidR="001E3EB4" w:rsidRPr="00C00E52">
        <w:rPr>
          <w:rFonts w:ascii="Times New Roman" w:hAnsi="Times New Roman" w:cs="Times New Roman"/>
          <w:sz w:val="24"/>
          <w:szCs w:val="24"/>
        </w:rPr>
        <w:tab/>
      </w:r>
      <w:r w:rsidR="001E3EB4" w:rsidRPr="00C00E52">
        <w:rPr>
          <w:rFonts w:ascii="Times New Roman" w:hAnsi="Times New Roman" w:cs="Times New Roman"/>
          <w:sz w:val="24"/>
          <w:szCs w:val="24"/>
        </w:rPr>
        <w:tab/>
        <w:t xml:space="preserve">Page </w:t>
      </w:r>
      <w:r w:rsidR="000165E8">
        <w:rPr>
          <w:rFonts w:ascii="Times New Roman" w:hAnsi="Times New Roman" w:cs="Times New Roman"/>
          <w:sz w:val="24"/>
          <w:szCs w:val="24"/>
        </w:rPr>
        <w:t>49</w:t>
      </w:r>
    </w:p>
    <w:p w14:paraId="39C57927" w14:textId="6E436A91" w:rsidR="00BA6890" w:rsidRPr="00C00E52" w:rsidRDefault="00661E56" w:rsidP="008D16D5">
      <w:pPr>
        <w:spacing w:after="0"/>
        <w:ind w:firstLine="720"/>
        <w:rPr>
          <w:rFonts w:ascii="Times New Roman" w:hAnsi="Times New Roman" w:cs="Times New Roman"/>
          <w:sz w:val="24"/>
          <w:szCs w:val="24"/>
        </w:rPr>
      </w:pPr>
      <w:r w:rsidRPr="00C00E52">
        <w:rPr>
          <w:rFonts w:ascii="Times New Roman" w:hAnsi="Times New Roman" w:cs="Times New Roman"/>
          <w:sz w:val="24"/>
          <w:szCs w:val="24"/>
        </w:rPr>
        <w:t>Panel A</w:t>
      </w:r>
      <w:r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Pr="00C00E52">
        <w:rPr>
          <w:rFonts w:ascii="Times New Roman" w:hAnsi="Times New Roman" w:cs="Times New Roman"/>
          <w:sz w:val="24"/>
          <w:szCs w:val="24"/>
        </w:rPr>
        <w:t>Disclosure Score Components</w:t>
      </w:r>
      <w:r w:rsidR="000165E8">
        <w:rPr>
          <w:rFonts w:ascii="Times New Roman" w:hAnsi="Times New Roman" w:cs="Times New Roman"/>
          <w:sz w:val="24"/>
          <w:szCs w:val="24"/>
        </w:rPr>
        <w:tab/>
      </w:r>
      <w:r w:rsidR="000165E8">
        <w:rPr>
          <w:rFonts w:ascii="Times New Roman" w:hAnsi="Times New Roman" w:cs="Times New Roman"/>
          <w:sz w:val="24"/>
          <w:szCs w:val="24"/>
        </w:rPr>
        <w:tab/>
        <w:t>Page 49</w:t>
      </w:r>
    </w:p>
    <w:p w14:paraId="425A2A03" w14:textId="251EE270" w:rsidR="00661E56" w:rsidRPr="00C00E52" w:rsidRDefault="00661E56" w:rsidP="008D16D5">
      <w:pPr>
        <w:pStyle w:val="BodyText"/>
        <w:ind w:left="0" w:firstLine="720"/>
        <w:rPr>
          <w:rFonts w:cs="Times New Roman"/>
          <w:color w:val="231F20"/>
          <w:spacing w:val="-3"/>
          <w:sz w:val="24"/>
          <w:szCs w:val="24"/>
        </w:rPr>
      </w:pPr>
      <w:r w:rsidRPr="00C00E52">
        <w:rPr>
          <w:rFonts w:cs="Times New Roman"/>
          <w:color w:val="231F20"/>
          <w:spacing w:val="-3"/>
          <w:sz w:val="24"/>
          <w:szCs w:val="24"/>
        </w:rPr>
        <w:t>Panel B</w:t>
      </w:r>
      <w:r w:rsidRPr="00C00E52">
        <w:rPr>
          <w:rFonts w:cs="Times New Roman"/>
          <w:color w:val="231F20"/>
          <w:spacing w:val="-3"/>
          <w:sz w:val="24"/>
          <w:szCs w:val="24"/>
        </w:rPr>
        <w:tab/>
      </w:r>
      <w:r w:rsidR="007523D4" w:rsidRPr="00C00E52">
        <w:rPr>
          <w:rFonts w:cs="Times New Roman"/>
          <w:color w:val="231F20"/>
          <w:spacing w:val="-3"/>
          <w:sz w:val="24"/>
          <w:szCs w:val="24"/>
        </w:rPr>
        <w:tab/>
      </w:r>
      <w:r w:rsidRPr="00C00E52">
        <w:rPr>
          <w:rFonts w:cs="Times New Roman"/>
          <w:color w:val="231F20"/>
          <w:spacing w:val="-3"/>
          <w:sz w:val="24"/>
          <w:szCs w:val="24"/>
        </w:rPr>
        <w:t>Regression Variables</w:t>
      </w:r>
      <w:r w:rsidR="007523D4" w:rsidRPr="00C00E52">
        <w:rPr>
          <w:rFonts w:cs="Times New Roman"/>
          <w:color w:val="231F20"/>
          <w:spacing w:val="-3"/>
          <w:sz w:val="24"/>
          <w:szCs w:val="24"/>
        </w:rPr>
        <w:tab/>
      </w:r>
      <w:r w:rsidR="007523D4" w:rsidRPr="00C00E52">
        <w:rPr>
          <w:rFonts w:cs="Times New Roman"/>
          <w:color w:val="231F20"/>
          <w:spacing w:val="-3"/>
          <w:sz w:val="24"/>
          <w:szCs w:val="24"/>
        </w:rPr>
        <w:tab/>
      </w:r>
      <w:r w:rsidR="007523D4" w:rsidRPr="00C00E52">
        <w:rPr>
          <w:rFonts w:cs="Times New Roman"/>
          <w:color w:val="231F20"/>
          <w:spacing w:val="-3"/>
          <w:sz w:val="24"/>
          <w:szCs w:val="24"/>
        </w:rPr>
        <w:tab/>
      </w:r>
      <w:r w:rsidR="007523D4" w:rsidRPr="00C00E52">
        <w:rPr>
          <w:rFonts w:cs="Times New Roman"/>
          <w:color w:val="231F20"/>
          <w:spacing w:val="-3"/>
          <w:sz w:val="24"/>
          <w:szCs w:val="24"/>
        </w:rPr>
        <w:tab/>
        <w:t xml:space="preserve">Page </w:t>
      </w:r>
      <w:r w:rsidR="000165E8">
        <w:rPr>
          <w:rFonts w:cs="Times New Roman"/>
          <w:color w:val="231F20"/>
          <w:spacing w:val="-3"/>
          <w:sz w:val="24"/>
          <w:szCs w:val="24"/>
        </w:rPr>
        <w:t>50</w:t>
      </w:r>
    </w:p>
    <w:p w14:paraId="4FDDC2F9" w14:textId="1F08563B" w:rsidR="00661E56" w:rsidRPr="00C00E52" w:rsidRDefault="00661E56" w:rsidP="008D16D5">
      <w:pPr>
        <w:pStyle w:val="BodyText"/>
        <w:ind w:left="0"/>
        <w:rPr>
          <w:rFonts w:cs="Times New Roman"/>
          <w:color w:val="231F20"/>
          <w:spacing w:val="-3"/>
          <w:sz w:val="24"/>
          <w:szCs w:val="24"/>
        </w:rPr>
      </w:pPr>
    </w:p>
    <w:p w14:paraId="1DE0E5C2" w14:textId="43FEE0BB" w:rsidR="00661E56" w:rsidRPr="00C00E52" w:rsidRDefault="001E3EB4" w:rsidP="008D16D5">
      <w:pPr>
        <w:pStyle w:val="BodyText"/>
        <w:ind w:left="0"/>
        <w:rPr>
          <w:rFonts w:cs="Times New Roman"/>
          <w:color w:val="231F20"/>
          <w:spacing w:val="-3"/>
          <w:sz w:val="24"/>
          <w:szCs w:val="24"/>
        </w:rPr>
      </w:pPr>
      <w:r w:rsidRPr="00C00E52">
        <w:rPr>
          <w:rFonts w:cs="Times New Roman"/>
          <w:color w:val="231F20"/>
          <w:spacing w:val="-3"/>
          <w:sz w:val="24"/>
          <w:szCs w:val="24"/>
        </w:rPr>
        <w:t>Table 2</w:t>
      </w:r>
      <w:r w:rsidRPr="00C00E52">
        <w:rPr>
          <w:rFonts w:cs="Times New Roman"/>
          <w:color w:val="231F20"/>
          <w:spacing w:val="-3"/>
          <w:sz w:val="24"/>
          <w:szCs w:val="24"/>
        </w:rPr>
        <w:tab/>
      </w:r>
      <w:r w:rsidRPr="00C00E52">
        <w:rPr>
          <w:rFonts w:cs="Times New Roman"/>
          <w:color w:val="231F20"/>
          <w:spacing w:val="-3"/>
          <w:sz w:val="24"/>
          <w:szCs w:val="24"/>
        </w:rPr>
        <w:tab/>
      </w:r>
      <w:r w:rsidR="007523D4" w:rsidRPr="00C00E52">
        <w:rPr>
          <w:rFonts w:cs="Times New Roman"/>
          <w:color w:val="231F20"/>
          <w:spacing w:val="-3"/>
          <w:sz w:val="24"/>
          <w:szCs w:val="24"/>
        </w:rPr>
        <w:tab/>
      </w:r>
      <w:r w:rsidRPr="00C00E52">
        <w:rPr>
          <w:rFonts w:cs="Times New Roman"/>
          <w:color w:val="231F20"/>
          <w:spacing w:val="-3"/>
          <w:sz w:val="24"/>
          <w:szCs w:val="24"/>
        </w:rPr>
        <w:tab/>
        <w:t>Sample Selection</w:t>
      </w:r>
      <w:r w:rsidR="007523D4" w:rsidRPr="00C00E52">
        <w:rPr>
          <w:rFonts w:cs="Times New Roman"/>
          <w:color w:val="231F20"/>
          <w:spacing w:val="-3"/>
          <w:sz w:val="24"/>
          <w:szCs w:val="24"/>
        </w:rPr>
        <w:tab/>
      </w:r>
      <w:r w:rsidR="007523D4" w:rsidRPr="00C00E52">
        <w:rPr>
          <w:rFonts w:cs="Times New Roman"/>
          <w:color w:val="231F20"/>
          <w:spacing w:val="-3"/>
          <w:sz w:val="24"/>
          <w:szCs w:val="24"/>
        </w:rPr>
        <w:tab/>
      </w:r>
      <w:r w:rsidR="007523D4" w:rsidRPr="00C00E52">
        <w:rPr>
          <w:rFonts w:cs="Times New Roman"/>
          <w:color w:val="231F20"/>
          <w:spacing w:val="-3"/>
          <w:sz w:val="24"/>
          <w:szCs w:val="24"/>
        </w:rPr>
        <w:tab/>
      </w:r>
      <w:r w:rsidR="007523D4" w:rsidRPr="00C00E52">
        <w:rPr>
          <w:rFonts w:cs="Times New Roman"/>
          <w:color w:val="231F20"/>
          <w:spacing w:val="-3"/>
          <w:sz w:val="24"/>
          <w:szCs w:val="24"/>
        </w:rPr>
        <w:tab/>
        <w:t xml:space="preserve">Page </w:t>
      </w:r>
      <w:r w:rsidR="000165E8">
        <w:rPr>
          <w:rFonts w:cs="Times New Roman"/>
          <w:color w:val="231F20"/>
          <w:spacing w:val="-3"/>
          <w:sz w:val="24"/>
          <w:szCs w:val="24"/>
        </w:rPr>
        <w:t>52</w:t>
      </w:r>
    </w:p>
    <w:p w14:paraId="22118699" w14:textId="77777777" w:rsidR="008D16D5" w:rsidRDefault="008D16D5" w:rsidP="008D16D5">
      <w:pPr>
        <w:spacing w:after="0"/>
        <w:rPr>
          <w:rFonts w:ascii="Times New Roman" w:hAnsi="Times New Roman" w:cs="Times New Roman"/>
          <w:sz w:val="24"/>
          <w:szCs w:val="24"/>
        </w:rPr>
      </w:pPr>
    </w:p>
    <w:p w14:paraId="174A6E11" w14:textId="40BCB250" w:rsidR="001E3EB4" w:rsidRPr="00C00E52" w:rsidRDefault="001E3EB4" w:rsidP="008D16D5">
      <w:pPr>
        <w:spacing w:after="0"/>
        <w:rPr>
          <w:rFonts w:ascii="Times New Roman" w:hAnsi="Times New Roman" w:cs="Times New Roman"/>
          <w:sz w:val="24"/>
          <w:szCs w:val="24"/>
        </w:rPr>
      </w:pPr>
      <w:r w:rsidRPr="00C00E52">
        <w:rPr>
          <w:rFonts w:ascii="Times New Roman" w:hAnsi="Times New Roman" w:cs="Times New Roman"/>
          <w:sz w:val="24"/>
          <w:szCs w:val="24"/>
        </w:rPr>
        <w:t xml:space="preserve">Table 3 </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Pr="00C00E52">
        <w:rPr>
          <w:rFonts w:ascii="Times New Roman" w:hAnsi="Times New Roman" w:cs="Times New Roman"/>
          <w:sz w:val="24"/>
          <w:szCs w:val="24"/>
        </w:rPr>
        <w:t>Descriptive Statistics</w:t>
      </w:r>
    </w:p>
    <w:p w14:paraId="3318CE62" w14:textId="4B9E74BF" w:rsidR="001E3EB4" w:rsidRPr="00C00E52" w:rsidRDefault="001E3EB4" w:rsidP="008D16D5">
      <w:pPr>
        <w:spacing w:after="0"/>
        <w:ind w:firstLine="720"/>
        <w:rPr>
          <w:rFonts w:ascii="Times New Roman" w:hAnsi="Times New Roman" w:cs="Times New Roman"/>
          <w:sz w:val="24"/>
          <w:szCs w:val="24"/>
        </w:rPr>
      </w:pPr>
      <w:r w:rsidRPr="00C00E52">
        <w:rPr>
          <w:rFonts w:ascii="Times New Roman" w:hAnsi="Times New Roman" w:cs="Times New Roman"/>
          <w:sz w:val="24"/>
          <w:szCs w:val="24"/>
        </w:rPr>
        <w:t>Panel A</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7523D4" w:rsidRPr="00C00E52">
        <w:rPr>
          <w:rFonts w:ascii="Times New Roman" w:hAnsi="Times New Roman" w:cs="Times New Roman"/>
          <w:sz w:val="24"/>
          <w:szCs w:val="24"/>
        </w:rPr>
        <w:t xml:space="preserve">  </w:t>
      </w:r>
      <w:r w:rsidRPr="00C00E52">
        <w:rPr>
          <w:rFonts w:ascii="Times New Roman" w:hAnsi="Times New Roman" w:cs="Times New Roman"/>
          <w:sz w:val="24"/>
          <w:szCs w:val="24"/>
        </w:rPr>
        <w:t>Disclosure Scores</w:t>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t xml:space="preserve">Page </w:t>
      </w:r>
      <w:r w:rsidR="000165E8">
        <w:rPr>
          <w:rFonts w:ascii="Times New Roman" w:hAnsi="Times New Roman" w:cs="Times New Roman"/>
          <w:sz w:val="24"/>
          <w:szCs w:val="24"/>
        </w:rPr>
        <w:t>53</w:t>
      </w:r>
    </w:p>
    <w:p w14:paraId="7A0E6C7E" w14:textId="22D3727F" w:rsidR="007523D4" w:rsidRPr="00C00E52" w:rsidRDefault="001E3EB4" w:rsidP="008D16D5">
      <w:pPr>
        <w:spacing w:after="0"/>
        <w:ind w:firstLine="720"/>
        <w:rPr>
          <w:rFonts w:ascii="Times New Roman" w:hAnsi="Times New Roman" w:cs="Times New Roman"/>
          <w:sz w:val="24"/>
          <w:szCs w:val="24"/>
        </w:rPr>
      </w:pPr>
      <w:r w:rsidRPr="00C00E52">
        <w:rPr>
          <w:rFonts w:ascii="Times New Roman" w:hAnsi="Times New Roman" w:cs="Times New Roman"/>
          <w:sz w:val="24"/>
          <w:szCs w:val="24"/>
        </w:rPr>
        <w:t>Panel B</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7523D4" w:rsidRPr="00C00E52">
        <w:rPr>
          <w:rFonts w:ascii="Times New Roman" w:hAnsi="Times New Roman" w:cs="Times New Roman"/>
          <w:sz w:val="24"/>
          <w:szCs w:val="24"/>
        </w:rPr>
        <w:t xml:space="preserve">  Disclo</w:t>
      </w:r>
      <w:r w:rsidR="000165E8">
        <w:rPr>
          <w:rFonts w:ascii="Times New Roman" w:hAnsi="Times New Roman" w:cs="Times New Roman"/>
          <w:sz w:val="24"/>
          <w:szCs w:val="24"/>
        </w:rPr>
        <w:t>sure Scores Pre and Post</w:t>
      </w:r>
      <w:r w:rsidR="000165E8">
        <w:rPr>
          <w:rFonts w:ascii="Times New Roman" w:hAnsi="Times New Roman" w:cs="Times New Roman"/>
          <w:sz w:val="24"/>
          <w:szCs w:val="24"/>
        </w:rPr>
        <w:tab/>
      </w:r>
      <w:r w:rsidR="000165E8">
        <w:rPr>
          <w:rFonts w:ascii="Times New Roman" w:hAnsi="Times New Roman" w:cs="Times New Roman"/>
          <w:sz w:val="24"/>
          <w:szCs w:val="24"/>
        </w:rPr>
        <w:tab/>
        <w:t>Page 53</w:t>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r>
      <w:r w:rsidR="007523D4" w:rsidRPr="00C00E52">
        <w:rPr>
          <w:rFonts w:ascii="Times New Roman" w:hAnsi="Times New Roman" w:cs="Times New Roman"/>
          <w:sz w:val="24"/>
          <w:szCs w:val="24"/>
        </w:rPr>
        <w:tab/>
        <w:t xml:space="preserve">  </w:t>
      </w:r>
      <w:r w:rsidRPr="00C00E52">
        <w:rPr>
          <w:rFonts w:ascii="Times New Roman" w:hAnsi="Times New Roman" w:cs="Times New Roman"/>
          <w:sz w:val="24"/>
          <w:szCs w:val="24"/>
        </w:rPr>
        <w:t>IRS Schedule UTP</w:t>
      </w:r>
    </w:p>
    <w:p w14:paraId="68ACFFE5" w14:textId="3D664C29" w:rsidR="001E3EB4" w:rsidRPr="00C00E52" w:rsidRDefault="001E3EB4" w:rsidP="008D16D5">
      <w:pPr>
        <w:spacing w:after="0"/>
        <w:ind w:firstLine="720"/>
        <w:rPr>
          <w:rFonts w:ascii="Times New Roman" w:hAnsi="Times New Roman" w:cs="Times New Roman"/>
          <w:sz w:val="24"/>
          <w:szCs w:val="24"/>
        </w:rPr>
      </w:pPr>
      <w:r w:rsidRPr="00C00E52">
        <w:rPr>
          <w:rFonts w:ascii="Times New Roman" w:hAnsi="Times New Roman" w:cs="Times New Roman"/>
          <w:sz w:val="24"/>
          <w:szCs w:val="24"/>
        </w:rPr>
        <w:t>Panel C</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7523D4" w:rsidRPr="00C00E52">
        <w:rPr>
          <w:rFonts w:ascii="Times New Roman" w:hAnsi="Times New Roman" w:cs="Times New Roman"/>
          <w:sz w:val="24"/>
          <w:szCs w:val="24"/>
        </w:rPr>
        <w:t xml:space="preserve">  </w:t>
      </w:r>
      <w:r w:rsidR="008D16D5" w:rsidRPr="008D16D5">
        <w:rPr>
          <w:rFonts w:ascii="Times New Roman" w:hAnsi="Times New Roman" w:cs="Times New Roman"/>
          <w:sz w:val="24"/>
          <w:szCs w:val="24"/>
        </w:rPr>
        <w:t>Disclosure Score Components</w:t>
      </w:r>
      <w:r w:rsidR="000165E8">
        <w:rPr>
          <w:rFonts w:ascii="Times New Roman" w:hAnsi="Times New Roman" w:cs="Times New Roman"/>
          <w:sz w:val="24"/>
          <w:szCs w:val="24"/>
        </w:rPr>
        <w:tab/>
      </w:r>
      <w:r w:rsidR="000165E8">
        <w:rPr>
          <w:rFonts w:ascii="Times New Roman" w:hAnsi="Times New Roman" w:cs="Times New Roman"/>
          <w:sz w:val="24"/>
          <w:szCs w:val="24"/>
        </w:rPr>
        <w:tab/>
        <w:t>Page 53</w:t>
      </w:r>
    </w:p>
    <w:p w14:paraId="5F44CA1C" w14:textId="77777777" w:rsidR="008D16D5" w:rsidRDefault="008D16D5" w:rsidP="008D16D5">
      <w:pPr>
        <w:widowControl w:val="0"/>
        <w:autoSpaceDE w:val="0"/>
        <w:autoSpaceDN w:val="0"/>
        <w:adjustRightInd w:val="0"/>
        <w:spacing w:after="0" w:line="240" w:lineRule="auto"/>
        <w:rPr>
          <w:rFonts w:ascii="Times New Roman" w:hAnsi="Times New Roman" w:cs="Times New Roman"/>
          <w:bCs/>
          <w:sz w:val="24"/>
          <w:szCs w:val="24"/>
        </w:rPr>
      </w:pPr>
    </w:p>
    <w:p w14:paraId="3B310FDC" w14:textId="4285A2B0" w:rsidR="001E3EB4" w:rsidRPr="00C00E52" w:rsidRDefault="001E3EB4" w:rsidP="008D16D5">
      <w:pPr>
        <w:widowControl w:val="0"/>
        <w:autoSpaceDE w:val="0"/>
        <w:autoSpaceDN w:val="0"/>
        <w:adjustRightInd w:val="0"/>
        <w:spacing w:after="0" w:line="240" w:lineRule="auto"/>
        <w:rPr>
          <w:rFonts w:ascii="Times New Roman" w:hAnsi="Times New Roman" w:cs="Times New Roman"/>
          <w:sz w:val="24"/>
          <w:szCs w:val="24"/>
        </w:rPr>
      </w:pPr>
      <w:r w:rsidRPr="00C00E52">
        <w:rPr>
          <w:rFonts w:ascii="Times New Roman" w:hAnsi="Times New Roman" w:cs="Times New Roman"/>
          <w:bCs/>
          <w:sz w:val="24"/>
          <w:szCs w:val="24"/>
        </w:rPr>
        <w:t>Table 4</w:t>
      </w:r>
      <w:r w:rsidRPr="00C00E52">
        <w:rPr>
          <w:rFonts w:ascii="Times New Roman" w:hAnsi="Times New Roman" w:cs="Times New Roman"/>
          <w:bCs/>
          <w:sz w:val="24"/>
          <w:szCs w:val="24"/>
        </w:rPr>
        <w:tab/>
      </w:r>
      <w:r w:rsidRPr="00C00E52">
        <w:rPr>
          <w:rFonts w:ascii="Times New Roman" w:hAnsi="Times New Roman" w:cs="Times New Roman"/>
          <w:bCs/>
          <w:sz w:val="24"/>
          <w:szCs w:val="24"/>
        </w:rPr>
        <w:tab/>
      </w:r>
      <w:r w:rsidRPr="00C00E52">
        <w:rPr>
          <w:rFonts w:ascii="Times New Roman" w:hAnsi="Times New Roman" w:cs="Times New Roman"/>
          <w:bCs/>
          <w:sz w:val="24"/>
          <w:szCs w:val="24"/>
        </w:rPr>
        <w:tab/>
      </w:r>
      <w:r w:rsidR="008D16D5" w:rsidRPr="00C00E52">
        <w:rPr>
          <w:rFonts w:ascii="Times New Roman" w:hAnsi="Times New Roman" w:cs="Times New Roman"/>
          <w:sz w:val="24"/>
          <w:szCs w:val="24"/>
        </w:rPr>
        <w:t>Descriptive Statistics</w:t>
      </w:r>
      <w:r w:rsidR="008D16D5">
        <w:rPr>
          <w:rFonts w:ascii="Times New Roman" w:hAnsi="Times New Roman" w:cs="Times New Roman"/>
          <w:sz w:val="24"/>
          <w:szCs w:val="24"/>
        </w:rPr>
        <w:tab/>
      </w:r>
      <w:r w:rsidR="008D16D5">
        <w:rPr>
          <w:rFonts w:ascii="Times New Roman" w:hAnsi="Times New Roman" w:cs="Times New Roman"/>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sz w:val="24"/>
          <w:szCs w:val="24"/>
        </w:rPr>
        <w:t>Pag</w:t>
      </w:r>
      <w:r w:rsidR="000165E8">
        <w:rPr>
          <w:rFonts w:ascii="Times New Roman" w:hAnsi="Times New Roman" w:cs="Times New Roman"/>
          <w:sz w:val="24"/>
          <w:szCs w:val="24"/>
        </w:rPr>
        <w:t>e 54</w:t>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r>
      <w:r w:rsidR="007523D4" w:rsidRPr="00C00E52">
        <w:rPr>
          <w:rFonts w:ascii="Times New Roman" w:hAnsi="Times New Roman" w:cs="Times New Roman"/>
          <w:bCs/>
          <w:sz w:val="24"/>
          <w:szCs w:val="24"/>
        </w:rPr>
        <w:tab/>
        <w:t xml:space="preserve">  </w:t>
      </w:r>
      <w:r w:rsidR="008D16D5">
        <w:rPr>
          <w:rFonts w:ascii="Times New Roman" w:hAnsi="Times New Roman" w:cs="Times New Roman"/>
          <w:bCs/>
          <w:sz w:val="24"/>
          <w:szCs w:val="24"/>
        </w:rPr>
        <w:t>Regression Variables</w:t>
      </w:r>
    </w:p>
    <w:p w14:paraId="46B1CCFB" w14:textId="187B7DAE" w:rsidR="001E3EB4" w:rsidRPr="00C00E52" w:rsidRDefault="001E3EB4" w:rsidP="008D16D5">
      <w:pPr>
        <w:spacing w:after="0"/>
        <w:rPr>
          <w:rFonts w:ascii="Times New Roman" w:hAnsi="Times New Roman" w:cs="Times New Roman"/>
          <w:sz w:val="24"/>
          <w:szCs w:val="24"/>
        </w:rPr>
      </w:pPr>
    </w:p>
    <w:p w14:paraId="67FAEB87" w14:textId="1D7D8958" w:rsidR="008D16D5" w:rsidRDefault="007523D4" w:rsidP="008D16D5">
      <w:pPr>
        <w:spacing w:after="0"/>
        <w:rPr>
          <w:rFonts w:ascii="Times New Roman" w:hAnsi="Times New Roman" w:cs="Times New Roman"/>
          <w:sz w:val="24"/>
          <w:szCs w:val="24"/>
        </w:rPr>
      </w:pPr>
      <w:r w:rsidRPr="00C00E52">
        <w:rPr>
          <w:rFonts w:ascii="Times New Roman" w:hAnsi="Times New Roman" w:cs="Times New Roman"/>
          <w:sz w:val="24"/>
          <w:szCs w:val="24"/>
        </w:rPr>
        <w:t xml:space="preserve">Table 5 </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8D16D5" w:rsidRPr="008D16D5">
        <w:rPr>
          <w:rFonts w:ascii="Times New Roman" w:hAnsi="Times New Roman" w:cs="Times New Roman"/>
          <w:sz w:val="24"/>
          <w:szCs w:val="24"/>
        </w:rPr>
        <w:t xml:space="preserve">IRS Schedule UTP Tax Reporting </w:t>
      </w:r>
      <w:r w:rsidR="000165E8">
        <w:rPr>
          <w:rFonts w:ascii="Times New Roman" w:hAnsi="Times New Roman" w:cs="Times New Roman"/>
          <w:sz w:val="24"/>
          <w:szCs w:val="24"/>
        </w:rPr>
        <w:tab/>
      </w:r>
      <w:r w:rsidR="000165E8">
        <w:rPr>
          <w:rFonts w:ascii="Times New Roman" w:hAnsi="Times New Roman" w:cs="Times New Roman"/>
          <w:sz w:val="24"/>
          <w:szCs w:val="24"/>
        </w:rPr>
        <w:tab/>
        <w:t>Page 55</w:t>
      </w:r>
    </w:p>
    <w:p w14:paraId="626CB171" w14:textId="77777777" w:rsidR="008D16D5" w:rsidRPr="008D16D5" w:rsidRDefault="008D16D5" w:rsidP="008D16D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D16D5">
        <w:rPr>
          <w:rFonts w:ascii="Times New Roman" w:hAnsi="Times New Roman" w:cs="Times New Roman"/>
          <w:sz w:val="24"/>
          <w:szCs w:val="24"/>
        </w:rPr>
        <w:t>Impact on FIN 48 Disclosure Quality</w:t>
      </w:r>
    </w:p>
    <w:p w14:paraId="3083FF0D" w14:textId="77777777" w:rsidR="008D16D5" w:rsidRDefault="008D16D5" w:rsidP="008D16D5">
      <w:pPr>
        <w:spacing w:after="0"/>
        <w:rPr>
          <w:rFonts w:ascii="Times New Roman" w:hAnsi="Times New Roman" w:cs="Times New Roman"/>
          <w:sz w:val="24"/>
          <w:szCs w:val="24"/>
        </w:rPr>
      </w:pPr>
    </w:p>
    <w:p w14:paraId="4671F8D1" w14:textId="62DC6DED" w:rsidR="007523D4" w:rsidRPr="00C00E52" w:rsidRDefault="007523D4" w:rsidP="008D16D5">
      <w:pPr>
        <w:spacing w:after="0"/>
        <w:rPr>
          <w:rFonts w:ascii="Times New Roman" w:hAnsi="Times New Roman" w:cs="Times New Roman"/>
          <w:sz w:val="24"/>
          <w:szCs w:val="24"/>
        </w:rPr>
      </w:pPr>
      <w:r w:rsidRPr="00C00E52">
        <w:rPr>
          <w:rFonts w:ascii="Times New Roman" w:hAnsi="Times New Roman" w:cs="Times New Roman"/>
          <w:sz w:val="24"/>
          <w:szCs w:val="24"/>
        </w:rPr>
        <w:t>Table 6</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Pr="00C00E52">
        <w:rPr>
          <w:rFonts w:ascii="Times New Roman" w:hAnsi="Times New Roman" w:cs="Times New Roman"/>
          <w:sz w:val="24"/>
          <w:szCs w:val="24"/>
        </w:rPr>
        <w:tab/>
        <w:t>IRS Sch</w:t>
      </w:r>
      <w:r w:rsidR="003B1F11">
        <w:rPr>
          <w:rFonts w:ascii="Times New Roman" w:hAnsi="Times New Roman" w:cs="Times New Roman"/>
          <w:sz w:val="24"/>
          <w:szCs w:val="24"/>
        </w:rPr>
        <w:t>edule UTP</w:t>
      </w:r>
      <w:r w:rsidR="008D16D5">
        <w:rPr>
          <w:rFonts w:ascii="Times New Roman" w:hAnsi="Times New Roman" w:cs="Times New Roman"/>
          <w:sz w:val="24"/>
          <w:szCs w:val="24"/>
        </w:rPr>
        <w:t xml:space="preserve"> </w:t>
      </w:r>
      <w:r w:rsidR="008D16D5" w:rsidRPr="00C00E52">
        <w:rPr>
          <w:rFonts w:ascii="Times New Roman" w:hAnsi="Times New Roman" w:cs="Times New Roman"/>
          <w:sz w:val="24"/>
          <w:szCs w:val="24"/>
        </w:rPr>
        <w:t>Impact on the</w:t>
      </w:r>
      <w:r w:rsidR="000165E8">
        <w:rPr>
          <w:rFonts w:ascii="Times New Roman" w:hAnsi="Times New Roman" w:cs="Times New Roman"/>
          <w:sz w:val="24"/>
          <w:szCs w:val="24"/>
        </w:rPr>
        <w:tab/>
      </w:r>
      <w:r w:rsidR="000165E8">
        <w:rPr>
          <w:rFonts w:ascii="Times New Roman" w:hAnsi="Times New Roman" w:cs="Times New Roman"/>
          <w:sz w:val="24"/>
          <w:szCs w:val="24"/>
        </w:rPr>
        <w:tab/>
        <w:t>Page 57</w:t>
      </w:r>
      <w:r w:rsidR="003B1F11">
        <w:rPr>
          <w:rFonts w:ascii="Times New Roman" w:hAnsi="Times New Roman" w:cs="Times New Roman"/>
          <w:sz w:val="24"/>
          <w:szCs w:val="24"/>
        </w:rPr>
        <w:tab/>
      </w:r>
      <w:r w:rsidRPr="00C00E52">
        <w:rPr>
          <w:rFonts w:ascii="Times New Roman" w:hAnsi="Times New Roman" w:cs="Times New Roman"/>
          <w:sz w:val="24"/>
          <w:szCs w:val="24"/>
        </w:rPr>
        <w:tab/>
      </w:r>
      <w:r w:rsidR="008D16D5">
        <w:rPr>
          <w:rFonts w:ascii="Times New Roman" w:hAnsi="Times New Roman" w:cs="Times New Roman"/>
          <w:sz w:val="24"/>
          <w:szCs w:val="24"/>
        </w:rPr>
        <w:tab/>
      </w:r>
      <w:r w:rsidR="008D16D5">
        <w:rPr>
          <w:rFonts w:ascii="Times New Roman" w:hAnsi="Times New Roman" w:cs="Times New Roman"/>
          <w:sz w:val="24"/>
          <w:szCs w:val="24"/>
        </w:rPr>
        <w:tab/>
      </w:r>
      <w:r w:rsidR="008D16D5">
        <w:rPr>
          <w:rFonts w:ascii="Times New Roman" w:hAnsi="Times New Roman" w:cs="Times New Roman"/>
          <w:sz w:val="24"/>
          <w:szCs w:val="24"/>
        </w:rPr>
        <w:tab/>
      </w:r>
      <w:r w:rsidRPr="00C00E52">
        <w:rPr>
          <w:rFonts w:ascii="Times New Roman" w:hAnsi="Times New Roman" w:cs="Times New Roman"/>
          <w:sz w:val="24"/>
          <w:szCs w:val="24"/>
        </w:rPr>
        <w:tab/>
        <w:t xml:space="preserve">  </w:t>
      </w:r>
      <w:r w:rsidR="008D16D5">
        <w:rPr>
          <w:rFonts w:ascii="Times New Roman" w:hAnsi="Times New Roman" w:cs="Times New Roman"/>
          <w:sz w:val="24"/>
          <w:szCs w:val="24"/>
        </w:rPr>
        <w:t>Content</w:t>
      </w:r>
      <w:r w:rsidR="008D16D5" w:rsidRPr="00C00E52">
        <w:rPr>
          <w:rFonts w:ascii="Times New Roman" w:hAnsi="Times New Roman" w:cs="Times New Roman"/>
          <w:sz w:val="24"/>
          <w:szCs w:val="24"/>
        </w:rPr>
        <w:t xml:space="preserve"> of </w:t>
      </w:r>
      <w:r w:rsidR="008D16D5">
        <w:rPr>
          <w:rFonts w:ascii="Times New Roman" w:hAnsi="Times New Roman" w:cs="Times New Roman"/>
          <w:sz w:val="24"/>
          <w:szCs w:val="24"/>
        </w:rPr>
        <w:t xml:space="preserve">Mandatory </w:t>
      </w:r>
      <w:r w:rsidRPr="00C00E52">
        <w:rPr>
          <w:rFonts w:ascii="Times New Roman" w:hAnsi="Times New Roman" w:cs="Times New Roman"/>
          <w:sz w:val="24"/>
          <w:szCs w:val="24"/>
        </w:rPr>
        <w:t>FIN 48 Disclosures</w:t>
      </w:r>
    </w:p>
    <w:p w14:paraId="19CCACA6" w14:textId="77777777" w:rsidR="008D16D5" w:rsidRDefault="008D16D5" w:rsidP="008D16D5">
      <w:pPr>
        <w:spacing w:after="0"/>
        <w:rPr>
          <w:rFonts w:ascii="Times New Roman" w:hAnsi="Times New Roman" w:cs="Times New Roman"/>
          <w:sz w:val="24"/>
          <w:szCs w:val="24"/>
        </w:rPr>
      </w:pPr>
    </w:p>
    <w:p w14:paraId="112B5ED1" w14:textId="156C05A8" w:rsidR="008D16D5" w:rsidRDefault="007523D4" w:rsidP="008D16D5">
      <w:pPr>
        <w:spacing w:after="0"/>
        <w:rPr>
          <w:rFonts w:ascii="Times New Roman" w:hAnsi="Times New Roman" w:cs="Times New Roman"/>
          <w:sz w:val="24"/>
          <w:szCs w:val="24"/>
        </w:rPr>
      </w:pPr>
      <w:r w:rsidRPr="00C00E52">
        <w:rPr>
          <w:rFonts w:ascii="Times New Roman" w:hAnsi="Times New Roman" w:cs="Times New Roman"/>
          <w:sz w:val="24"/>
          <w:szCs w:val="24"/>
        </w:rPr>
        <w:t>Table 7</w:t>
      </w:r>
      <w:r w:rsidRPr="00C00E52">
        <w:rPr>
          <w:rFonts w:ascii="Times New Roman" w:hAnsi="Times New Roman" w:cs="Times New Roman"/>
          <w:sz w:val="24"/>
          <w:szCs w:val="24"/>
        </w:rPr>
        <w:tab/>
      </w:r>
      <w:r w:rsidRPr="00C00E52">
        <w:rPr>
          <w:rFonts w:ascii="Times New Roman" w:hAnsi="Times New Roman" w:cs="Times New Roman"/>
          <w:sz w:val="24"/>
          <w:szCs w:val="24"/>
        </w:rPr>
        <w:tab/>
      </w:r>
      <w:r w:rsidRPr="00C00E52">
        <w:rPr>
          <w:rFonts w:ascii="Times New Roman" w:hAnsi="Times New Roman" w:cs="Times New Roman"/>
          <w:sz w:val="24"/>
          <w:szCs w:val="24"/>
        </w:rPr>
        <w:tab/>
      </w:r>
      <w:r w:rsidR="008D16D5">
        <w:rPr>
          <w:rFonts w:ascii="Times New Roman" w:hAnsi="Times New Roman" w:cs="Times New Roman"/>
          <w:sz w:val="24"/>
          <w:szCs w:val="24"/>
        </w:rPr>
        <w:t xml:space="preserve">IRS </w:t>
      </w:r>
      <w:r w:rsidR="000165E8">
        <w:rPr>
          <w:rFonts w:ascii="Times New Roman" w:hAnsi="Times New Roman" w:cs="Times New Roman"/>
          <w:sz w:val="24"/>
          <w:szCs w:val="24"/>
        </w:rPr>
        <w:t xml:space="preserve">Schedule UTP Impact on </w:t>
      </w:r>
      <w:r w:rsidR="000165E8">
        <w:rPr>
          <w:rFonts w:ascii="Times New Roman" w:hAnsi="Times New Roman" w:cs="Times New Roman"/>
          <w:sz w:val="24"/>
          <w:szCs w:val="24"/>
        </w:rPr>
        <w:tab/>
      </w:r>
      <w:r w:rsidR="000165E8">
        <w:rPr>
          <w:rFonts w:ascii="Times New Roman" w:hAnsi="Times New Roman" w:cs="Times New Roman"/>
          <w:sz w:val="24"/>
          <w:szCs w:val="24"/>
        </w:rPr>
        <w:tab/>
        <w:t>Page 58</w:t>
      </w:r>
    </w:p>
    <w:p w14:paraId="4FB4D493" w14:textId="77777777" w:rsidR="008D16D5" w:rsidRDefault="008D16D5" w:rsidP="008D16D5">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D16D5">
        <w:rPr>
          <w:rFonts w:ascii="Times New Roman" w:hAnsi="Times New Roman" w:cs="Times New Roman"/>
          <w:sz w:val="24"/>
          <w:szCs w:val="24"/>
        </w:rPr>
        <w:t>Discretionary of FIN 48 Disclosures</w:t>
      </w:r>
    </w:p>
    <w:p w14:paraId="0832C829" w14:textId="41A525EC" w:rsidR="008D16D5" w:rsidRDefault="008D16D5" w:rsidP="008D16D5">
      <w:pPr>
        <w:spacing w:after="0"/>
        <w:rPr>
          <w:rFonts w:ascii="Times New Roman" w:hAnsi="Times New Roman" w:cs="Times New Roman"/>
          <w:sz w:val="24"/>
          <w:szCs w:val="24"/>
        </w:rPr>
      </w:pPr>
    </w:p>
    <w:p w14:paraId="5119A752" w14:textId="7E41842D" w:rsidR="007523D4" w:rsidRDefault="008D16D5" w:rsidP="008D16D5">
      <w:pPr>
        <w:spacing w:after="0"/>
        <w:rPr>
          <w:rFonts w:ascii="Times New Roman" w:hAnsi="Times New Roman" w:cs="Times New Roman"/>
          <w:sz w:val="24"/>
          <w:szCs w:val="24"/>
        </w:rPr>
      </w:pPr>
      <w:r>
        <w:rPr>
          <w:rFonts w:ascii="Times New Roman" w:hAnsi="Times New Roman" w:cs="Times New Roman"/>
          <w:sz w:val="24"/>
          <w:szCs w:val="24"/>
        </w:rPr>
        <w:t>Table 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Additional Analysis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523D4" w:rsidRPr="00C00E52">
        <w:rPr>
          <w:rFonts w:ascii="Times New Roman" w:hAnsi="Times New Roman" w:cs="Times New Roman"/>
          <w:sz w:val="24"/>
          <w:szCs w:val="24"/>
        </w:rPr>
        <w:tab/>
        <w:t xml:space="preserve">Page </w:t>
      </w:r>
      <w:r w:rsidR="000165E8">
        <w:rPr>
          <w:rFonts w:ascii="Times New Roman" w:hAnsi="Times New Roman" w:cs="Times New Roman"/>
          <w:sz w:val="24"/>
          <w:szCs w:val="24"/>
        </w:rPr>
        <w:t>59</w:t>
      </w:r>
    </w:p>
    <w:p w14:paraId="3F1DDA78" w14:textId="1CBC8175" w:rsidR="008D16D5" w:rsidRDefault="008D16D5" w:rsidP="008D16D5">
      <w:pPr>
        <w:spacing w:after="0"/>
        <w:rPr>
          <w:rFonts w:ascii="Times New Roman" w:hAnsi="Times New Roman" w:cs="Times New Roman"/>
          <w:sz w:val="24"/>
          <w:szCs w:val="24"/>
        </w:rPr>
      </w:pPr>
    </w:p>
    <w:p w14:paraId="06BF26C5" w14:textId="6CD7EFE6" w:rsidR="008D16D5" w:rsidRPr="00C00E52" w:rsidRDefault="008D16D5" w:rsidP="008D16D5">
      <w:pPr>
        <w:spacing w:after="0"/>
        <w:rPr>
          <w:rFonts w:ascii="Times New Roman" w:hAnsi="Times New Roman" w:cs="Times New Roman"/>
          <w:sz w:val="24"/>
          <w:szCs w:val="24"/>
        </w:rPr>
      </w:pPr>
      <w:r>
        <w:rPr>
          <w:rFonts w:ascii="Times New Roman" w:hAnsi="Times New Roman" w:cs="Times New Roman"/>
          <w:sz w:val="24"/>
          <w:szCs w:val="24"/>
        </w:rPr>
        <w:t>Table 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Over</w:t>
      </w:r>
      <w:r w:rsidR="000165E8">
        <w:rPr>
          <w:rFonts w:ascii="Times New Roman" w:hAnsi="Times New Roman" w:cs="Times New Roman"/>
          <w:sz w:val="24"/>
          <w:szCs w:val="24"/>
        </w:rPr>
        <w:t>all Disclosure Quality</w:t>
      </w:r>
      <w:r w:rsidR="000165E8">
        <w:rPr>
          <w:rFonts w:ascii="Times New Roman" w:hAnsi="Times New Roman" w:cs="Times New Roman"/>
          <w:sz w:val="24"/>
          <w:szCs w:val="24"/>
        </w:rPr>
        <w:tab/>
      </w:r>
      <w:r w:rsidR="000165E8">
        <w:rPr>
          <w:rFonts w:ascii="Times New Roman" w:hAnsi="Times New Roman" w:cs="Times New Roman"/>
          <w:sz w:val="24"/>
          <w:szCs w:val="24"/>
        </w:rPr>
        <w:tab/>
      </w:r>
      <w:r w:rsidR="000165E8">
        <w:rPr>
          <w:rFonts w:ascii="Times New Roman" w:hAnsi="Times New Roman" w:cs="Times New Roman"/>
          <w:sz w:val="24"/>
          <w:szCs w:val="24"/>
        </w:rPr>
        <w:tab/>
        <w:t>Page 60</w:t>
      </w:r>
    </w:p>
    <w:p w14:paraId="729352EE" w14:textId="77777777" w:rsidR="00BA6890" w:rsidRDefault="00BA6890" w:rsidP="00BA6890">
      <w:pPr>
        <w:rPr>
          <w:rFonts w:ascii="Times New Roman" w:hAnsi="Times New Roman" w:cs="Times New Roman"/>
          <w:b/>
          <w:sz w:val="24"/>
          <w:szCs w:val="24"/>
        </w:rPr>
        <w:sectPr w:rsidR="00BA6890" w:rsidSect="0098035A">
          <w:footerReference w:type="default" r:id="rId8"/>
          <w:footerReference w:type="first" r:id="rId9"/>
          <w:pgSz w:w="12240" w:h="15840" w:code="1"/>
          <w:pgMar w:top="1440" w:right="1440" w:bottom="1440" w:left="1440" w:header="720" w:footer="720" w:gutter="0"/>
          <w:pgNumType w:fmt="lowerRoman" w:start="1"/>
          <w:cols w:space="720"/>
          <w:titlePg/>
          <w:docGrid w:linePitch="360"/>
        </w:sectPr>
      </w:pPr>
      <w:r>
        <w:rPr>
          <w:rFonts w:ascii="Times New Roman" w:hAnsi="Times New Roman" w:cs="Times New Roman"/>
          <w:b/>
          <w:sz w:val="24"/>
          <w:szCs w:val="24"/>
        </w:rPr>
        <w:br w:type="page"/>
      </w:r>
    </w:p>
    <w:p w14:paraId="7F438F3C" w14:textId="77777777" w:rsidR="007A2E6C" w:rsidRPr="0060011B" w:rsidRDefault="005B6482" w:rsidP="0017501A">
      <w:pPr>
        <w:spacing w:after="0" w:line="480" w:lineRule="auto"/>
        <w:jc w:val="both"/>
        <w:rPr>
          <w:rFonts w:ascii="Times New Roman" w:hAnsi="Times New Roman" w:cs="Times New Roman"/>
          <w:b/>
          <w:sz w:val="24"/>
          <w:szCs w:val="24"/>
        </w:rPr>
      </w:pPr>
      <w:r w:rsidRPr="0060011B">
        <w:rPr>
          <w:rFonts w:ascii="Times New Roman" w:hAnsi="Times New Roman" w:cs="Times New Roman"/>
          <w:b/>
          <w:sz w:val="24"/>
          <w:szCs w:val="24"/>
        </w:rPr>
        <w:t xml:space="preserve">I. </w:t>
      </w:r>
      <w:r w:rsidR="00B82EB2" w:rsidRPr="0060011B">
        <w:rPr>
          <w:rFonts w:ascii="Times New Roman" w:hAnsi="Times New Roman" w:cs="Times New Roman"/>
          <w:b/>
          <w:sz w:val="24"/>
          <w:szCs w:val="24"/>
        </w:rPr>
        <w:t>Introduction</w:t>
      </w:r>
    </w:p>
    <w:p w14:paraId="0E2043A0" w14:textId="77777777" w:rsidR="00340A0A"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My study examines </w:t>
      </w:r>
      <w:r>
        <w:rPr>
          <w:rFonts w:ascii="Times New Roman" w:hAnsi="Times New Roman" w:cs="Times New Roman"/>
          <w:sz w:val="24"/>
          <w:szCs w:val="24"/>
        </w:rPr>
        <w:t xml:space="preserve">how firms respond to mandatory increases in disclosure to the </w:t>
      </w:r>
      <w:r w:rsidRPr="00383E5D">
        <w:rPr>
          <w:rFonts w:ascii="Times New Roman" w:hAnsi="Times New Roman" w:cs="Times New Roman"/>
          <w:sz w:val="24"/>
          <w:szCs w:val="24"/>
        </w:rPr>
        <w:t xml:space="preserve">Internal Revenue Service (IRS).  Specifically, I examine how increased private tax return reporting via IRS Schedule UTP (Uncertain Tax Position) impacts the public financial statement tax disclosure quality of reserves for uncertain tax positions.  </w:t>
      </w:r>
      <w:r>
        <w:rPr>
          <w:rFonts w:ascii="Times New Roman" w:hAnsi="Times New Roman" w:cs="Times New Roman"/>
          <w:sz w:val="24"/>
          <w:szCs w:val="24"/>
        </w:rPr>
        <w:t>I</w:t>
      </w:r>
      <w:r w:rsidRPr="00383E5D">
        <w:rPr>
          <w:rFonts w:ascii="Times New Roman" w:hAnsi="Times New Roman" w:cs="Times New Roman"/>
          <w:sz w:val="24"/>
          <w:szCs w:val="24"/>
        </w:rPr>
        <w:t xml:space="preserve">nformation on Schedule UTP paired with high quality financial statement </w:t>
      </w:r>
      <w:r>
        <w:rPr>
          <w:rFonts w:ascii="Times New Roman" w:hAnsi="Times New Roman" w:cs="Times New Roman"/>
          <w:sz w:val="24"/>
          <w:szCs w:val="24"/>
        </w:rPr>
        <w:t xml:space="preserve">disclosures required under </w:t>
      </w:r>
      <w:r w:rsidRPr="00383E5D">
        <w:rPr>
          <w:rFonts w:ascii="Times New Roman" w:hAnsi="Times New Roman" w:cs="Times New Roman"/>
          <w:sz w:val="24"/>
          <w:szCs w:val="24"/>
        </w:rPr>
        <w:t xml:space="preserve">Financial Accounting Standards Board Interpretation </w:t>
      </w:r>
      <w:r>
        <w:rPr>
          <w:rFonts w:ascii="Times New Roman" w:hAnsi="Times New Roman" w:cs="Times New Roman"/>
          <w:sz w:val="24"/>
          <w:szCs w:val="24"/>
        </w:rPr>
        <w:t xml:space="preserve">No. 48 </w:t>
      </w:r>
      <w:r w:rsidRPr="00383E5D">
        <w:rPr>
          <w:rFonts w:ascii="Times New Roman" w:hAnsi="Times New Roman" w:cs="Times New Roman"/>
          <w:sz w:val="24"/>
          <w:szCs w:val="24"/>
        </w:rPr>
        <w:t>(FIN 48) potentially increases firms’ proprietary costs</w:t>
      </w:r>
      <w:r>
        <w:rPr>
          <w:rFonts w:ascii="Times New Roman" w:hAnsi="Times New Roman" w:cs="Times New Roman"/>
          <w:sz w:val="24"/>
          <w:szCs w:val="24"/>
        </w:rPr>
        <w:t xml:space="preserve"> because increased disclosure </w:t>
      </w:r>
      <w:r w:rsidRPr="00383E5D">
        <w:rPr>
          <w:rFonts w:ascii="Times New Roman" w:hAnsi="Times New Roman" w:cs="Times New Roman"/>
          <w:sz w:val="24"/>
          <w:szCs w:val="24"/>
        </w:rPr>
        <w:t>reduce</w:t>
      </w:r>
      <w:r>
        <w:rPr>
          <w:rFonts w:ascii="Times New Roman" w:hAnsi="Times New Roman" w:cs="Times New Roman"/>
          <w:sz w:val="24"/>
          <w:szCs w:val="24"/>
        </w:rPr>
        <w:t>s the firms’</w:t>
      </w:r>
      <w:r w:rsidRPr="00383E5D">
        <w:rPr>
          <w:rFonts w:ascii="Times New Roman" w:hAnsi="Times New Roman" w:cs="Times New Roman"/>
          <w:sz w:val="24"/>
          <w:szCs w:val="24"/>
        </w:rPr>
        <w:t xml:space="preserve"> ability to effectively negotiate with the IRS regarding their uncertain tax positions.  In what is likely an unintended consequence of the IRS mandate to increase tax return reporting, firms could seek to minimize proprietary costs by decreasing their FIN 48 disclosure quality</w:t>
      </w:r>
      <w:r>
        <w:rPr>
          <w:rFonts w:ascii="Times New Roman" w:hAnsi="Times New Roman" w:cs="Times New Roman"/>
          <w:sz w:val="24"/>
          <w:szCs w:val="24"/>
        </w:rPr>
        <w:t xml:space="preserve"> in order </w:t>
      </w:r>
      <w:r w:rsidRPr="00383E5D">
        <w:rPr>
          <w:rFonts w:ascii="Times New Roman" w:hAnsi="Times New Roman" w:cs="Times New Roman"/>
          <w:sz w:val="24"/>
          <w:szCs w:val="24"/>
        </w:rPr>
        <w:t>to limit the public information available to the IRS about their uncertain tax positions.</w:t>
      </w:r>
      <w:r w:rsidRPr="00383E5D">
        <w:rPr>
          <w:rStyle w:val="FootnoteReference"/>
          <w:rFonts w:ascii="Times New Roman" w:hAnsi="Times New Roman" w:cs="Times New Roman"/>
          <w:sz w:val="24"/>
          <w:szCs w:val="24"/>
        </w:rPr>
        <w:footnoteReference w:id="1"/>
      </w:r>
      <w:r w:rsidRPr="00383E5D">
        <w:rPr>
          <w:rFonts w:ascii="Times New Roman" w:hAnsi="Times New Roman" w:cs="Times New Roman"/>
          <w:sz w:val="24"/>
          <w:szCs w:val="24"/>
        </w:rPr>
        <w:t xml:space="preserve">  </w:t>
      </w:r>
      <w:r>
        <w:rPr>
          <w:rFonts w:ascii="Times New Roman" w:hAnsi="Times New Roman" w:cs="Times New Roman"/>
          <w:sz w:val="24"/>
          <w:szCs w:val="24"/>
        </w:rPr>
        <w:t>This is important b</w:t>
      </w:r>
      <w:r w:rsidRPr="00FB3D1E">
        <w:rPr>
          <w:rFonts w:ascii="Times New Roman" w:hAnsi="Times New Roman" w:cs="Times New Roman"/>
          <w:sz w:val="24"/>
          <w:szCs w:val="24"/>
        </w:rPr>
        <w:t xml:space="preserve">ecause investors are generally unable to access corporate tax returns to obtain information </w:t>
      </w:r>
      <w:r>
        <w:rPr>
          <w:rFonts w:ascii="Times New Roman" w:hAnsi="Times New Roman" w:cs="Times New Roman"/>
          <w:sz w:val="24"/>
          <w:szCs w:val="24"/>
        </w:rPr>
        <w:t>for</w:t>
      </w:r>
      <w:r w:rsidRPr="00FB3D1E">
        <w:rPr>
          <w:rFonts w:ascii="Times New Roman" w:hAnsi="Times New Roman" w:cs="Times New Roman"/>
          <w:sz w:val="24"/>
          <w:szCs w:val="24"/>
        </w:rPr>
        <w:t xml:space="preserve"> evaluat</w:t>
      </w:r>
      <w:r>
        <w:rPr>
          <w:rFonts w:ascii="Times New Roman" w:hAnsi="Times New Roman" w:cs="Times New Roman"/>
          <w:sz w:val="24"/>
          <w:szCs w:val="24"/>
        </w:rPr>
        <w:t>ing</w:t>
      </w:r>
      <w:r w:rsidRPr="00FB3D1E">
        <w:rPr>
          <w:rFonts w:ascii="Times New Roman" w:hAnsi="Times New Roman" w:cs="Times New Roman"/>
          <w:sz w:val="24"/>
          <w:szCs w:val="24"/>
        </w:rPr>
        <w:t xml:space="preserve"> a </w:t>
      </w:r>
      <w:r>
        <w:rPr>
          <w:rFonts w:ascii="Times New Roman" w:hAnsi="Times New Roman" w:cs="Times New Roman"/>
          <w:sz w:val="24"/>
          <w:szCs w:val="24"/>
        </w:rPr>
        <w:t>firm</w:t>
      </w:r>
      <w:r w:rsidRPr="00FB3D1E">
        <w:rPr>
          <w:rFonts w:ascii="Times New Roman" w:hAnsi="Times New Roman" w:cs="Times New Roman"/>
          <w:sz w:val="24"/>
          <w:szCs w:val="24"/>
        </w:rPr>
        <w:t>’s tax strategies</w:t>
      </w:r>
      <w:r w:rsidRPr="00FB3D1E">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and </w:t>
      </w:r>
      <w:r w:rsidRPr="00FB3D1E">
        <w:rPr>
          <w:rFonts w:ascii="Times New Roman" w:hAnsi="Times New Roman" w:cs="Times New Roman"/>
          <w:sz w:val="24"/>
          <w:szCs w:val="24"/>
        </w:rPr>
        <w:t>FIN 48 disclosure</w:t>
      </w:r>
      <w:r>
        <w:rPr>
          <w:rFonts w:ascii="Times New Roman" w:hAnsi="Times New Roman" w:cs="Times New Roman"/>
          <w:sz w:val="24"/>
          <w:szCs w:val="24"/>
        </w:rPr>
        <w:t xml:space="preserve"> is </w:t>
      </w:r>
      <w:r w:rsidRPr="00FB3D1E">
        <w:rPr>
          <w:rFonts w:ascii="Times New Roman" w:hAnsi="Times New Roman" w:cs="Times New Roman"/>
          <w:sz w:val="24"/>
          <w:szCs w:val="24"/>
        </w:rPr>
        <w:t>the primary source of information for investors to assess a firm’s uncertain tax positions</w:t>
      </w:r>
      <w:r>
        <w:rPr>
          <w:rFonts w:ascii="Times New Roman" w:hAnsi="Times New Roman" w:cs="Times New Roman"/>
          <w:sz w:val="24"/>
          <w:szCs w:val="24"/>
        </w:rPr>
        <w:t>.</w:t>
      </w:r>
      <w:r w:rsidRPr="00FB3D1E">
        <w:rPr>
          <w:rFonts w:ascii="Times New Roman" w:hAnsi="Times New Roman" w:cs="Times New Roman"/>
          <w:sz w:val="24"/>
          <w:szCs w:val="24"/>
        </w:rPr>
        <w:t xml:space="preserve"> </w:t>
      </w:r>
    </w:p>
    <w:p w14:paraId="06CF1071" w14:textId="2BD010EA" w:rsidR="00340A0A"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In 2010, the IRS implemented Schedule UTP to increase the efficiency of corporate taxpayer audits (Shulman 2010).  Due to the nature of Schedule UTP reporting, its efficacy at increasing IRS audit efficiency </w:t>
      </w:r>
      <w:r>
        <w:rPr>
          <w:rFonts w:ascii="Times New Roman" w:hAnsi="Times New Roman" w:cs="Times New Roman"/>
          <w:sz w:val="24"/>
          <w:szCs w:val="24"/>
        </w:rPr>
        <w:t xml:space="preserve">should depend </w:t>
      </w:r>
      <w:r w:rsidRPr="00383E5D">
        <w:rPr>
          <w:rFonts w:ascii="Times New Roman" w:hAnsi="Times New Roman" w:cs="Times New Roman"/>
          <w:sz w:val="24"/>
          <w:szCs w:val="24"/>
        </w:rPr>
        <w:t>on its interaction and overlap with public disclosures of uncertain tax positions, and</w:t>
      </w:r>
      <w:r>
        <w:rPr>
          <w:rFonts w:ascii="Times New Roman" w:hAnsi="Times New Roman" w:cs="Times New Roman"/>
          <w:sz w:val="24"/>
          <w:szCs w:val="24"/>
        </w:rPr>
        <w:t xml:space="preserve"> with</w:t>
      </w:r>
      <w:r w:rsidRPr="00383E5D">
        <w:rPr>
          <w:rFonts w:ascii="Times New Roman" w:hAnsi="Times New Roman" w:cs="Times New Roman"/>
          <w:sz w:val="24"/>
          <w:szCs w:val="24"/>
        </w:rPr>
        <w:t xml:space="preserve"> the quality of those disclosures.  For example, Sch</w:t>
      </w:r>
      <w:r>
        <w:rPr>
          <w:rFonts w:ascii="Times New Roman" w:hAnsi="Times New Roman" w:cs="Times New Roman"/>
          <w:sz w:val="24"/>
          <w:szCs w:val="24"/>
        </w:rPr>
        <w:t xml:space="preserve">edule UTP </w:t>
      </w:r>
      <w:r w:rsidRPr="00383E5D">
        <w:rPr>
          <w:rFonts w:ascii="Times New Roman" w:hAnsi="Times New Roman" w:cs="Times New Roman"/>
          <w:sz w:val="24"/>
          <w:szCs w:val="24"/>
        </w:rPr>
        <w:t xml:space="preserve">requires a firm to disclose a concise narrative description, but not the magnitude, </w:t>
      </w:r>
      <w:r>
        <w:rPr>
          <w:rFonts w:ascii="Times New Roman" w:hAnsi="Times New Roman" w:cs="Times New Roman"/>
          <w:sz w:val="24"/>
          <w:szCs w:val="24"/>
        </w:rPr>
        <w:t>of</w:t>
      </w:r>
      <w:r w:rsidRPr="00383E5D">
        <w:rPr>
          <w:rFonts w:ascii="Times New Roman" w:hAnsi="Times New Roman" w:cs="Times New Roman"/>
          <w:sz w:val="24"/>
          <w:szCs w:val="24"/>
        </w:rPr>
        <w:t xml:space="preserve"> each federal uncertain tax position included in its FIN 48 reserves.  As a result, FIN 48 reserves and related disclosures are the only way the IRS can ascertain </w:t>
      </w:r>
      <w:r>
        <w:rPr>
          <w:rFonts w:ascii="Times New Roman" w:hAnsi="Times New Roman" w:cs="Times New Roman"/>
          <w:sz w:val="24"/>
          <w:szCs w:val="24"/>
        </w:rPr>
        <w:t xml:space="preserve">the </w:t>
      </w:r>
      <w:r w:rsidRPr="00383E5D">
        <w:rPr>
          <w:rFonts w:ascii="Times New Roman" w:hAnsi="Times New Roman" w:cs="Times New Roman"/>
          <w:sz w:val="24"/>
          <w:szCs w:val="24"/>
        </w:rPr>
        <w:t>economic magni</w:t>
      </w:r>
      <w:r>
        <w:rPr>
          <w:rFonts w:ascii="Times New Roman" w:hAnsi="Times New Roman" w:cs="Times New Roman"/>
          <w:sz w:val="24"/>
          <w:szCs w:val="24"/>
        </w:rPr>
        <w:t>tude of these uncertain tax positions</w:t>
      </w:r>
      <w:r w:rsidRPr="00383E5D">
        <w:rPr>
          <w:rFonts w:ascii="Times New Roman" w:hAnsi="Times New Roman" w:cs="Times New Roman"/>
          <w:sz w:val="24"/>
          <w:szCs w:val="24"/>
        </w:rPr>
        <w:t>.</w:t>
      </w:r>
      <w:r w:rsidRPr="00383E5D">
        <w:rPr>
          <w:rStyle w:val="FootnoteReference"/>
          <w:rFonts w:ascii="Times New Roman" w:hAnsi="Times New Roman" w:cs="Times New Roman"/>
          <w:sz w:val="24"/>
          <w:szCs w:val="24"/>
        </w:rPr>
        <w:t xml:space="preserve"> </w:t>
      </w:r>
      <w:r w:rsidRPr="00383E5D">
        <w:rPr>
          <w:rStyle w:val="FootnoteReference"/>
          <w:rFonts w:ascii="Times New Roman" w:hAnsi="Times New Roman" w:cs="Times New Roman"/>
          <w:sz w:val="24"/>
          <w:szCs w:val="24"/>
        </w:rPr>
        <w:footnoteReference w:id="3"/>
      </w:r>
      <w:r w:rsidRPr="00383E5D">
        <w:rPr>
          <w:rFonts w:ascii="Times New Roman" w:hAnsi="Times New Roman" w:cs="Times New Roman"/>
          <w:sz w:val="24"/>
          <w:szCs w:val="24"/>
        </w:rPr>
        <w:t xml:space="preserve">  </w:t>
      </w:r>
      <w:r>
        <w:rPr>
          <w:rFonts w:ascii="Times New Roman" w:hAnsi="Times New Roman" w:cs="Times New Roman"/>
          <w:sz w:val="24"/>
          <w:szCs w:val="24"/>
        </w:rPr>
        <w:t>In fact,</w:t>
      </w:r>
      <w:r w:rsidRPr="00383E5D">
        <w:rPr>
          <w:rFonts w:ascii="Times New Roman" w:hAnsi="Times New Roman" w:cs="Times New Roman"/>
          <w:sz w:val="24"/>
          <w:szCs w:val="24"/>
        </w:rPr>
        <w:t xml:space="preserve"> the IRS instructs its examiners to carefully review and analyze financial statement tax disclosures as a part of the audit planning process.</w:t>
      </w:r>
      <w:r w:rsidRPr="00383E5D">
        <w:rPr>
          <w:rStyle w:val="FootnoteReference"/>
          <w:rFonts w:ascii="Times New Roman" w:hAnsi="Times New Roman" w:cs="Times New Roman"/>
          <w:sz w:val="24"/>
          <w:szCs w:val="24"/>
        </w:rPr>
        <w:footnoteReference w:id="4"/>
      </w:r>
      <w:r w:rsidRPr="00383E5D">
        <w:rPr>
          <w:rFonts w:ascii="Times New Roman" w:hAnsi="Times New Roman" w:cs="Times New Roman"/>
          <w:sz w:val="24"/>
          <w:szCs w:val="24"/>
        </w:rPr>
        <w:t xml:space="preserve">  </w:t>
      </w:r>
      <w:r>
        <w:rPr>
          <w:rFonts w:ascii="Times New Roman" w:hAnsi="Times New Roman" w:cs="Times New Roman"/>
          <w:sz w:val="24"/>
          <w:szCs w:val="24"/>
        </w:rPr>
        <w:t>This is important because the</w:t>
      </w:r>
      <w:r w:rsidRPr="00383E5D">
        <w:rPr>
          <w:rFonts w:ascii="Times New Roman" w:hAnsi="Times New Roman" w:cs="Times New Roman"/>
          <w:sz w:val="24"/>
          <w:szCs w:val="24"/>
        </w:rPr>
        <w:t xml:space="preserve"> IRS faces constrained resources, budget</w:t>
      </w:r>
      <w:r>
        <w:rPr>
          <w:rFonts w:ascii="Times New Roman" w:hAnsi="Times New Roman" w:cs="Times New Roman"/>
          <w:sz w:val="24"/>
          <w:szCs w:val="24"/>
        </w:rPr>
        <w:t>,</w:t>
      </w:r>
      <w:r w:rsidRPr="00383E5D">
        <w:rPr>
          <w:rFonts w:ascii="Times New Roman" w:hAnsi="Times New Roman" w:cs="Times New Roman"/>
          <w:sz w:val="24"/>
          <w:szCs w:val="24"/>
        </w:rPr>
        <w:t xml:space="preserve"> and staffing (</w:t>
      </w:r>
      <w:r w:rsidR="00954734">
        <w:rPr>
          <w:rFonts w:ascii="Times New Roman" w:hAnsi="Times New Roman" w:cs="Times New Roman"/>
          <w:sz w:val="24"/>
          <w:szCs w:val="24"/>
        </w:rPr>
        <w:t>Nessa</w:t>
      </w:r>
      <w:r w:rsidR="00954734" w:rsidRPr="00954734">
        <w:rPr>
          <w:rFonts w:ascii="Times New Roman" w:hAnsi="Times New Roman" w:cs="Times New Roman"/>
          <w:sz w:val="24"/>
          <w:szCs w:val="24"/>
        </w:rPr>
        <w:t>,</w:t>
      </w:r>
      <w:r w:rsidR="00954734">
        <w:rPr>
          <w:rFonts w:ascii="Times New Roman" w:hAnsi="Times New Roman" w:cs="Times New Roman"/>
          <w:sz w:val="24"/>
          <w:szCs w:val="24"/>
        </w:rPr>
        <w:t xml:space="preserve"> Schwab, </w:t>
      </w:r>
      <w:proofErr w:type="spellStart"/>
      <w:r w:rsidR="00954734">
        <w:rPr>
          <w:rFonts w:ascii="Times New Roman" w:hAnsi="Times New Roman" w:cs="Times New Roman"/>
          <w:sz w:val="24"/>
          <w:szCs w:val="24"/>
        </w:rPr>
        <w:t>Stomberg</w:t>
      </w:r>
      <w:proofErr w:type="spellEnd"/>
      <w:r w:rsidR="00954734">
        <w:rPr>
          <w:rFonts w:ascii="Times New Roman" w:hAnsi="Times New Roman" w:cs="Times New Roman"/>
          <w:sz w:val="24"/>
          <w:szCs w:val="24"/>
        </w:rPr>
        <w:t xml:space="preserve">, and </w:t>
      </w:r>
      <w:r w:rsidR="00954734" w:rsidRPr="00954734">
        <w:rPr>
          <w:rFonts w:ascii="Times New Roman" w:hAnsi="Times New Roman" w:cs="Times New Roman"/>
          <w:sz w:val="24"/>
          <w:szCs w:val="24"/>
        </w:rPr>
        <w:t>Towery 2016</w:t>
      </w:r>
      <w:r w:rsidR="00954734">
        <w:rPr>
          <w:rFonts w:ascii="Times New Roman" w:hAnsi="Times New Roman" w:cs="Times New Roman"/>
          <w:sz w:val="24"/>
          <w:szCs w:val="24"/>
        </w:rPr>
        <w:t xml:space="preserve">; </w:t>
      </w:r>
      <w:r w:rsidRPr="00383E5D">
        <w:rPr>
          <w:rFonts w:ascii="Times New Roman" w:hAnsi="Times New Roman" w:cs="Times New Roman"/>
          <w:sz w:val="24"/>
          <w:szCs w:val="24"/>
        </w:rPr>
        <w:t>Marr, Friedman</w:t>
      </w:r>
      <w:r>
        <w:rPr>
          <w:rFonts w:ascii="Times New Roman" w:hAnsi="Times New Roman" w:cs="Times New Roman"/>
          <w:sz w:val="24"/>
          <w:szCs w:val="24"/>
        </w:rPr>
        <w:t>,</w:t>
      </w:r>
      <w:r w:rsidRPr="00383E5D">
        <w:rPr>
          <w:rFonts w:ascii="Times New Roman" w:hAnsi="Times New Roman" w:cs="Times New Roman"/>
          <w:sz w:val="24"/>
          <w:szCs w:val="24"/>
        </w:rPr>
        <w:t xml:space="preserve"> and </w:t>
      </w:r>
      <w:proofErr w:type="spellStart"/>
      <w:r w:rsidRPr="00383E5D">
        <w:rPr>
          <w:rFonts w:ascii="Times New Roman" w:hAnsi="Times New Roman" w:cs="Times New Roman"/>
          <w:sz w:val="24"/>
          <w:szCs w:val="24"/>
        </w:rPr>
        <w:t>DeBot</w:t>
      </w:r>
      <w:proofErr w:type="spellEnd"/>
      <w:r w:rsidRPr="00383E5D">
        <w:rPr>
          <w:rFonts w:ascii="Times New Roman" w:hAnsi="Times New Roman" w:cs="Times New Roman"/>
          <w:sz w:val="24"/>
          <w:szCs w:val="24"/>
        </w:rPr>
        <w:t xml:space="preserve"> 2015).  </w:t>
      </w:r>
    </w:p>
    <w:p w14:paraId="50B6852F"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Evidence supports the assertion that the financial statement disclosure for uncertain tax positions is important for the IRS and that this importance increased subsequent to the promulgation of Schedule UTP.  Specifically,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Hoopes, </w:t>
      </w:r>
      <w:proofErr w:type="spellStart"/>
      <w:r w:rsidRPr="00383E5D">
        <w:rPr>
          <w:rFonts w:ascii="Times New Roman" w:hAnsi="Times New Roman" w:cs="Times New Roman"/>
          <w:sz w:val="24"/>
          <w:szCs w:val="24"/>
        </w:rPr>
        <w:t>Thornock</w:t>
      </w:r>
      <w:proofErr w:type="spellEnd"/>
      <w:r w:rsidRPr="00383E5D">
        <w:rPr>
          <w:rFonts w:ascii="Times New Roman" w:hAnsi="Times New Roman" w:cs="Times New Roman"/>
          <w:sz w:val="24"/>
          <w:szCs w:val="24"/>
        </w:rPr>
        <w:t>, and Williams (2017) find that the IRS more than tripled its</w:t>
      </w:r>
      <w:r>
        <w:rPr>
          <w:rFonts w:ascii="Times New Roman" w:hAnsi="Times New Roman" w:cs="Times New Roman"/>
          <w:sz w:val="24"/>
          <w:szCs w:val="24"/>
        </w:rPr>
        <w:t xml:space="preserve"> </w:t>
      </w:r>
      <w:r w:rsidRPr="00383E5D">
        <w:rPr>
          <w:rFonts w:ascii="Times New Roman" w:hAnsi="Times New Roman" w:cs="Times New Roman"/>
          <w:sz w:val="24"/>
          <w:szCs w:val="24"/>
        </w:rPr>
        <w:t>downloads of 10-K annual financial statement filings follow</w:t>
      </w:r>
      <w:r>
        <w:rPr>
          <w:rFonts w:ascii="Times New Roman" w:hAnsi="Times New Roman" w:cs="Times New Roman"/>
          <w:sz w:val="24"/>
          <w:szCs w:val="24"/>
        </w:rPr>
        <w:t>ing the 2007 adoption of FIN 48.  Furthermore,</w:t>
      </w:r>
      <w:r w:rsidRPr="00383E5D">
        <w:rPr>
          <w:rFonts w:ascii="Times New Roman" w:hAnsi="Times New Roman" w:cs="Times New Roman"/>
          <w:sz w:val="24"/>
          <w:szCs w:val="24"/>
        </w:rPr>
        <w:t xml:space="preserve">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find a more than fifty percent increase in the number of 2010 10-K filings that the IRS downloaded in 2011 following the 2010 adoption of Schedule UTP.  </w:t>
      </w:r>
    </w:p>
    <w:p w14:paraId="05203684"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rPr>
        <w:t xml:space="preserve">Consistent with firms perceiving Schedule UTP to increase proprietary costs, my results show that FIN 48 disclosure quality declines following the 2010 adoption of IRS Schedule UTP.  </w:t>
      </w:r>
      <w:r w:rsidRPr="00383E5D">
        <w:rPr>
          <w:rFonts w:ascii="Times New Roman" w:hAnsi="Times New Roman" w:cs="Times New Roman"/>
          <w:sz w:val="24"/>
          <w:szCs w:val="24"/>
        </w:rPr>
        <w:t xml:space="preserve">I find that firms maintain their compliance with the mandatory components of FIN 48 disclosure while decreasing discretionary disclosures.  </w:t>
      </w:r>
      <w:r>
        <w:rPr>
          <w:rFonts w:ascii="Times New Roman" w:hAnsi="Times New Roman" w:cs="Times New Roman"/>
          <w:sz w:val="24"/>
          <w:szCs w:val="24"/>
        </w:rPr>
        <w:t>Additionally</w:t>
      </w:r>
      <w:r w:rsidRPr="00383E5D">
        <w:rPr>
          <w:rFonts w:ascii="Times New Roman" w:hAnsi="Times New Roman" w:cs="Times New Roman"/>
          <w:sz w:val="24"/>
          <w:szCs w:val="24"/>
        </w:rPr>
        <w:t xml:space="preserve">, I find that while firms continue to comply with mandatory components of FIN 48 disclosure, firms change how they comply.  For example, firms are less likely to include numerical estimates in their </w:t>
      </w:r>
      <w:r>
        <w:rPr>
          <w:rFonts w:ascii="Times New Roman" w:hAnsi="Times New Roman" w:cs="Times New Roman"/>
          <w:sz w:val="24"/>
          <w:szCs w:val="24"/>
        </w:rPr>
        <w:t xml:space="preserve">mandatory </w:t>
      </w:r>
      <w:r w:rsidRPr="00383E5D">
        <w:rPr>
          <w:rFonts w:ascii="Times New Roman" w:hAnsi="Times New Roman" w:cs="Times New Roman"/>
          <w:sz w:val="24"/>
          <w:szCs w:val="24"/>
        </w:rPr>
        <w:t>discussions of expected changes to FIN 48 reserve balances.</w:t>
      </w:r>
      <w:r>
        <w:rPr>
          <w:rStyle w:val="FootnoteReference"/>
          <w:rFonts w:ascii="Times New Roman" w:hAnsi="Times New Roman" w:cs="Times New Roman"/>
          <w:sz w:val="24"/>
          <w:szCs w:val="24"/>
        </w:rPr>
        <w:footnoteReference w:id="5"/>
      </w:r>
      <w:r w:rsidRPr="00383E5D">
        <w:rPr>
          <w:rFonts w:ascii="Times New Roman" w:hAnsi="Times New Roman" w:cs="Times New Roman"/>
          <w:sz w:val="24"/>
          <w:szCs w:val="24"/>
        </w:rPr>
        <w:t xml:space="preserve">  </w:t>
      </w:r>
    </w:p>
    <w:p w14:paraId="3FD822A5"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My results suggest that regulators should consider how firm discretion impacts disclosure quality and how firm discretion allows firms to comply with the letter of the law without fulfilling the spirit of the law.  This consideration is relevant as the Financial Accounting Foundation (FAF) proposes allowing firms the discretion to determine the materiality threshold for reporting FIN 48 reserves and removing the requirement for a tabular reconciliation of FIN 48 reserves.  A recent conversation with FAF staff reveals that </w:t>
      </w:r>
      <w:r>
        <w:rPr>
          <w:rFonts w:ascii="Times New Roman" w:hAnsi="Times New Roman" w:cs="Times New Roman"/>
          <w:sz w:val="24"/>
          <w:szCs w:val="24"/>
        </w:rPr>
        <w:t>they are not</w:t>
      </w:r>
      <w:r w:rsidRPr="00383E5D">
        <w:rPr>
          <w:rFonts w:ascii="Times New Roman" w:hAnsi="Times New Roman" w:cs="Times New Roman"/>
          <w:sz w:val="24"/>
          <w:szCs w:val="24"/>
        </w:rPr>
        <w:t xml:space="preserve"> concern</w:t>
      </w:r>
      <w:r>
        <w:rPr>
          <w:rFonts w:ascii="Times New Roman" w:hAnsi="Times New Roman" w:cs="Times New Roman"/>
          <w:sz w:val="24"/>
          <w:szCs w:val="24"/>
        </w:rPr>
        <w:t>ed</w:t>
      </w:r>
      <w:r w:rsidRPr="00383E5D">
        <w:rPr>
          <w:rFonts w:ascii="Times New Roman" w:hAnsi="Times New Roman" w:cs="Times New Roman"/>
          <w:sz w:val="24"/>
          <w:szCs w:val="24"/>
        </w:rPr>
        <w:t xml:space="preserve"> that information will be lost if more firm discretion is allowed regarding how firms comply with FIN 48 disclosure requirements.  The FAF anticipates that if given more discretion, firms will focus on providing more information on their most material transactions.  My results suggest that this prediction is</w:t>
      </w:r>
      <w:r>
        <w:rPr>
          <w:rFonts w:ascii="Times New Roman" w:hAnsi="Times New Roman" w:cs="Times New Roman"/>
          <w:sz w:val="24"/>
          <w:szCs w:val="24"/>
        </w:rPr>
        <w:t xml:space="preserve"> unlikely</w:t>
      </w:r>
      <w:r w:rsidRPr="00383E5D">
        <w:rPr>
          <w:rFonts w:ascii="Times New Roman" w:hAnsi="Times New Roman" w:cs="Times New Roman"/>
          <w:sz w:val="24"/>
          <w:szCs w:val="24"/>
        </w:rPr>
        <w:t xml:space="preserve">.  My findings show that firms exercise discretion to reduce FIN 48 disclosure quality.  My results are consistent with </w:t>
      </w:r>
      <w:r>
        <w:rPr>
          <w:rFonts w:ascii="Times New Roman" w:hAnsi="Times New Roman" w:cs="Times New Roman"/>
          <w:sz w:val="24"/>
          <w:szCs w:val="24"/>
        </w:rPr>
        <w:t xml:space="preserve">the </w:t>
      </w:r>
      <w:r w:rsidRPr="00383E5D">
        <w:rPr>
          <w:rFonts w:ascii="Times New Roman" w:hAnsi="Times New Roman" w:cs="Times New Roman"/>
          <w:sz w:val="24"/>
          <w:szCs w:val="24"/>
        </w:rPr>
        <w:t xml:space="preserve">rise in SEC </w:t>
      </w:r>
      <w:r>
        <w:rPr>
          <w:rFonts w:ascii="Times New Roman" w:hAnsi="Times New Roman" w:cs="Times New Roman"/>
          <w:sz w:val="24"/>
          <w:szCs w:val="24"/>
        </w:rPr>
        <w:t>c</w:t>
      </w:r>
      <w:r w:rsidRPr="00383E5D">
        <w:rPr>
          <w:rFonts w:ascii="Times New Roman" w:hAnsi="Times New Roman" w:cs="Times New Roman"/>
          <w:sz w:val="24"/>
          <w:szCs w:val="24"/>
        </w:rPr>
        <w:t xml:space="preserve">omment </w:t>
      </w:r>
      <w:r>
        <w:rPr>
          <w:rFonts w:ascii="Times New Roman" w:hAnsi="Times New Roman" w:cs="Times New Roman"/>
          <w:sz w:val="24"/>
          <w:szCs w:val="24"/>
        </w:rPr>
        <w:t>l</w:t>
      </w:r>
      <w:r w:rsidRPr="00383E5D">
        <w:rPr>
          <w:rFonts w:ascii="Times New Roman" w:hAnsi="Times New Roman" w:cs="Times New Roman"/>
          <w:sz w:val="24"/>
          <w:szCs w:val="24"/>
        </w:rPr>
        <w:t xml:space="preserve">etters released concerning poor FIN 48 disclosure quality.  Of the 422 comment letters issued through the first 9 months of 2015, 45 related to FIN 48 reserves.  </w:t>
      </w:r>
      <w:r>
        <w:rPr>
          <w:rFonts w:ascii="Times New Roman" w:hAnsi="Times New Roman" w:cs="Times New Roman"/>
          <w:sz w:val="24"/>
          <w:szCs w:val="24"/>
        </w:rPr>
        <w:t xml:space="preserve">Consistent </w:t>
      </w:r>
      <w:r w:rsidRPr="00383E5D">
        <w:rPr>
          <w:rFonts w:ascii="Times New Roman" w:hAnsi="Times New Roman" w:cs="Times New Roman"/>
          <w:sz w:val="24"/>
          <w:szCs w:val="24"/>
        </w:rPr>
        <w:t xml:space="preserve">with my findings, PwC summarizes that “disclosures lack the clarity necessary to provide financial statement users with an understanding of a change in the measurement of unrecognized tax benefits (UTBs) that have already occurred or could potentially occur in the near term (PwC 2015).”  </w:t>
      </w:r>
    </w:p>
    <w:p w14:paraId="61B5F2B9" w14:textId="77777777" w:rsidR="00340A0A"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noProof/>
          <w:sz w:val="24"/>
          <w:szCs w:val="24"/>
        </w:rPr>
        <w:t xml:space="preserve">With the exception of the Robinson and Schmidt (2013) study that examines FIN 48 disclosure quality following the initial period of FIN 48 adoption, prior FIN 48 disclosure studies only report on changes to FIN 48 reserve balances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&lt;EndNote&gt;&lt;Cite&gt;&lt;Author&gt;Abernathy&lt;/Author&gt;&lt;Year&gt;2013&lt;/Year&gt;&lt;RecNum&gt;334&lt;/RecNum&gt;&lt;DisplayText&gt;(Abernathy et al. 2013; Towery 2016)&lt;/DisplayText&gt;&lt;record&gt;&lt;rec-number&gt;334&lt;/rec-number&gt;&lt;foreign-keys&gt;&lt;key app="EN" db-id="0epr20wz6v0vdyes25e5vdd8ssfd2e0srwex" timestamp="1461800439"&gt;334&lt;/key&gt;&lt;/foreign-keys&gt;&lt;ref-type name="Journal Article"&gt;17&lt;/ref-type&gt;&lt;contributors&gt;&lt;authors&gt;&lt;author&gt;Abernathy, John L&lt;/author&gt;&lt;author&gt;Davenport, Stephan A&lt;/author&gt;&lt;author&gt;Rapley, Eric T&lt;/author&gt;&lt;/authors&gt;&lt;/contributors&gt;&lt;titles&gt;&lt;title&gt;Schedule UTP: Stock price reaction and economic consequences&lt;/title&gt;&lt;secondary-title&gt;The Journal of the American Taxation Association&lt;/secondary-title&gt;&lt;/titles&gt;&lt;periodical&gt;&lt;full-title&gt;The Journal of the American Taxation Association&lt;/full-title&gt;&lt;/periodical&gt;&lt;pages&gt;25-48&lt;/pages&gt;&lt;volume&gt;35&lt;/volume&gt;&lt;number&gt;1&lt;/number&gt;&lt;dates&gt;&lt;year&gt;2013&lt;/year&gt;&lt;/dates&gt;&lt;isbn&gt;0198-9073&lt;/isbn&gt;&lt;urls&gt;&lt;/urls&gt;&lt;/record&gt;&lt;/Cite&gt;&lt;Cite&gt;&lt;Author&gt;Towery&lt;/Author&gt;&lt;Year&gt;2016&lt;/Year&gt;&lt;RecNum&gt;339&lt;/RecNum&gt;&lt;record&gt;&lt;rec-number&gt;339&lt;/rec-number&gt;&lt;foreign-keys&gt;&lt;key app="EN" db-id="0epr20wz6v0vdyes25e5vdd8ssfd2e0srwex" timestamp="1461800442"&gt;339&lt;/key&gt;&lt;/foreign-keys&gt;&lt;ref-type name="Report"&gt;27&lt;/ref-type&gt;&lt;contributors&gt;&lt;authors&gt;&lt;author&gt;Towery, Erin&lt;/author&gt;&lt;/authors&gt;&lt;/contributors&gt;&lt;titles&gt;&lt;title&gt;Unintended consequences of linking tax return disclosures of tax uncertainty to financial reporting for tax uncertainty &lt;/title&gt;&lt;/titles&gt;&lt;dates&gt;&lt;year&gt;2016&lt;/year&gt;&lt;/dates&gt;&lt;publisher&gt;Working paper, University of Georgia&lt;/publisher&gt;&lt;urls&gt;&lt;/urls&gt;&lt;/record&gt;&lt;/Cite&gt;&lt;/EndNote&gt;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(Abernathy et al. 2013; Towery 2017)</w:t>
      </w:r>
      <w:r w:rsidRPr="00383E5D">
        <w:rPr>
          <w:rFonts w:ascii="Times New Roman" w:hAnsi="Times New Roman" w:cs="Times New Roman"/>
          <w:sz w:val="24"/>
          <w:szCs w:val="24"/>
        </w:rPr>
        <w:fldChar w:fldCharType="end"/>
      </w:r>
      <w:r w:rsidRPr="00383E5D">
        <w:rPr>
          <w:rFonts w:ascii="Times New Roman" w:hAnsi="Times New Roman" w:cs="Times New Roman"/>
          <w:noProof/>
          <w:sz w:val="24"/>
          <w:szCs w:val="24"/>
        </w:rPr>
        <w:t>, only focus on one component of the FIN 48 disclosure (Abernathy, Beyer, and Rapley 2017; Dunbar, Omer, and Schultz 2010; Blouin, Gleason, Mills, and Sikes 2007), or measure the volume of the tax footnote in its entirety, while relying on indirect proxies to assess the content of the FIN 48 disclosure</w:t>
      </w:r>
      <w:r w:rsidRPr="00383E5D">
        <w:rPr>
          <w:rFonts w:ascii="Times New Roman" w:hAnsi="Times New Roman" w:cs="Times New Roman"/>
          <w:sz w:val="24"/>
          <w:szCs w:val="24"/>
        </w:rPr>
        <w:t xml:space="preserve">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w:t>
      </w:r>
      <w:r>
        <w:rPr>
          <w:rFonts w:ascii="Times New Roman" w:hAnsi="Times New Roman" w:cs="Times New Roman"/>
          <w:sz w:val="24"/>
          <w:szCs w:val="24"/>
        </w:rPr>
        <w:t xml:space="preserve">In contrast, my study using a hand-collected sample allows for a comprehensive examination of FIN 48 disclosure quality.  </w:t>
      </w:r>
      <w:r w:rsidRPr="00383E5D">
        <w:rPr>
          <w:rFonts w:ascii="Times New Roman" w:hAnsi="Times New Roman" w:cs="Times New Roman"/>
          <w:sz w:val="24"/>
          <w:szCs w:val="24"/>
        </w:rPr>
        <w:t xml:space="preserve">Rather than relying on indirect measures, my hand-collected sample allows me to directly measure FIN 48 disclosure quality by capturing compliance with each of the six mandatory components of FIN 48 as well as four components of discretionary disclosure.  </w:t>
      </w:r>
    </w:p>
    <w:p w14:paraId="1C2D9ACC"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My paper provides insight that </w:t>
      </w:r>
      <w:r>
        <w:rPr>
          <w:rFonts w:ascii="Times New Roman" w:hAnsi="Times New Roman" w:cs="Times New Roman"/>
          <w:sz w:val="24"/>
          <w:szCs w:val="24"/>
        </w:rPr>
        <w:t>helps to explain potentially conflicting results in</w:t>
      </w:r>
      <w:r w:rsidRPr="00383E5D">
        <w:rPr>
          <w:rFonts w:ascii="Times New Roman" w:hAnsi="Times New Roman" w:cs="Times New Roman"/>
          <w:sz w:val="24"/>
          <w:szCs w:val="24"/>
        </w:rPr>
        <w:t xml:space="preserve"> the </w:t>
      </w:r>
      <w:r>
        <w:rPr>
          <w:rFonts w:ascii="Times New Roman" w:hAnsi="Times New Roman" w:cs="Times New Roman"/>
          <w:sz w:val="24"/>
          <w:szCs w:val="24"/>
        </w:rPr>
        <w:t xml:space="preserve">prior </w:t>
      </w:r>
      <w:r w:rsidRPr="00383E5D">
        <w:rPr>
          <w:rFonts w:ascii="Times New Roman" w:hAnsi="Times New Roman" w:cs="Times New Roman"/>
          <w:sz w:val="24"/>
          <w:szCs w:val="24"/>
        </w:rPr>
        <w:t xml:space="preserve">literature examining the impact of IRS Schedule UTP on FIN 48 reporting and disclosure.  Towery (2017) finds that firms reduce their FIN 48 reserves without reducing their underlying tax positions in their tax returns in response to IRS Schedule UTP.  </w:t>
      </w:r>
      <w:r>
        <w:rPr>
          <w:rFonts w:ascii="Times New Roman" w:hAnsi="Times New Roman" w:cs="Times New Roman"/>
          <w:sz w:val="24"/>
          <w:szCs w:val="24"/>
        </w:rPr>
        <w:t xml:space="preserve">Towery (2017) also finds that </w:t>
      </w:r>
      <w:r w:rsidRPr="003424C3">
        <w:rPr>
          <w:rFonts w:ascii="Times New Roman" w:hAnsi="Times New Roman" w:cs="Times New Roman"/>
          <w:sz w:val="24"/>
          <w:szCs w:val="24"/>
        </w:rPr>
        <w:t>firms facing</w:t>
      </w:r>
      <w:r>
        <w:rPr>
          <w:rFonts w:ascii="Times New Roman" w:hAnsi="Times New Roman" w:cs="Times New Roman"/>
          <w:sz w:val="24"/>
          <w:szCs w:val="24"/>
        </w:rPr>
        <w:t xml:space="preserve"> h</w:t>
      </w:r>
      <w:r w:rsidRPr="003424C3">
        <w:rPr>
          <w:rFonts w:ascii="Times New Roman" w:hAnsi="Times New Roman" w:cs="Times New Roman"/>
          <w:sz w:val="24"/>
          <w:szCs w:val="24"/>
        </w:rPr>
        <w:t>igher costs of Schedule UTP disclosure provide less informative concise descriptions</w:t>
      </w:r>
      <w:r>
        <w:rPr>
          <w:rFonts w:ascii="Times New Roman" w:hAnsi="Times New Roman" w:cs="Times New Roman"/>
          <w:sz w:val="24"/>
          <w:szCs w:val="24"/>
        </w:rPr>
        <w:t xml:space="preserve"> in private disclosures to the IRS</w:t>
      </w:r>
      <w:r w:rsidRPr="003424C3">
        <w:rPr>
          <w:rFonts w:ascii="Times New Roman" w:hAnsi="Times New Roman" w:cs="Times New Roman"/>
          <w:sz w:val="24"/>
          <w:szCs w:val="24"/>
        </w:rPr>
        <w:t>.</w:t>
      </w:r>
      <w:r>
        <w:rPr>
          <w:rFonts w:ascii="Times New Roman" w:hAnsi="Times New Roman" w:cs="Times New Roman"/>
          <w:sz w:val="24"/>
          <w:szCs w:val="24"/>
        </w:rPr>
        <w:t xml:space="preserve">  Consistent with </w:t>
      </w:r>
      <w:proofErr w:type="spellStart"/>
      <w:r>
        <w:rPr>
          <w:rFonts w:ascii="Times New Roman" w:hAnsi="Times New Roman" w:cs="Times New Roman"/>
          <w:sz w:val="24"/>
          <w:szCs w:val="24"/>
        </w:rPr>
        <w:t>Towery’s</w:t>
      </w:r>
      <w:proofErr w:type="spellEnd"/>
      <w:r>
        <w:rPr>
          <w:rFonts w:ascii="Times New Roman" w:hAnsi="Times New Roman" w:cs="Times New Roman"/>
          <w:sz w:val="24"/>
          <w:szCs w:val="24"/>
        </w:rPr>
        <w:t xml:space="preserve"> findings, additional analysis reveals that firms in my sample that have the largest reductions to FIN48 reserves are more likely to reduce discretionary FIN 48 disclosure quality following the adoption of IRS Schedule UTP.  In contrast,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finds that firms increase their volume of </w:t>
      </w:r>
      <w:r>
        <w:rPr>
          <w:rFonts w:ascii="Times New Roman" w:hAnsi="Times New Roman" w:cs="Times New Roman"/>
          <w:sz w:val="24"/>
          <w:szCs w:val="24"/>
        </w:rPr>
        <w:t xml:space="preserve">public financial statement </w:t>
      </w:r>
      <w:r w:rsidRPr="00383E5D">
        <w:rPr>
          <w:rFonts w:ascii="Times New Roman" w:hAnsi="Times New Roman" w:cs="Times New Roman"/>
          <w:sz w:val="24"/>
          <w:szCs w:val="24"/>
        </w:rPr>
        <w:t xml:space="preserve">tax disclosure following the adoption of IRS Schedule UTP.  However,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relies on measures of the number of sentences and number of numerical figures in the entire tax footnote to examine how firms respond to increased IRS attention surrounding IRS Schedule UTP.  In additional analysis, I find that following the adoption of IRS Schedule UTP, firms subject to IRS Schedule UTP are more likely to disclose additional information about previously settled prior-year tax positions than those firms not subject to IRS Schedule UTP.  Firms are more likely to include an additional prior year of data in their tabular reconciliation of FIN 48 reserves and to include more discussion of the resolutions of prior years’ FIN 48 reserves rather than the details of the nature of the current year’s FIN 48 reserves.  This result is consistent with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w:t>
      </w:r>
      <w:r>
        <w:rPr>
          <w:rFonts w:ascii="Times New Roman" w:hAnsi="Times New Roman" w:cs="Times New Roman"/>
          <w:sz w:val="24"/>
          <w:szCs w:val="24"/>
        </w:rPr>
        <w:t>’s (2017)</w:t>
      </w:r>
      <w:r w:rsidRPr="00383E5D">
        <w:rPr>
          <w:rFonts w:ascii="Times New Roman" w:hAnsi="Times New Roman" w:cs="Times New Roman"/>
          <w:sz w:val="24"/>
          <w:szCs w:val="24"/>
        </w:rPr>
        <w:t xml:space="preserve"> finding of more voluminous disclosure and my finding of decreased disclosure quality.</w:t>
      </w:r>
      <w:r w:rsidRPr="00383E5D">
        <w:rPr>
          <w:rStyle w:val="FootnoteReference"/>
          <w:rFonts w:ascii="Times New Roman" w:hAnsi="Times New Roman" w:cs="Times New Roman"/>
          <w:sz w:val="24"/>
          <w:szCs w:val="24"/>
        </w:rPr>
        <w:footnoteReference w:id="6"/>
      </w:r>
    </w:p>
    <w:p w14:paraId="1C9833B1" w14:textId="77777777" w:rsidR="00340A0A" w:rsidRPr="00383E5D" w:rsidRDefault="00340A0A" w:rsidP="00340A0A">
      <w:pPr>
        <w:spacing w:after="0" w:line="480" w:lineRule="auto"/>
        <w:ind w:firstLine="720"/>
        <w:jc w:val="both"/>
        <w:rPr>
          <w:rFonts w:ascii="Times New Roman" w:hAnsi="Times New Roman" w:cs="Times New Roman"/>
          <w:sz w:val="24"/>
          <w:szCs w:val="24"/>
        </w:rPr>
      </w:pP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also examines the entire tax footnote, thereby introducing a volume of information that may be unrelated to FIN 48 tax reserves.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uses Latent </w:t>
      </w:r>
      <w:proofErr w:type="spellStart"/>
      <w:r w:rsidRPr="00383E5D">
        <w:rPr>
          <w:rFonts w:ascii="Times New Roman" w:hAnsi="Times New Roman" w:cs="Times New Roman"/>
          <w:sz w:val="24"/>
          <w:szCs w:val="24"/>
        </w:rPr>
        <w:t>Dirichlet</w:t>
      </w:r>
      <w:proofErr w:type="spellEnd"/>
      <w:r w:rsidRPr="00383E5D">
        <w:rPr>
          <w:rFonts w:ascii="Times New Roman" w:hAnsi="Times New Roman" w:cs="Times New Roman"/>
          <w:sz w:val="24"/>
          <w:szCs w:val="24"/>
        </w:rPr>
        <w:t xml:space="preserve"> Allocation (LDA) to gain a level of comfort that the additional discussion likely relates to FIN 48 topics.  However, my results suggest that while firms increase the volume of narrative disclosure surrounding prior years’ FIN 48 reserve balances, firms reduce disclosure quality surrounding current or active FIN 48 reserves which would be of most interest to tax authorities.  </w:t>
      </w:r>
      <w:r>
        <w:rPr>
          <w:rFonts w:ascii="Times New Roman" w:hAnsi="Times New Roman" w:cs="Times New Roman"/>
          <w:sz w:val="24"/>
          <w:szCs w:val="24"/>
        </w:rPr>
        <w:t>Because</w:t>
      </w:r>
      <w:r w:rsidRPr="00383E5D">
        <w:rPr>
          <w:rFonts w:ascii="Times New Roman" w:hAnsi="Times New Roman" w:cs="Times New Roman"/>
          <w:sz w:val="24"/>
          <w:szCs w:val="24"/>
        </w:rPr>
        <w:t xml:space="preserve"> I directly measure whether and how the information content of each firm’s FIN 48 disclosure changes in response to IRS Schedule UTP</w:t>
      </w:r>
      <w:r>
        <w:rPr>
          <w:rFonts w:ascii="Times New Roman" w:hAnsi="Times New Roman" w:cs="Times New Roman"/>
          <w:sz w:val="24"/>
          <w:szCs w:val="24"/>
        </w:rPr>
        <w:t xml:space="preserve">, </w:t>
      </w:r>
      <w:r w:rsidRPr="00383E5D">
        <w:rPr>
          <w:rFonts w:ascii="Times New Roman" w:hAnsi="Times New Roman" w:cs="Times New Roman"/>
          <w:sz w:val="24"/>
          <w:szCs w:val="24"/>
        </w:rPr>
        <w:t xml:space="preserve">my results reconcile the seemingly incongruent findings of Towery (2017) and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w:t>
      </w:r>
    </w:p>
    <w:p w14:paraId="1603CDE4"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Standard setters designed FIN 48 disclosure requirements for the benefit of investors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&lt;EndNote&gt;&lt;Cite&gt;&lt;Author&gt;Blouin&lt;/Author&gt;&lt;Year&gt;2014&lt;/Year&gt;&lt;RecNum&gt;375&lt;/RecNum&gt;&lt;DisplayText&gt;(Blouin and Robinson 2014)&lt;/DisplayText&gt;&lt;record&gt;&lt;rec-number&gt;375&lt;/rec-number&gt;&lt;foreign-keys&gt;&lt;key app="EN" db-id="0epr20wz6v0vdyes25e5vdd8ssfd2e0srwex" timestamp="1461800456"&gt;375&lt;/key&gt;&lt;/foreign-keys&gt;&lt;ref-type name="Journal Article"&gt;17&lt;/ref-type&gt;&lt;contributors&gt;&lt;authors&gt;&lt;author&gt;Blouin, Jennifer L&lt;/author&gt;&lt;author&gt;Robinson, Leslie A&lt;/author&gt;&lt;/authors&gt;&lt;/contributors&gt;&lt;titles&gt;&lt;title&gt;Insights from Academic Participation in the FAF&amp;apos;s Initial PIR: The PIR of FIN 48&lt;/title&gt;&lt;secondary-title&gt;Accounting Horizons&lt;/secondary-title&gt;&lt;/titles&gt;&lt;periodical&gt;&lt;full-title&gt;Accounting Horizons&lt;/full-title&gt;&lt;/periodical&gt;&lt;pages&gt;479-500&lt;/pages&gt;&lt;volume&gt;28&lt;/volume&gt;&lt;number&gt;3&lt;/number&gt;&lt;dates&gt;&lt;year&gt;2014&lt;/year&gt;&lt;/dates&gt;&lt;isbn&gt;1558-7975&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(Blouin and Robinson 2014)</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However, there are unintended consequences for investors if FIN 48 disclosures become increasingly opaque and/or less complete, diminishing the disclosure’s informative value.  As such, it is an important research question to address whether additional tax return disclosure requirements impact the quality of financial statement tax disclosures.  Results of my primary tests using a balanced panel of firms </w:t>
      </w:r>
      <w:r>
        <w:rPr>
          <w:rFonts w:ascii="Times New Roman" w:hAnsi="Times New Roman" w:cs="Times New Roman"/>
          <w:sz w:val="24"/>
          <w:szCs w:val="24"/>
        </w:rPr>
        <w:t>that filed</w:t>
      </w:r>
      <w:r w:rsidRPr="00383E5D">
        <w:rPr>
          <w:rFonts w:ascii="Times New Roman" w:hAnsi="Times New Roman" w:cs="Times New Roman"/>
          <w:sz w:val="24"/>
          <w:szCs w:val="24"/>
        </w:rPr>
        <w:t xml:space="preserve"> IRS Schedule UTP show that firms reduce FIN 48 disclosure quality following the adoption of IRS Schedule UTP.  This finding supports the assertion that firms respond to increased tax return reporting that mandates increased private disclosure to tax authorities by reducing the quality of public tax disclosures to prevent tax authorities from gaining incremental information.  </w:t>
      </w:r>
    </w:p>
    <w:p w14:paraId="2AFE6D56"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My study contributes to the literature in several important ways.  First, my hand-collected data set allows me to answer the call in </w:t>
      </w:r>
      <w:proofErr w:type="spellStart"/>
      <w:r w:rsidRPr="00383E5D">
        <w:rPr>
          <w:rFonts w:ascii="Times New Roman" w:hAnsi="Times New Roman" w:cs="Times New Roman"/>
          <w:sz w:val="24"/>
          <w:szCs w:val="24"/>
        </w:rPr>
        <w:t>Blouin</w:t>
      </w:r>
      <w:proofErr w:type="spellEnd"/>
      <w:r w:rsidRPr="00383E5D">
        <w:rPr>
          <w:rFonts w:ascii="Times New Roman" w:hAnsi="Times New Roman" w:cs="Times New Roman"/>
          <w:sz w:val="24"/>
          <w:szCs w:val="24"/>
        </w:rPr>
        <w:t xml:space="preserve"> and Robinson (2011) to provide evidence regarding the extent of disclosure variation or the lack of variation after the initial 2007 adoption of FIN 48.  Next, I extend the literature on the consequences of changes in tax return reporting requirements </w:t>
      </w:r>
      <w:r w:rsidRPr="00383E5D">
        <w:rPr>
          <w:rFonts w:ascii="Times New Roman" w:hAnsi="Times New Roman" w:cs="Times New Roman"/>
          <w:sz w:val="24"/>
          <w:szCs w:val="24"/>
        </w:rPr>
        <w:fldChar w:fldCharType="begin">
          <w:fldData xml:space="preserve">PEVuZE5vdGU+PENpdGU+PEF1dGhvcj5Ub3dlcnk8L0F1dGhvcj48WWVhcj4yMDE2PC9ZZWFyPjxS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</w:fldData>
        </w:fldChar>
      </w:r>
      <w:r w:rsidRPr="00383E5D">
        <w:rPr>
          <w:rFonts w:ascii="Times New Roman" w:hAnsi="Times New Roman" w:cs="Times New Roman"/>
          <w:sz w:val="24"/>
          <w:szCs w:val="24"/>
        </w:rPr>
        <w:instrText xml:space="preserve"> ADDIN EN.CITE </w:instrText>
      </w:r>
      <w:r w:rsidRPr="00383E5D">
        <w:rPr>
          <w:rFonts w:ascii="Times New Roman" w:hAnsi="Times New Roman" w:cs="Times New Roman"/>
          <w:sz w:val="24"/>
          <w:szCs w:val="24"/>
        </w:rPr>
        <w:fldChar w:fldCharType="begin">
          <w:fldData xml:space="preserve">PEVuZE5vdGU+PENpdGU+PEF1dGhvcj5Ub3dlcnk8L0F1dGhvcj48WWVhcj4yMDE2PC9ZZWFyPjxS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</w:fldData>
        </w:fldChar>
      </w:r>
      <w:r w:rsidRPr="00383E5D">
        <w:rPr>
          <w:rFonts w:ascii="Times New Roman" w:hAnsi="Times New Roman" w:cs="Times New Roman"/>
          <w:sz w:val="24"/>
          <w:szCs w:val="24"/>
        </w:rPr>
        <w:instrText xml:space="preserve"> ADDIN EN.CITE.DATA </w:instrText>
      </w:r>
      <w:r w:rsidRPr="00383E5D">
        <w:rPr>
          <w:rFonts w:ascii="Times New Roman" w:hAnsi="Times New Roman" w:cs="Times New Roman"/>
          <w:sz w:val="24"/>
          <w:szCs w:val="24"/>
        </w:rPr>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(Towery 2017; Abernathy et al. 2013; Donohoe and McGill 2011; Frischmann, Shevlin, and Wilson 2008)</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As tax authorities acquire new sources of tax data, it is important that there is recognition of the potential unintended consequences of these tax enforcement efforts.  Third, I extend the robust literature that examines how tax reporting affects financial reporting choices </w:t>
      </w:r>
      <w:r w:rsidRPr="00383E5D">
        <w:rPr>
          <w:rFonts w:ascii="Times New Roman" w:hAnsi="Times New Roman" w:cs="Times New Roman"/>
          <w:sz w:val="24"/>
          <w:szCs w:val="24"/>
        </w:rPr>
        <w:fldChar w:fldCharType="begin">
          <w:fldData xml:space="preserve">PEVuZE5vdGU+PENpdGU+PEF1dGhvcj5HcmFtbGljaDwvQXV0aG9yPjxZZWFyPjE5OTE8L1llYXI+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</w:fldData>
        </w:fldChar>
      </w:r>
      <w:r w:rsidRPr="00383E5D">
        <w:rPr>
          <w:rFonts w:ascii="Times New Roman" w:hAnsi="Times New Roman" w:cs="Times New Roman"/>
          <w:sz w:val="24"/>
          <w:szCs w:val="24"/>
        </w:rPr>
        <w:instrText xml:space="preserve"> ADDIN EN.CITE </w:instrText>
      </w:r>
      <w:r w:rsidRPr="00383E5D">
        <w:rPr>
          <w:rFonts w:ascii="Times New Roman" w:hAnsi="Times New Roman" w:cs="Times New Roman"/>
          <w:sz w:val="24"/>
          <w:szCs w:val="24"/>
        </w:rPr>
        <w:fldChar w:fldCharType="begin">
          <w:fldData xml:space="preserve">PEVuZE5vdGU+PENpdGU+PEF1dGhvcj5HcmFtbGljaDwvQXV0aG9yPjxZZWFyPjE5OTE8L1llYXI+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</w:fldData>
        </w:fldChar>
      </w:r>
      <w:r w:rsidRPr="00383E5D">
        <w:rPr>
          <w:rFonts w:ascii="Times New Roman" w:hAnsi="Times New Roman" w:cs="Times New Roman"/>
          <w:sz w:val="24"/>
          <w:szCs w:val="24"/>
        </w:rPr>
        <w:instrText xml:space="preserve"> ADDIN EN.CITE.DATA </w:instrText>
      </w:r>
      <w:r w:rsidRPr="00383E5D">
        <w:rPr>
          <w:rFonts w:ascii="Times New Roman" w:hAnsi="Times New Roman" w:cs="Times New Roman"/>
          <w:sz w:val="24"/>
          <w:szCs w:val="24"/>
        </w:rPr>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(Gramlich 1991; Boynton, Dobbins, and Plesko 1992; Manzon 1992; Dhaliwal and Wang 1992; Wang 1994; Guenther, Maydew, and Nutter 1997; Keating and Zimmerman 1999; Calegari 2000; Hanlon, Maydew, and  Shevlin 2008)</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w:t>
      </w:r>
    </w:p>
    <w:p w14:paraId="7DB536FC"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My findings indicate that it is necessary to consider that tax return reporting, in addition to affecting financial reporting decisions, is also associated with a contemporaneous change in the disclosure quality related to the affected financial reporting items.  In addition to being concerned with how FIN 48 tax reserve balances change, my study highlights that stakeholders should also be concerned with changes in the quality of the information accompanying FIN 48 tax reserve balances in response to increased tax reporting.  Lastly, my findings are relevant to policymakers, as the Financial Accounting Standards Board (FASB) considers updates to FIN 48 requirements and the International Accounting Standards Board (IASB) considers international standards for tax contingency reporting.  My findings suggest that it is necessary to consider how firm discretion</w:t>
      </w:r>
      <w:r w:rsidRPr="00383E5D">
        <w:rPr>
          <w:rFonts w:ascii="Times New Roman" w:hAnsi="Times New Roman" w:cs="Times New Roman"/>
          <w:sz w:val="24"/>
        </w:rPr>
        <w:t xml:space="preserve"> </w:t>
      </w:r>
      <w:r w:rsidRPr="00383E5D">
        <w:rPr>
          <w:rFonts w:ascii="Times New Roman" w:hAnsi="Times New Roman" w:cs="Times New Roman"/>
          <w:sz w:val="24"/>
          <w:szCs w:val="24"/>
        </w:rPr>
        <w:t>has the potential to reduce tax disclosure quality and thwart the goals of relevance, transparency, and comparability in financial reporting of income taxes.</w:t>
      </w:r>
    </w:p>
    <w:p w14:paraId="2C0B4AF9"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The remainder of this paper is organized as follows:  The next section provides background information and literature review.  Section III presents the hypothesis development.  Section IV discusses the data and research design.  I present the primary results in Section V.  Section VI reports additional analyses, and Section VII concludes.</w:t>
      </w:r>
    </w:p>
    <w:p w14:paraId="12A952BC"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0F19313F" w14:textId="0557C190" w:rsidR="007A2E6C" w:rsidRDefault="007A2E6C" w:rsidP="0017501A">
      <w:pPr>
        <w:spacing w:after="0" w:line="480" w:lineRule="auto"/>
        <w:jc w:val="both"/>
        <w:rPr>
          <w:rFonts w:ascii="Times New Roman" w:hAnsi="Times New Roman" w:cs="Times New Roman"/>
          <w:b/>
          <w:sz w:val="24"/>
          <w:szCs w:val="24"/>
        </w:rPr>
      </w:pPr>
      <w:r w:rsidRPr="009A14DA">
        <w:rPr>
          <w:rFonts w:ascii="Times New Roman" w:hAnsi="Times New Roman" w:cs="Times New Roman"/>
          <w:b/>
          <w:sz w:val="24"/>
          <w:szCs w:val="24"/>
        </w:rPr>
        <w:t>II. Background and Literature Review</w:t>
      </w:r>
    </w:p>
    <w:p w14:paraId="1C5BDBF5" w14:textId="77777777" w:rsidR="00340A0A" w:rsidRPr="00383E5D" w:rsidRDefault="00340A0A" w:rsidP="00340A0A">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Financial Statement Tax Disclosure - FIN 48</w:t>
      </w:r>
    </w:p>
    <w:p w14:paraId="0B120A44"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FIN 48 governs Accounting for Uncertainty in Income Taxes.  Effective for fiscal years beginning after December 15, 2006, FIN 48 provides guidance on accounting for tax contingencies and requires the mandatory disclosure of uncertain tax positions to promote consistency and comparability across firms.</w:t>
      </w:r>
      <w:r w:rsidRPr="00383E5D">
        <w:rPr>
          <w:rStyle w:val="FootnoteReference"/>
          <w:rFonts w:ascii="Times New Roman" w:hAnsi="Times New Roman" w:cs="Times New Roman"/>
          <w:sz w:val="24"/>
          <w:szCs w:val="24"/>
        </w:rPr>
        <w:footnoteReference w:id="7"/>
      </w:r>
      <w:r w:rsidRPr="00383E5D">
        <w:rPr>
          <w:rFonts w:ascii="Times New Roman" w:hAnsi="Times New Roman" w:cs="Times New Roman"/>
          <w:sz w:val="24"/>
          <w:szCs w:val="24"/>
        </w:rPr>
        <w:t xml:space="preserve">  Under the previous SFAS (109) reporting regime, in the pre-FIN 48 era, there was </w:t>
      </w:r>
      <w:r>
        <w:rPr>
          <w:rFonts w:ascii="Times New Roman" w:hAnsi="Times New Roman" w:cs="Times New Roman"/>
          <w:sz w:val="24"/>
          <w:szCs w:val="24"/>
        </w:rPr>
        <w:t>variation</w:t>
      </w:r>
      <w:r w:rsidRPr="00383E5D">
        <w:rPr>
          <w:rFonts w:ascii="Times New Roman" w:hAnsi="Times New Roman" w:cs="Times New Roman"/>
          <w:sz w:val="24"/>
          <w:szCs w:val="24"/>
        </w:rPr>
        <w:t xml:space="preserve"> in how firms defined materiality, and few firms reported their reserves for uncertain tax positions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&lt;EndNote&gt;&lt;Cite&gt;&lt;Author&gt;Blouin&lt;/Author&gt;&lt;Year&gt;2011&lt;/Year&gt;&lt;RecNum&gt;345&lt;/RecNum&gt;&lt;DisplayText&gt;(Blouin and Robinson 2011)&lt;/DisplayText&gt;&lt;record&gt;&lt;rec-number&gt;345&lt;/rec-number&gt;&lt;foreign-keys&gt;&lt;key app="EN" db-id="0epr20wz6v0vdyes25e5vdd8ssfd2e0srwex" timestamp="1461800444"&gt;345&lt;/key&gt;&lt;/foreign-keys&gt;&lt;ref-type name="Journal Article"&gt;17&lt;/ref-type&gt;&lt;contributors&gt;&lt;authors&gt;&lt;author&gt;Blouin, Jennifer L&lt;/author&gt;&lt;author&gt;Robinson, Leslie A&lt;/author&gt;&lt;/authors&gt;&lt;/contributors&gt;&lt;titles&gt;&lt;title&gt;Academic Research on FIN 48: What Have We Learned? Prepared for the Financial Accounting Foundations’ Post-Implementation Review of Financial Accounting Standards Board Interpretation No. 48&lt;/title&gt;&lt;secondary-title&gt;Prepared for the Financial Accounting Foundations’ Post-Implementation Review of Financial Accounting Standards Board Interpretation&lt;/secondary-title&gt;&lt;/titles&gt;&lt;periodical&gt;&lt;full-title&gt;Prepared for the Financial Accounting Foundations’ Post-Implementation Review of Financial Accounting Standards Board Interpretation&lt;/full-title&gt;&lt;/periodical&gt;&lt;number&gt;48&lt;/number&gt;&lt;dates&gt;&lt;year&gt;2011&lt;/year&gt;&lt;/dates&gt;&lt;urls&gt;&lt;/urls&gt;&lt;/record&gt;&lt;/Cite&gt;&lt;/EndNote&gt;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(Blouin and Robinson 2011)</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Gleason and Mills (2002) find that only 27 percent of observations in their pre-FIN 48 sample contain any disclosure of a tax reserve.  </w:t>
      </w:r>
    </w:p>
    <w:p w14:paraId="4E209863" w14:textId="77777777" w:rsidR="00340A0A"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FIN 48 requires that firms report tax reserve balances</w:t>
      </w:r>
      <w:r>
        <w:rPr>
          <w:rFonts w:ascii="Times New Roman" w:hAnsi="Times New Roman" w:cs="Times New Roman"/>
          <w:sz w:val="24"/>
          <w:szCs w:val="24"/>
        </w:rPr>
        <w:t>,</w:t>
      </w:r>
      <w:r w:rsidRPr="00383E5D">
        <w:rPr>
          <w:rFonts w:ascii="Times New Roman" w:hAnsi="Times New Roman" w:cs="Times New Roman"/>
          <w:sz w:val="24"/>
          <w:szCs w:val="24"/>
        </w:rPr>
        <w:t xml:space="preserve"> </w:t>
      </w:r>
      <w:r>
        <w:rPr>
          <w:rFonts w:ascii="Times New Roman" w:hAnsi="Times New Roman" w:cs="Times New Roman"/>
          <w:sz w:val="24"/>
          <w:szCs w:val="24"/>
        </w:rPr>
        <w:t xml:space="preserve">termed </w:t>
      </w:r>
      <w:r w:rsidRPr="00383E5D">
        <w:rPr>
          <w:rFonts w:ascii="Times New Roman" w:hAnsi="Times New Roman" w:cs="Times New Roman"/>
          <w:sz w:val="24"/>
          <w:szCs w:val="24"/>
        </w:rPr>
        <w:t>unrecognized tax benefit (UTB) balances, in addition to disclosing other informational components.  UTBs are a measure of the firm’s liability for uncertain tax positions, capturing the amount of tax due on positions that fail to meet the more-likely-than-not threshold (as defined in FIN 48).</w:t>
      </w:r>
      <w:r w:rsidRPr="00383E5D">
        <w:rPr>
          <w:rStyle w:val="FootnoteReference"/>
          <w:rFonts w:ascii="Times New Roman" w:hAnsi="Times New Roman" w:cs="Times New Roman"/>
          <w:sz w:val="24"/>
          <w:szCs w:val="24"/>
        </w:rPr>
        <w:footnoteReference w:id="8"/>
      </w:r>
      <w:r w:rsidRPr="00383E5D">
        <w:rPr>
          <w:rFonts w:ascii="Times New Roman" w:hAnsi="Times New Roman" w:cs="Times New Roman"/>
          <w:sz w:val="24"/>
          <w:szCs w:val="24"/>
        </w:rPr>
        <w:t xml:space="preserve">  This assessment assumes that positions are audited by the appropriate taxing authority possessing all knowledge of all relevant information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&lt;EndNote&gt;&lt;Cite&gt;&lt;Author&gt;FASB&lt;/Author&gt;&lt;Year&gt;2006&lt;/Year&gt;&lt;RecNum&gt;350&lt;/RecNum&gt;&lt;DisplayText&gt;(FASB 2006)&lt;/DisplayText&gt;&lt;record&gt;&lt;rec-number&gt;350&lt;/rec-number&gt;&lt;foreign-keys&gt;&lt;key app="EN" db-id="0epr20wz6v0vdyes25e5vdd8ssfd2e0srwex" timestamp="1461800446"&gt;350&lt;/key&gt;&lt;/foreign-keys&gt;&lt;ref-type name="Standard"&gt;58&lt;/ref-type&gt;&lt;contributors&gt;&lt;authors&gt;&lt;author&gt;FASB&lt;/author&gt;&lt;/authors&gt;&lt;/contributors&gt;&lt;titles&gt;&lt;title&gt;Financial Accounting Standards Board Interpretation No. 48 (FIN 48), Accounting for Uncertainty in Income Taxes: an Interpretation of FASB Statement No. 109&lt;/title&gt;&lt;/titles&gt;&lt;dates&gt;&lt;year&gt;2006&lt;/year&gt;&lt;/dates&gt;&lt;pub-location&gt;Norwalk, CT&lt;/pub-location&gt;&lt;urls&gt;&lt;/urls&gt;&lt;/record&gt;&lt;/Cite&gt;&lt;/EndNote&gt;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(FASB 2006)</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In addition to the reconciliation of beginning and ending FIN 48 reserves, the other components of FIN 48 disclosure can include a rich discussion of information that identifies the nature of specific uncertain tax positions.  </w:t>
      </w:r>
      <w:r>
        <w:rPr>
          <w:rFonts w:ascii="Times New Roman" w:hAnsi="Times New Roman" w:cs="Times New Roman"/>
          <w:sz w:val="24"/>
          <w:szCs w:val="24"/>
        </w:rPr>
        <w:t>Examples of uncertain tax positions for which an unrecognized tax benefit might be accrued are the decision to not file a state tax return due to uncertainty surrounding nexus, transfer pricing between jurisdictions, and classifying a position as tax exempt.</w:t>
      </w:r>
    </w:p>
    <w:p w14:paraId="5382E4F5"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The liability for uncertain tax positions included in FIN 48 disclosures is an important account.  The average </w:t>
      </w:r>
      <w:r>
        <w:rPr>
          <w:rFonts w:ascii="Times New Roman" w:hAnsi="Times New Roman" w:cs="Times New Roman"/>
          <w:sz w:val="24"/>
          <w:szCs w:val="24"/>
        </w:rPr>
        <w:t>FIN 48</w:t>
      </w:r>
      <w:r w:rsidRPr="00383E5D">
        <w:rPr>
          <w:rFonts w:ascii="Times New Roman" w:hAnsi="Times New Roman" w:cs="Times New Roman"/>
          <w:sz w:val="24"/>
          <w:szCs w:val="24"/>
        </w:rPr>
        <w:t xml:space="preserve"> reserve for firms in my sample is $183 million and the largest tax reserve is $7.8 billion.  Given the magnitude of FIN 48 reserves, firms are likely concerned with sustaining these tax positions and protecting them from scrutiny and potential reversal by tax authorities.  </w:t>
      </w:r>
      <w:r>
        <w:rPr>
          <w:rFonts w:ascii="Times New Roman" w:hAnsi="Times New Roman" w:cs="Times New Roman"/>
          <w:sz w:val="24"/>
          <w:szCs w:val="24"/>
        </w:rPr>
        <w:t>T</w:t>
      </w:r>
      <w:r w:rsidRPr="00383E5D">
        <w:rPr>
          <w:rFonts w:ascii="Times New Roman" w:hAnsi="Times New Roman" w:cs="Times New Roman"/>
          <w:sz w:val="24"/>
          <w:szCs w:val="24"/>
        </w:rPr>
        <w:t>he IRS, other tax authorities, investors and other stakeholders are likely interested in the tax positions for which firms record FIN 48 reserves and the disclosures about those reserves.</w:t>
      </w:r>
    </w:p>
    <w:p w14:paraId="5F96606C"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Under the FIN 48 regime, the mandatory nature of the tax reserve liability disclosures creates a benchmark for measuring firm disclosure choices.  Deviations from the explicit requirements of FIN 48 create variation in the disclosure quality and information content of FIN 48 disclosures across firms.  Robinson and Schmidt (2013) develop disclosure completeness and clarity measures to capture this variation.  The disclosure completeness measure is based on the mandatory disclosure of eight items in Paragraphs 20 and 21 of FIN 48.  </w:t>
      </w:r>
    </w:p>
    <w:p w14:paraId="26FDEBC6"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Prior research documents that firms exercise wide discretion and significant variation with regard to FIN 48 disclosure.  This variation allows for the measurement of lack of compliance with individual components of FIN 48 disclosure.  For example, only seventeen percent of my sample comply with all six mandatory components of my FIN 48 compliance measure, </w:t>
      </w:r>
      <w:r w:rsidRPr="00383E5D">
        <w:rPr>
          <w:rFonts w:ascii="Times New Roman" w:hAnsi="Times New Roman" w:cs="Times New Roman"/>
          <w:i/>
          <w:sz w:val="24"/>
          <w:szCs w:val="24"/>
        </w:rPr>
        <w:t>COMPLETE.</w:t>
      </w:r>
      <w:r w:rsidRPr="00383E5D">
        <w:rPr>
          <w:rStyle w:val="FootnoteReference"/>
          <w:rFonts w:ascii="Times New Roman" w:hAnsi="Times New Roman" w:cs="Times New Roman"/>
          <w:sz w:val="24"/>
          <w:szCs w:val="24"/>
        </w:rPr>
        <w:footnoteReference w:id="9"/>
      </w:r>
      <w:r w:rsidRPr="00383E5D">
        <w:rPr>
          <w:rFonts w:ascii="Times New Roman" w:hAnsi="Times New Roman" w:cs="Times New Roman"/>
          <w:sz w:val="24"/>
          <w:szCs w:val="24"/>
        </w:rPr>
        <w:t xml:space="preserve">  I also measure four discretionary components of FIN 48 disclosure. </w:t>
      </w:r>
      <w:r w:rsidRPr="00383E5D">
        <w:rPr>
          <w:rFonts w:ascii="Times New Roman" w:hAnsi="Times New Roman" w:cs="Times New Roman"/>
          <w:i/>
          <w:sz w:val="24"/>
          <w:szCs w:val="24"/>
        </w:rPr>
        <w:t xml:space="preserve"> </w:t>
      </w:r>
      <w:r w:rsidRPr="00383E5D">
        <w:rPr>
          <w:rFonts w:ascii="Times New Roman" w:hAnsi="Times New Roman" w:cs="Times New Roman"/>
          <w:sz w:val="24"/>
          <w:szCs w:val="24"/>
        </w:rPr>
        <w:t xml:space="preserve">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measure captures how inconsistencies in FIN 48 disclosure reporting create a lack of transparency and comparability.  FIN 48 leaves room for interpretation for how uncertain tax positions are disclosed, as well as whether and how additional information is included in the disclosure </w:t>
      </w:r>
      <w:r w:rsidRPr="00383E5D">
        <w:rPr>
          <w:rFonts w:ascii="Times New Roman" w:hAnsi="Times New Roman" w:cs="Times New Roman"/>
          <w:sz w:val="24"/>
          <w:szCs w:val="24"/>
        </w:rPr>
        <w:fldChar w:fldCharType="begin">
          <w:fldData xml:space="preserve">PEVuZE5vdGU+PENpdGU+PEF1dGhvcj5CZXllcjwvQXV0aG9yPjxZZWFyPjIwMTA8L1llYXI+PFJl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</w:fldData>
        </w:fldChar>
      </w:r>
      <w:r w:rsidRPr="00383E5D">
        <w:rPr>
          <w:rFonts w:ascii="Times New Roman" w:hAnsi="Times New Roman" w:cs="Times New Roman"/>
          <w:sz w:val="24"/>
          <w:szCs w:val="24"/>
        </w:rPr>
        <w:instrText xml:space="preserve"> ADDIN EN.CITE </w:instrText>
      </w:r>
      <w:r w:rsidRPr="00383E5D">
        <w:rPr>
          <w:rFonts w:ascii="Times New Roman" w:hAnsi="Times New Roman" w:cs="Times New Roman"/>
          <w:sz w:val="24"/>
          <w:szCs w:val="24"/>
        </w:rPr>
        <w:fldChar w:fldCharType="begin">
          <w:fldData xml:space="preserve">PEVuZE5vdGU+PENpdGU+PEF1dGhvcj5CZXllcjwvQXV0aG9yPjxZZWFyPjIwMTA8L1llYXI+PFJl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</w:fldData>
        </w:fldChar>
      </w:r>
      <w:r w:rsidRPr="00383E5D">
        <w:rPr>
          <w:rFonts w:ascii="Times New Roman" w:hAnsi="Times New Roman" w:cs="Times New Roman"/>
          <w:sz w:val="24"/>
          <w:szCs w:val="24"/>
        </w:rPr>
        <w:instrText xml:space="preserve"> ADDIN EN.CITE.DATA </w:instrText>
      </w:r>
      <w:r w:rsidRPr="00383E5D">
        <w:rPr>
          <w:rFonts w:ascii="Times New Roman" w:hAnsi="Times New Roman" w:cs="Times New Roman"/>
          <w:sz w:val="24"/>
          <w:szCs w:val="24"/>
        </w:rPr>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(Beyer, Cohen, Lys, and Walther 2010; Blouin and Robinson 2011)</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A component of 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measure is whether firms disclose if the UTB reported includes or excludes interest and penalties.  In their sample, </w:t>
      </w:r>
      <w:proofErr w:type="spellStart"/>
      <w:r w:rsidRPr="00383E5D">
        <w:rPr>
          <w:rFonts w:ascii="Times New Roman" w:hAnsi="Times New Roman" w:cs="Times New Roman"/>
          <w:sz w:val="24"/>
          <w:szCs w:val="24"/>
        </w:rPr>
        <w:t>Blouin</w:t>
      </w:r>
      <w:proofErr w:type="spellEnd"/>
      <w:r w:rsidRPr="00383E5D">
        <w:rPr>
          <w:rFonts w:ascii="Times New Roman" w:hAnsi="Times New Roman" w:cs="Times New Roman"/>
          <w:sz w:val="24"/>
          <w:szCs w:val="24"/>
        </w:rPr>
        <w:t xml:space="preserve">, Gleason, Mills, and Sikes (2007) find that the aggregate UTB could range from $70 to $78 billion, depending upon the assumption as to whether the disclosed UTB reserve contains interest.  </w:t>
      </w:r>
      <w:proofErr w:type="spellStart"/>
      <w:r w:rsidRPr="00383E5D">
        <w:rPr>
          <w:rFonts w:ascii="Times New Roman" w:hAnsi="Times New Roman" w:cs="Times New Roman"/>
          <w:sz w:val="24"/>
          <w:szCs w:val="24"/>
        </w:rPr>
        <w:t>Blouin</w:t>
      </w:r>
      <w:proofErr w:type="spellEnd"/>
      <w:r w:rsidRPr="00383E5D">
        <w:rPr>
          <w:rFonts w:ascii="Times New Roman" w:hAnsi="Times New Roman" w:cs="Times New Roman"/>
          <w:sz w:val="24"/>
          <w:szCs w:val="24"/>
        </w:rPr>
        <w:t xml:space="preserve"> and Robinson (2011) conclude their submission to the FAF’s Post-Implementation Review of FIN 48 by stating, “If disclosure practices are too varied, then strides in increasing the comparability of UTB balances may yield little benefit to shareholders.”  </w:t>
      </w:r>
    </w:p>
    <w:p w14:paraId="764ACAEA"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A recent FASB exposure draft reports that FIN 48 users do not use disclosures about unrecognized tax benefits for modeling purposes, but they do use the disclosures to assess how aggressive an entity is with its tax positions (FASB 2016).  This finding is inconsistent with the conclusions reported in the FAF’s 2012 FIN 48 Post-Implementation Review</w:t>
      </w:r>
      <w:r>
        <w:rPr>
          <w:rFonts w:ascii="Times New Roman" w:hAnsi="Times New Roman" w:cs="Times New Roman"/>
          <w:sz w:val="24"/>
          <w:szCs w:val="24"/>
        </w:rPr>
        <w:t>,</w:t>
      </w:r>
      <w:r w:rsidRPr="00383E5D">
        <w:rPr>
          <w:rFonts w:ascii="Times New Roman" w:hAnsi="Times New Roman" w:cs="Times New Roman"/>
          <w:sz w:val="24"/>
          <w:szCs w:val="24"/>
        </w:rPr>
        <w:t xml:space="preserve"> which states that investors use the information included in FIN 48 disclosures to predict income tax cash flows and to assess how aggressive management are in their income tax strategies (FAF 2012).  This change </w:t>
      </w:r>
      <w:r>
        <w:rPr>
          <w:rFonts w:ascii="Times New Roman" w:hAnsi="Times New Roman" w:cs="Times New Roman"/>
          <w:sz w:val="24"/>
          <w:szCs w:val="24"/>
        </w:rPr>
        <w:t xml:space="preserve">in how investors use FIN 48 </w:t>
      </w:r>
      <w:r w:rsidRPr="00383E5D">
        <w:rPr>
          <w:rFonts w:ascii="Times New Roman" w:hAnsi="Times New Roman" w:cs="Times New Roman"/>
          <w:sz w:val="24"/>
          <w:szCs w:val="24"/>
        </w:rPr>
        <w:t>suggests that since the adoption of FIN 48, there has been a change in investor’s ability to gain useful information from FIN 48 disclosures.  This is consistent with recent SEC Comment letters that find that FIN 48 disclosures lack sufficient clarity to be useful to financial statement users (Pw</w:t>
      </w:r>
      <w:r>
        <w:rPr>
          <w:rFonts w:ascii="Times New Roman" w:hAnsi="Times New Roman" w:cs="Times New Roman"/>
          <w:sz w:val="24"/>
          <w:szCs w:val="24"/>
        </w:rPr>
        <w:t>C</w:t>
      </w:r>
      <w:r w:rsidRPr="00383E5D">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383E5D">
        <w:rPr>
          <w:rFonts w:ascii="Times New Roman" w:hAnsi="Times New Roman" w:cs="Times New Roman"/>
          <w:sz w:val="24"/>
          <w:szCs w:val="24"/>
        </w:rPr>
        <w:t xml:space="preserve">Thus, there are implications for financial statement users if increased tax return reporting is also associated with reduced disclosure quality that diminishes the relevance, transparency and comparability and ultimately the usefulness of public tax disclosures that standard setters intended with the passage of FIN 48.  </w:t>
      </w:r>
    </w:p>
    <w:p w14:paraId="729C84FC" w14:textId="77777777" w:rsidR="00B6363E" w:rsidRDefault="00B6363E" w:rsidP="00340A0A">
      <w:pPr>
        <w:spacing w:after="0" w:line="480" w:lineRule="auto"/>
        <w:jc w:val="both"/>
        <w:rPr>
          <w:rFonts w:ascii="Times New Roman" w:hAnsi="Times New Roman" w:cs="Times New Roman"/>
          <w:b/>
          <w:sz w:val="24"/>
          <w:szCs w:val="24"/>
        </w:rPr>
      </w:pPr>
    </w:p>
    <w:p w14:paraId="32632DB1" w14:textId="77777777" w:rsidR="00B6363E" w:rsidRDefault="00B6363E" w:rsidP="00340A0A">
      <w:pPr>
        <w:spacing w:after="0" w:line="480" w:lineRule="auto"/>
        <w:jc w:val="both"/>
        <w:rPr>
          <w:rFonts w:ascii="Times New Roman" w:hAnsi="Times New Roman" w:cs="Times New Roman"/>
          <w:b/>
          <w:sz w:val="24"/>
          <w:szCs w:val="24"/>
        </w:rPr>
      </w:pPr>
    </w:p>
    <w:p w14:paraId="2E5777DB" w14:textId="778B3452" w:rsidR="00340A0A" w:rsidRPr="00383E5D" w:rsidRDefault="00340A0A" w:rsidP="00340A0A">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Tax Return Reporting - IRS Schedule UTP</w:t>
      </w:r>
    </w:p>
    <w:p w14:paraId="6C9DE858"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The final version of Schedule UTP released on September 24, 2010, requires firms with assets of $100 million or greater to disclose a narrative description, but not the amount, for each federal uncertain tax position for which they have </w:t>
      </w:r>
      <w:r>
        <w:rPr>
          <w:rFonts w:ascii="Times New Roman" w:hAnsi="Times New Roman" w:cs="Times New Roman"/>
          <w:sz w:val="24"/>
          <w:szCs w:val="24"/>
        </w:rPr>
        <w:t xml:space="preserve">a FIN 48 </w:t>
      </w:r>
      <w:r w:rsidRPr="00383E5D">
        <w:rPr>
          <w:rFonts w:ascii="Times New Roman" w:hAnsi="Times New Roman" w:cs="Times New Roman"/>
          <w:sz w:val="24"/>
          <w:szCs w:val="24"/>
        </w:rPr>
        <w:t xml:space="preserve">reserve in their financial statements.  Firms are required to separately disclose federal uncertain tax positions for the current year and accumulated prior year positions that are still pending.  </w:t>
      </w:r>
      <w:r>
        <w:rPr>
          <w:rFonts w:ascii="Times New Roman" w:hAnsi="Times New Roman" w:cs="Times New Roman"/>
          <w:sz w:val="24"/>
          <w:szCs w:val="24"/>
        </w:rPr>
        <w:t>There is a transition rule whereby a firm is not required to report a tax position taken in a tax year beginning before January 1, 2010, even if a reserve is recorded with respect to that tax position in audited financial statements issued in 2010 or later.  Also, a</w:t>
      </w:r>
      <w:r w:rsidRPr="00383E5D">
        <w:rPr>
          <w:rFonts w:ascii="Times New Roman" w:hAnsi="Times New Roman" w:cs="Times New Roman"/>
          <w:sz w:val="24"/>
          <w:szCs w:val="24"/>
        </w:rPr>
        <w:t>t adoption Schedule UTP included a planned roll-out of Schedule UTP to firms with assets of $50 million and $10 million in assets in 2012 and 2014, respectively.  Thus, the implications of increased Schedule UTP tax reporting are relevant for small firms that become subject to Schedule UTP in subsequent years.</w:t>
      </w:r>
    </w:p>
    <w:p w14:paraId="00E7655E"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IRS Commissioner Doug Shulman introduced Schedule UTP in a January 2010 speech made to the New York State Bar Association Taxation Section.  In practice, prior to Schedule UTP, the aggregated nature of the reserve balance prevented federal, state, and foreign tax authorities from determining whether the reserves related to tax positions claimed in their respective jurisdictions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&lt;EndNote&gt;&lt;Cite&gt;&lt;Author&gt;Towery&lt;/Author&gt;&lt;Year&gt;2016&lt;/Year&gt;&lt;RecNum&gt;339&lt;/RecNum&gt;&lt;DisplayText&gt;(Towery 2016)&lt;/DisplayText&gt;&lt;record&gt;&lt;rec-number&gt;339&lt;/rec-number&gt;&lt;foreign-keys&gt;&lt;key app="EN" db-id="0epr20wz6v0vdyes25e5vdd8ssfd2e0srwex" timestamp="1461800442"&gt;339&lt;/key&gt;&lt;/foreign-keys&gt;&lt;ref-type name="Report"&gt;27&lt;/ref-type&gt;&lt;contributors&gt;&lt;authors&gt;&lt;author&gt;Towery, Erin&lt;/author&gt;&lt;/authors&gt;&lt;/contributors&gt;&lt;titles&gt;&lt;title&gt;Unintended consequences of linking tax return disclosures of tax uncertainty to financial reporting for tax uncertainty &lt;/title&gt;&lt;/titles&gt;&lt;dates&gt;&lt;year&gt;2016&lt;/year&gt;&lt;/dates&gt;&lt;publisher&gt;Working paper, University of Georgia&lt;/publisher&gt;&lt;urls&gt;&lt;/urls&gt;&lt;/record&gt;&lt;/Cite&gt;&lt;/EndNote&gt;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(Towery 2017)</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In his remarks, Commissioner Schulman indicated a desire to increase efficiency in the audit process and to reduce the amount of time the IRS spent searching for taxpayer issues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&lt;EndNote&gt;&lt;Cite&gt;&lt;Author&gt;Shulman&lt;/Author&gt;&lt;Year&gt;2010&lt;/Year&gt;&lt;RecNum&gt;780&lt;/RecNum&gt;&lt;DisplayText&gt;(Shulman 2010)&lt;/DisplayText&gt;&lt;record&gt;&lt;rec-number&gt;780&lt;/rec-number&gt;&lt;foreign-keys&gt;&lt;key app="EN" db-id="0epr20wz6v0vdyes25e5vdd8ssfd2e0srwex" timestamp="1474165576"&gt;780&lt;/key&gt;&lt;/foreign-keys&gt;&lt;ref-type name="Journal Article"&gt;17&lt;/ref-type&gt;&lt;contributors&gt;&lt;authors&gt;&lt;author&gt;Shulman, D.&lt;/author&gt;&lt;/authors&gt;&lt;/contributors&gt;&lt;titles&gt;&lt;title&gt;Prepared remarks of Commissioner of Internal Revenue Douglas Shulman&lt;/title&gt;&lt;secondary-title&gt;New York State Bar Association Taxation Section Annual Meeting&lt;/secondary-title&gt;&lt;/titles&gt;&lt;periodical&gt;&lt;full-title&gt;New York State Bar Association Taxation Section Annual Meeting&lt;/full-title&gt;&lt;/periodical&gt;&lt;number&gt;https://www.aicpa.org/Advocacy/Tax/DownloadableDocuments/Shulman-speech-NYSBA-on-FIN-48-1-26-10.docx &lt;/number&gt;&lt;dates&gt;&lt;year&gt;2010&lt;/year&gt;&lt;/dates&gt;&lt;urls&gt;&lt;/urls&gt;&lt;/record&gt;&lt;/Cite&gt;&lt;/EndNote&gt;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(Shulman 2010)</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Practitioners and professional organizations tried to pressure the IRS to abandon the initiative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&lt;EndNote&gt;&lt;Cite&gt;&lt;Author&gt;Towery&lt;/Author&gt;&lt;Year&gt;2016&lt;/Year&gt;&lt;RecNum&gt;339&lt;/RecNum&gt;&lt;DisplayText&gt;(Towery 2016)&lt;/DisplayText&gt;&lt;record&gt;&lt;rec-number&gt;339&lt;/rec-number&gt;&lt;foreign-keys&gt;&lt;key app="EN" db-id="0epr20wz6v0vdyes25e5vdd8ssfd2e0srwex" timestamp="1461800442"&gt;339&lt;/key&gt;&lt;/foreign-keys&gt;&lt;ref-type name="Report"&gt;27&lt;/ref-type&gt;&lt;contributors&gt;&lt;authors&gt;&lt;author&gt;Towery, Erin&lt;/author&gt;&lt;/authors&gt;&lt;/contributors&gt;&lt;titles&gt;&lt;title&gt;Unintended consequences of linking tax return disclosures of tax uncertainty to financial reporting for tax uncertainty &lt;/title&gt;&lt;/titles&gt;&lt;dates&gt;&lt;year&gt;2016&lt;/year&gt;&lt;/dates&gt;&lt;publisher&gt;Working paper, University of Georgia&lt;/publisher&gt;&lt;urls&gt;&lt;/urls&gt;&lt;/record&gt;&lt;/Cite&gt;&lt;/EndNote&gt;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(Towery 2017)</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Robert Mathers, a member of the AICPA Tax Practice Responsibilities Committee, referred to the Schedule UTP as a “road map to potential audit issues” (Mathers and Kmiecik 2015).  Prior research supports the notion that investors believe Schedule UTP provides the ‘‘road map’’ to the IRS that FIN 48 on its own did not (Abernathy, Davenport, and </w:t>
      </w:r>
      <w:proofErr w:type="spellStart"/>
      <w:r w:rsidRPr="00383E5D">
        <w:rPr>
          <w:rFonts w:ascii="Times New Roman" w:hAnsi="Times New Roman" w:cs="Times New Roman"/>
          <w:sz w:val="24"/>
          <w:szCs w:val="24"/>
        </w:rPr>
        <w:t>Rapley</w:t>
      </w:r>
      <w:proofErr w:type="spellEnd"/>
      <w:r w:rsidRPr="00383E5D">
        <w:rPr>
          <w:rFonts w:ascii="Times New Roman" w:hAnsi="Times New Roman" w:cs="Times New Roman"/>
          <w:sz w:val="24"/>
          <w:szCs w:val="24"/>
        </w:rPr>
        <w:t xml:space="preserve"> 2013).  </w:t>
      </w:r>
    </w:p>
    <w:p w14:paraId="4828821E" w14:textId="77777777" w:rsidR="00340A0A" w:rsidRPr="00383E5D" w:rsidRDefault="00340A0A" w:rsidP="00340A0A">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Regulatory Interaction</w:t>
      </w:r>
    </w:p>
    <w:p w14:paraId="551490DD" w14:textId="77777777" w:rsidR="00340A0A" w:rsidRPr="00383E5D" w:rsidRDefault="00340A0A" w:rsidP="00340A0A">
      <w:pPr>
        <w:spacing w:line="480" w:lineRule="auto"/>
        <w:ind w:firstLine="720"/>
        <w:rPr>
          <w:rFonts w:ascii="Times New Roman" w:hAnsi="Times New Roman" w:cs="Times New Roman"/>
          <w:sz w:val="24"/>
          <w:szCs w:val="24"/>
        </w:rPr>
      </w:pPr>
      <w:r w:rsidRPr="00383E5D">
        <w:rPr>
          <w:rFonts w:ascii="Times New Roman" w:hAnsi="Times New Roman" w:cs="Times New Roman"/>
          <w:sz w:val="24"/>
          <w:szCs w:val="24"/>
        </w:rPr>
        <w:t>Regulatory interaction is the combination of requirements to publicly disclose some information and privately disclose other information to regulators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Hoopes, </w:t>
      </w:r>
      <w:proofErr w:type="spellStart"/>
      <w:r w:rsidRPr="00383E5D">
        <w:rPr>
          <w:rFonts w:ascii="Times New Roman" w:hAnsi="Times New Roman" w:cs="Times New Roman"/>
          <w:sz w:val="24"/>
          <w:szCs w:val="24"/>
        </w:rPr>
        <w:t>Thornock</w:t>
      </w:r>
      <w:proofErr w:type="spellEnd"/>
      <w:r w:rsidRPr="00383E5D">
        <w:rPr>
          <w:rFonts w:ascii="Times New Roman" w:hAnsi="Times New Roman" w:cs="Times New Roman"/>
          <w:sz w:val="24"/>
          <w:szCs w:val="24"/>
        </w:rPr>
        <w:t>, and Williams 2017).  Schedule UTP enables the IRS to link federal uncertain tax positions reported on the Schedule UTP to information included in a firm’s public FIN 48 disclosures.  Schedule UTP, along with any incremental information garnered from FIN 48 disclosures can help the IRS to refine and target its audit process and procedures.  In the IRS’s Modified Policy of Restraint issued in conjunction with the implementation of IRS Schedule UTP, the IRS is not allowed to request documents privileged under attorney-client privilege, tax advice privilege, or the work product doctrine.  Thus, the ability to link information from public tax disclosures to private tax reporting is a likely “road map” mechanism.</w:t>
      </w:r>
    </w:p>
    <w:p w14:paraId="11065D08" w14:textId="77777777" w:rsidR="00340A0A" w:rsidRPr="00383E5D" w:rsidRDefault="00340A0A" w:rsidP="00340A0A">
      <w:pPr>
        <w:spacing w:line="480" w:lineRule="auto"/>
        <w:ind w:firstLine="720"/>
        <w:rPr>
          <w:rFonts w:ascii="Times New Roman" w:hAnsi="Times New Roman" w:cs="Times New Roman"/>
          <w:sz w:val="24"/>
          <w:szCs w:val="24"/>
        </w:rPr>
      </w:pPr>
      <w:r w:rsidRPr="00383E5D">
        <w:rPr>
          <w:rFonts w:ascii="Times New Roman" w:hAnsi="Times New Roman" w:cs="Times New Roman"/>
          <w:sz w:val="24"/>
          <w:szCs w:val="24"/>
        </w:rPr>
        <w:t>There are a number of ways that the IRS can link Schedule UTP to information in FIN 48 disclosures.  For example, if a firm lists a new uncertain tax position on Schedule UTP, this item can be traced to the firm’s explanation of the dollar amount of current year UTB changes.</w:t>
      </w:r>
      <w:r>
        <w:rPr>
          <w:rStyle w:val="FootnoteReference"/>
          <w:rFonts w:ascii="Times New Roman" w:hAnsi="Times New Roman" w:cs="Times New Roman"/>
          <w:sz w:val="24"/>
          <w:szCs w:val="24"/>
        </w:rPr>
        <w:footnoteReference w:id="10"/>
      </w:r>
      <w:r w:rsidRPr="00383E5D">
        <w:rPr>
          <w:rFonts w:ascii="Times New Roman" w:hAnsi="Times New Roman" w:cs="Times New Roman"/>
          <w:sz w:val="24"/>
          <w:szCs w:val="24"/>
        </w:rPr>
        <w:t xml:space="preserve">  </w:t>
      </w:r>
      <w:r>
        <w:rPr>
          <w:rFonts w:ascii="Times New Roman" w:hAnsi="Times New Roman" w:cs="Times New Roman"/>
          <w:sz w:val="24"/>
          <w:szCs w:val="24"/>
        </w:rPr>
        <w:t>Furthermore</w:t>
      </w:r>
      <w:r w:rsidRPr="00383E5D">
        <w:rPr>
          <w:rFonts w:ascii="Times New Roman" w:hAnsi="Times New Roman" w:cs="Times New Roman"/>
          <w:sz w:val="24"/>
          <w:szCs w:val="24"/>
        </w:rPr>
        <w:t>, Schedule UTP requires firms to indicate if a position causes a permanent and/or temporary tax difference.  If a firm chooses to disclose the portion of the UTB balance that impacts the effective tax rate or provides an explanation for the portion of their UTB balance that does not affect their effective tax rate, this scenario again provides incremental information to the IRS that could allow the IRS to better ascertain the dollar magnitude of reserves for specific UTPs.</w:t>
      </w:r>
      <w:r w:rsidRPr="00383E5D">
        <w:rPr>
          <w:rStyle w:val="FootnoteReference"/>
          <w:rFonts w:ascii="Times New Roman" w:hAnsi="Times New Roman" w:cs="Times New Roman"/>
          <w:sz w:val="24"/>
          <w:szCs w:val="24"/>
        </w:rPr>
        <w:footnoteReference w:id="11"/>
      </w:r>
      <w:r w:rsidRPr="00383E5D">
        <w:rPr>
          <w:rFonts w:ascii="Times New Roman" w:hAnsi="Times New Roman" w:cs="Times New Roman"/>
          <w:sz w:val="24"/>
          <w:szCs w:val="24"/>
        </w:rPr>
        <w:t xml:space="preserve">  If a firm chooses to disclose its accrued interest and penalties related to UTB balances separately, revealing large accrued penalties, this documentation signals that the firm has relatively aggressive uncertain tax positions that the firm deems would result in penalties in addition to interest were those positions to be audited by tax authorities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&lt;EndNote&gt;&lt;Cite&gt;&lt;Author&gt;Robinson&lt;/Author&gt;&lt;Year&gt;2013&lt;/Year&gt;&lt;RecNum&gt;256&lt;/RecNum&gt;&lt;DisplayText&gt;(Robinson and Schmidt 2013)&lt;/DisplayText&gt;&lt;record&gt;&lt;rec-number&gt;256&lt;/rec-number&gt;&lt;foreign-keys&gt;&lt;key app="EN" db-id="0epr20wz6v0vdyes25e5vdd8ssfd2e0srwex" timestamp="1461800400"&gt;256&lt;/key&gt;&lt;/foreign-keys&gt;&lt;ref-type name="Journal Article"&gt;17&lt;/ref-type&gt;&lt;contributors&gt;&lt;authors&gt;&lt;author&gt;Robinson, Leslie A&lt;/author&gt;&lt;author&gt;Schmidt, Andrew P&lt;/author&gt;&lt;/authors&gt;&lt;/contributors&gt;&lt;titles&gt;&lt;title&gt;Firm and investor responses to uncertain tax benefit disclosure requirements&lt;/title&gt;&lt;secondary-title&gt;The Journal of the American Taxation Association&lt;/secondary-title&gt;&lt;/titles&gt;&lt;periodical&gt;&lt;full-title&gt;The Journal of the American Taxation Association&lt;/full-title&gt;&lt;/periodical&gt;&lt;pages&gt;85-120&lt;/pages&gt;&lt;volume&gt;35&lt;/volume&gt;&lt;number&gt;2&lt;/number&gt;&lt;dates&gt;&lt;year&gt;2013&lt;/year&gt;&lt;/dates&gt;&lt;isbn&gt;0198-9073&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(Robinson and Schmidt 2013)</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If a firm chooses to disclose that it expects to reduce its UTB balance in the next year due to expiration, this narrative allows the IRS to trace the UTB reserve amounts to those federal uncertain tax positions that are set to expire in the next year and gain a sense of potential magnitude relating to federal positions.  The same is true if a firm discloses a UTB amount that it expects to settle within the year.  Thus, Schedule UTP may increase the proprietary costs of firms publicly disclosing incremental information in financial statement FIN 48 disclosures.</w:t>
      </w:r>
    </w:p>
    <w:p w14:paraId="3C2BC137"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Prior research finds that firms reduced reported FIN 48 reserve balances in response to the adoption of IRS Schedule UTP in 2010 (Abernathy et al. 2013; Towery 2017).  Using confidential IRS data, Towery (2017) finds that after the imposition of Schedule UTP tax reporting requirements, firms report lower FIN 48 tax reserves for financial reporting purposes, but do not claim fewer income tax benefits on their federal tax returns.  This finding suggests that some firms changed their financial reporting of UTB reserves for uncertain tax positions to avoid Schedule UTP reporting requirements without changing the underlying positions.  Towery (2017) interprets the result as an unintended consequence of increased tax return reporting that firms permanently reduce their financial reporting of FIN 48 reserve balances.  As such, it is possible that in addition to reducing UTB balances reported, firms also change the information disclosed about remaining UTB balances.  In other words, the FIN 48 reserve balance is one lever that a firm can maneuver in response to IRS Schedule UTP.  FIN 48 disclosure quality is another, potentially less costly, level that firms can manipulate in response to IRS Schedule UTP.  Less costly, because auditors may be less likely to question a </w:t>
      </w:r>
      <w:r>
        <w:rPr>
          <w:rFonts w:ascii="Times New Roman" w:hAnsi="Times New Roman" w:cs="Times New Roman"/>
          <w:sz w:val="24"/>
          <w:szCs w:val="24"/>
        </w:rPr>
        <w:t xml:space="preserve">FIN 48 disclosure </w:t>
      </w:r>
      <w:r w:rsidRPr="00383E5D">
        <w:rPr>
          <w:rFonts w:ascii="Times New Roman" w:hAnsi="Times New Roman" w:cs="Times New Roman"/>
          <w:sz w:val="24"/>
          <w:szCs w:val="24"/>
        </w:rPr>
        <w:t>change tha</w:t>
      </w:r>
      <w:r>
        <w:rPr>
          <w:rFonts w:ascii="Times New Roman" w:hAnsi="Times New Roman" w:cs="Times New Roman"/>
          <w:sz w:val="24"/>
          <w:szCs w:val="24"/>
        </w:rPr>
        <w:t xml:space="preserve">n they would be to question a </w:t>
      </w:r>
      <w:r w:rsidRPr="00383E5D">
        <w:rPr>
          <w:rFonts w:ascii="Times New Roman" w:hAnsi="Times New Roman" w:cs="Times New Roman"/>
          <w:sz w:val="24"/>
          <w:szCs w:val="24"/>
        </w:rPr>
        <w:t xml:space="preserve">change to the actual </w:t>
      </w:r>
      <w:r>
        <w:rPr>
          <w:rFonts w:ascii="Times New Roman" w:hAnsi="Times New Roman" w:cs="Times New Roman"/>
          <w:sz w:val="24"/>
          <w:szCs w:val="24"/>
        </w:rPr>
        <w:t xml:space="preserve">FIN 48 </w:t>
      </w:r>
      <w:r w:rsidRPr="00383E5D">
        <w:rPr>
          <w:rFonts w:ascii="Times New Roman" w:hAnsi="Times New Roman" w:cs="Times New Roman"/>
          <w:sz w:val="24"/>
          <w:szCs w:val="24"/>
        </w:rPr>
        <w:t xml:space="preserve">reserve.  Information that a firm discloses in its FIN 48 financial statement disclosure has the potential to allow the IRS to infer more accurate estimates of the magnitude of uncertain tax positions listed on Schedule UTP.  This conglomeration of public and private data is a proprietary cost that potentially impacts the ability of firms to negotiate with the IRS during the audit process.  </w:t>
      </w:r>
      <w:r>
        <w:rPr>
          <w:rFonts w:ascii="Times New Roman" w:hAnsi="Times New Roman" w:cs="Times New Roman"/>
          <w:sz w:val="24"/>
          <w:szCs w:val="24"/>
        </w:rPr>
        <w:t>Thus, h</w:t>
      </w:r>
      <w:r w:rsidRPr="00383E5D">
        <w:rPr>
          <w:rFonts w:ascii="Times New Roman" w:hAnsi="Times New Roman" w:cs="Times New Roman"/>
          <w:sz w:val="24"/>
          <w:szCs w:val="24"/>
        </w:rPr>
        <w:t xml:space="preserve">igher quality FIN 48 disclosures can effectively reduce noise for the IRS by increasing the disaggregating signals (Banker and </w:t>
      </w:r>
      <w:proofErr w:type="spellStart"/>
      <w:r w:rsidRPr="00383E5D">
        <w:rPr>
          <w:rFonts w:ascii="Times New Roman" w:hAnsi="Times New Roman" w:cs="Times New Roman"/>
          <w:sz w:val="24"/>
          <w:szCs w:val="24"/>
        </w:rPr>
        <w:t>Datar</w:t>
      </w:r>
      <w:proofErr w:type="spellEnd"/>
      <w:r w:rsidRPr="00383E5D">
        <w:rPr>
          <w:rFonts w:ascii="Times New Roman" w:hAnsi="Times New Roman" w:cs="Times New Roman"/>
          <w:sz w:val="24"/>
          <w:szCs w:val="24"/>
        </w:rPr>
        <w:t xml:space="preserve"> 1989).  Disaggregating signals being that the more detailed and precise FIN 48 disclosures are, the less noise the IRS has to decipher in order to gain information that complements private disclosures in IRS Schedule UTP.  Higher quality FIN 48 financial statement disclosures have the potential to aid the IRS in levying more accurate assessments and more efficiently allocating constrained audit resources.</w:t>
      </w:r>
    </w:p>
    <w:p w14:paraId="6509C5BE"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3CBA6319" w14:textId="3A0B7810" w:rsidR="00B82EB2" w:rsidRPr="009A14DA" w:rsidRDefault="00CC61EC" w:rsidP="0017501A">
      <w:pPr>
        <w:spacing w:after="0" w:line="480" w:lineRule="auto"/>
        <w:jc w:val="both"/>
        <w:rPr>
          <w:rFonts w:ascii="Times New Roman" w:hAnsi="Times New Roman" w:cs="Times New Roman"/>
          <w:b/>
          <w:sz w:val="24"/>
          <w:szCs w:val="24"/>
        </w:rPr>
      </w:pPr>
      <w:r w:rsidRPr="009A14DA">
        <w:rPr>
          <w:rFonts w:ascii="Times New Roman" w:hAnsi="Times New Roman" w:cs="Times New Roman"/>
          <w:b/>
          <w:sz w:val="24"/>
          <w:szCs w:val="24"/>
        </w:rPr>
        <w:t xml:space="preserve">III. </w:t>
      </w:r>
      <w:r w:rsidR="00B82EB2" w:rsidRPr="009A14DA">
        <w:rPr>
          <w:rFonts w:ascii="Times New Roman" w:hAnsi="Times New Roman" w:cs="Times New Roman"/>
          <w:b/>
          <w:sz w:val="24"/>
          <w:szCs w:val="24"/>
        </w:rPr>
        <w:t>Hypothesis Development</w:t>
      </w:r>
    </w:p>
    <w:p w14:paraId="74AD0316"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Disclosure theory posits that, provided certain frictions are not present, managers will disclose all </w:t>
      </w:r>
      <w:r>
        <w:rPr>
          <w:rFonts w:ascii="Times New Roman" w:hAnsi="Times New Roman" w:cs="Times New Roman"/>
          <w:sz w:val="24"/>
          <w:szCs w:val="24"/>
        </w:rPr>
        <w:t xml:space="preserve">material </w:t>
      </w:r>
      <w:r w:rsidRPr="00383E5D">
        <w:rPr>
          <w:rFonts w:ascii="Times New Roman" w:hAnsi="Times New Roman" w:cs="Times New Roman"/>
          <w:sz w:val="24"/>
          <w:szCs w:val="24"/>
        </w:rPr>
        <w:t xml:space="preserve">information in a timely and high-quality manner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&lt;EndNote&gt;&lt;Cite&gt;&lt;Author&gt;Grossman&lt;/Author&gt;&lt;Year&gt;1980&lt;/Year&gt;&lt;RecNum&gt;365&lt;/RecNum&gt;&lt;DisplayText&gt;(Grossman and Hart 1980)&lt;/DisplayText&gt;&lt;record&gt;&lt;rec-number&gt;365&lt;/rec-number&gt;&lt;foreign-keys&gt;&lt;key app="EN" db-id="0epr20wz6v0vdyes25e5vdd8ssfd2e0srwex" timestamp="1461800452"&gt;365&lt;/key&gt;&lt;/foreign-keys&gt;&lt;ref-type name="Journal Article"&gt;17&lt;/ref-type&gt;&lt;contributors&gt;&lt;authors&gt;&lt;author&gt;Grossman, Sanford J&lt;/author&gt;&lt;author&gt;Hart, Oliver D&lt;/author&gt;&lt;/authors&gt;&lt;/contributors&gt;&lt;titles&gt;&lt;title&gt;Disclosure laws and takeover bids&lt;/title&gt;&lt;secondary-title&gt;The Journal of Finance&lt;/secondary-title&gt;&lt;/titles&gt;&lt;periodical&gt;&lt;full-title&gt;The journal of finance&lt;/full-title&gt;&lt;/periodical&gt;&lt;pages&gt;323-334&lt;/pages&gt;&lt;volume&gt;35&lt;/volume&gt;&lt;number&gt;2&lt;/number&gt;&lt;dates&gt;&lt;year&gt;1980&lt;/year&gt;&lt;/dates&gt;&lt;isbn&gt;1540-6261&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(Grossman and Hart 1980)</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In the disclosure setting, frictions are associated with costs managers will incur from high-quality timely disclosures.  There is an inherent information asymmetry between the IRS and firms, which</w:t>
      </w:r>
      <w:r w:rsidRPr="00383E5D">
        <w:rPr>
          <w:rFonts w:ascii="Times New Roman" w:hAnsi="Times New Roman" w:cs="Times New Roman"/>
        </w:rPr>
        <w:t xml:space="preserve"> </w:t>
      </w:r>
      <w:r w:rsidRPr="00383E5D">
        <w:rPr>
          <w:rFonts w:ascii="Times New Roman" w:hAnsi="Times New Roman" w:cs="Times New Roman"/>
          <w:sz w:val="24"/>
          <w:szCs w:val="24"/>
        </w:rPr>
        <w:t xml:space="preserve">can affect a firms’ willingness to publicly disclose tax information.  There was initial concern that FIN 48 disclosures would act as a “roadmap” for the IRS, pointing the IRS towards plausibly contestable tax issues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&lt;EndNote&gt;&lt;Cite&gt;&lt;Author&gt;Leone&lt;/Author&gt;&lt;Year&gt;2007&lt;/Year&gt;&lt;RecNum&gt;798&lt;/RecNum&gt;&lt;DisplayText&gt;(Leone 2007)&lt;/DisplayText&gt;&lt;record&gt;&lt;rec-number&gt;798&lt;/rec-number&gt;&lt;foreign-keys&gt;&lt;key app="EN" db-id="0epr20wz6v0vdyes25e5vdd8ssfd2e0srwex" timestamp="1474416054"&gt;798&lt;/key&gt;&lt;/foreign-keys&gt;&lt;ref-type name="Journal Article"&gt;17&lt;/ref-type&gt;&lt;contributors&gt;&lt;authors&gt;&lt;author&gt;Leone, M.&lt;/author&gt;&lt;/authors&gt;&lt;/contributors&gt;&lt;titles&gt;&lt;title&gt;FIN 48: Standing Naked Before the IRS&lt;/title&gt;&lt;secondary-title&gt;CFO&lt;/secondary-title&gt;&lt;/titles&gt;&lt;periodical&gt;&lt;full-title&gt;CFO&lt;/full-title&gt;&lt;/periodical&gt;&lt;dates&gt;&lt;year&gt;2007&lt;/year&gt;&lt;/dates&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sz w:val="24"/>
          <w:szCs w:val="24"/>
        </w:rPr>
        <w:t>(Leone 2007)</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w:t>
      </w:r>
      <w:r w:rsidRPr="00383E5D">
        <w:rPr>
          <w:rFonts w:ascii="Times New Roman" w:hAnsi="Times New Roman" w:cs="Times New Roman"/>
        </w:rPr>
        <w:t xml:space="preserve"> </w:t>
      </w:r>
      <w:r w:rsidRPr="00383E5D">
        <w:rPr>
          <w:rFonts w:ascii="Times New Roman" w:hAnsi="Times New Roman" w:cs="Times New Roman"/>
          <w:sz w:val="24"/>
          <w:szCs w:val="24"/>
        </w:rPr>
        <w:t xml:space="preserve"> The IRS introduced Schedule UTP in 2010, confirming the IRS’s interest in and focus on uncertain tax positions to increase the efficiency and effectiveness of corporate tax audits (Harvey 2010).  It is possible that IRS Schedule UTP heightens proprietary costs because of the increased risk of disclosing incremental or complementary information that the IRS is now able to trace to private tax return disclosures.  If managers believe that IRS Schedule UTP increases proprietary costs, they may react by reducing FIN 48 financial statement disclosure quality.  This reaction would be with consistent </w:t>
      </w:r>
      <w:proofErr w:type="spellStart"/>
      <w:r w:rsidRPr="00383E5D">
        <w:rPr>
          <w:rFonts w:ascii="Times New Roman" w:hAnsi="Times New Roman" w:cs="Times New Roman"/>
          <w:sz w:val="24"/>
          <w:szCs w:val="24"/>
        </w:rPr>
        <w:t>Wagenhofer</w:t>
      </w:r>
      <w:proofErr w:type="spellEnd"/>
      <w:r w:rsidRPr="00383E5D">
        <w:rPr>
          <w:rFonts w:ascii="Times New Roman" w:hAnsi="Times New Roman" w:cs="Times New Roman"/>
          <w:sz w:val="24"/>
          <w:szCs w:val="24"/>
        </w:rPr>
        <w:t xml:space="preserve"> (1990) and </w:t>
      </w:r>
      <w:proofErr w:type="spellStart"/>
      <w:r w:rsidRPr="00383E5D">
        <w:rPr>
          <w:rFonts w:ascii="Times New Roman" w:hAnsi="Times New Roman" w:cs="Times New Roman"/>
          <w:sz w:val="24"/>
          <w:szCs w:val="24"/>
        </w:rPr>
        <w:t>Verrecchia</w:t>
      </w:r>
      <w:proofErr w:type="spellEnd"/>
      <w:r w:rsidRPr="00383E5D">
        <w:rPr>
          <w:rFonts w:ascii="Times New Roman" w:hAnsi="Times New Roman" w:cs="Times New Roman"/>
          <w:sz w:val="24"/>
          <w:szCs w:val="24"/>
        </w:rPr>
        <w:t xml:space="preserve"> (1983) that suggest managerial concerns of revealing proprietary information could limit full disclosure.  Consequently, it is possible then that increased tax return reporting </w:t>
      </w:r>
      <w:r>
        <w:rPr>
          <w:rFonts w:ascii="Times New Roman" w:hAnsi="Times New Roman" w:cs="Times New Roman"/>
          <w:sz w:val="24"/>
          <w:szCs w:val="24"/>
        </w:rPr>
        <w:t>leads to r</w:t>
      </w:r>
      <w:r w:rsidRPr="00383E5D">
        <w:rPr>
          <w:rFonts w:ascii="Times New Roman" w:hAnsi="Times New Roman" w:cs="Times New Roman"/>
          <w:sz w:val="24"/>
          <w:szCs w:val="24"/>
        </w:rPr>
        <w:t>educe</w:t>
      </w:r>
      <w:r>
        <w:rPr>
          <w:rFonts w:ascii="Times New Roman" w:hAnsi="Times New Roman" w:cs="Times New Roman"/>
          <w:sz w:val="24"/>
          <w:szCs w:val="24"/>
        </w:rPr>
        <w:t>d</w:t>
      </w:r>
      <w:r w:rsidRPr="00383E5D">
        <w:rPr>
          <w:rFonts w:ascii="Times New Roman" w:hAnsi="Times New Roman" w:cs="Times New Roman"/>
          <w:sz w:val="24"/>
          <w:szCs w:val="24"/>
        </w:rPr>
        <w:t xml:space="preserve"> financial statement tax disclosure quality.  The firm’s motivation could </w:t>
      </w:r>
      <w:r>
        <w:rPr>
          <w:rFonts w:ascii="Times New Roman" w:hAnsi="Times New Roman" w:cs="Times New Roman"/>
          <w:sz w:val="24"/>
          <w:szCs w:val="24"/>
        </w:rPr>
        <w:t xml:space="preserve">also </w:t>
      </w:r>
      <w:r w:rsidRPr="00383E5D">
        <w:rPr>
          <w:rFonts w:ascii="Times New Roman" w:hAnsi="Times New Roman" w:cs="Times New Roman"/>
          <w:sz w:val="24"/>
          <w:szCs w:val="24"/>
        </w:rPr>
        <w:t xml:space="preserve">be to provide as little information as possible to tax authorities or a desire to maintain the continuity of its usual disclosure pattern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&lt;EndNote&gt;&lt;Cite&gt;&lt;Author&gt;Field&lt;/Author&gt;&lt;Year&gt;2005&lt;/Year&gt;&lt;RecNum&gt;367&lt;/RecNum&gt;&lt;DisplayText&gt;(Field et al. 2005)&lt;/DisplayText&gt;&lt;record&gt;&lt;rec-number&gt;367&lt;/rec-number&gt;&lt;foreign-keys&gt;&lt;key app="EN" db-id="0epr20wz6v0vdyes25e5vdd8ssfd2e0srwex" timestamp="1461800453"&gt;367&lt;/key&gt;&lt;/foreign-keys&gt;&lt;ref-type name="Journal Article"&gt;17&lt;/ref-type&gt;&lt;contributors&gt;&lt;authors&gt;&lt;author&gt;Field, Laura&lt;/author&gt;&lt;author&gt;Lowry, Michelle&lt;/author&gt;&lt;author&gt;Shu, Susan&lt;/author&gt;&lt;/authors&gt;&lt;/contributors&gt;&lt;titles&gt;&lt;title&gt;Does disclosure deter or trigger litigation?&lt;/title&gt;&lt;secondary-title&gt;Journal of Accounting and Economics&lt;/secondary-title&gt;&lt;/titles&gt;&lt;periodical&gt;&lt;full-title&gt;Journal of Accounting and Economics&lt;/full-title&gt;&lt;/periodical&gt;&lt;pages&gt;487-507&lt;/pages&gt;&lt;volume&gt;39&lt;/volume&gt;&lt;number&gt;3&lt;/number&gt;&lt;dates&gt;&lt;year&gt;2005&lt;/year&gt;&lt;/dates&gt;&lt;isbn&gt;0165-4101&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(Field, Lowry, and Shu 2005)</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w:t>
      </w:r>
    </w:p>
    <w:p w14:paraId="2C5C5B67"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However, given the extent of the IRS’s private information, new public information provided in the financial statements may not be very useful for tax enforcement (FASB 2006).  It is possible that once the IRS requires more private disclosure, the proprietary cost of information disclosure to shareholders is reduced, and firms publicly disclose more.  If this is the case, in the presence of lower proprietary costs, firms may respond by increasing FIN 48 disclosure quality.  This result is consistent with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findings of increased volume of tax disclosure following the 2010 adoption of IRS Schedule UTP.  Firms may desire to be as transparent as possible to investors regarding their uncertain tax positions, while also minimizing the probability that revealed tax information is used against them by the tax authority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&lt;EndNote&gt;&lt;Cite&gt;&lt;Author&gt;Mills&lt;/Author&gt;&lt;Year&gt;2010&lt;/Year&gt;&lt;RecNum&gt;354&lt;/RecNum&gt;&lt;DisplayText&gt;(Mills et al. 2010)&lt;/DisplayText&gt;&lt;record&gt;&lt;rec-number&gt;354&lt;/rec-number&gt;&lt;foreign-keys&gt;&lt;key app="EN" db-id="0epr20wz6v0vdyes25e5vdd8ssfd2e0srwex" timestamp="1461800448"&gt;354&lt;/key&gt;&lt;/foreign-keys&gt;&lt;ref-type name="Journal Article"&gt;17&lt;/ref-type&gt;&lt;contributors&gt;&lt;authors&gt;&lt;author&gt;Mills, Lillian F&lt;/author&gt;&lt;author&gt;Robinson, Leslie A&lt;/author&gt;&lt;author&gt;Sansing, Richard C&lt;/author&gt;&lt;/authors&gt;&lt;/contributors&gt;&lt;titles&gt;&lt;title&gt;FIN 48 and tax compliance&lt;/title&gt;&lt;secondary-title&gt;The Accounting Review&lt;/secondary-title&gt;&lt;/titles&gt;&lt;periodical&gt;&lt;full-title&gt;The Accounting Review&lt;/full-title&gt;&lt;/periodical&gt;&lt;pages&gt;1721-1742&lt;/pages&gt;&lt;volume&gt;85&lt;/volume&gt;&lt;number&gt;5&lt;/number&gt;&lt;dates&gt;&lt;year&gt;2010&lt;/year&gt;&lt;/dates&gt;&lt;isbn&gt;0001-4826&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(Mills et al. 2010)</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Thus, increased private tax disclosure to the IRS may reduce the cost of increased public tax disclosure.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assert that tax-related proprietary costs decrease as a result of the IRS’s increased private disclosure requirements (</w:t>
      </w:r>
      <w:proofErr w:type="spellStart"/>
      <w:r w:rsidRPr="00383E5D">
        <w:rPr>
          <w:rFonts w:ascii="Times New Roman" w:hAnsi="Times New Roman" w:cs="Times New Roman"/>
          <w:sz w:val="24"/>
          <w:szCs w:val="24"/>
        </w:rPr>
        <w:t>Verrecchia</w:t>
      </w:r>
      <w:proofErr w:type="spellEnd"/>
      <w:r w:rsidRPr="00383E5D">
        <w:rPr>
          <w:rFonts w:ascii="Times New Roman" w:hAnsi="Times New Roman" w:cs="Times New Roman"/>
          <w:sz w:val="24"/>
          <w:szCs w:val="24"/>
        </w:rPr>
        <w:t xml:space="preserve"> 2001; Dye 2001).</w:t>
      </w:r>
    </w:p>
    <w:p w14:paraId="6E2B545C"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In addition to facing proprietary costs, firms face other disclosure costs.  Prior research shows that lower quality disclosures subject firms to increased cost of equity capital and lower firm valuations </w:t>
      </w:r>
      <w:r w:rsidRPr="00383E5D">
        <w:rPr>
          <w:rFonts w:ascii="Times New Roman" w:hAnsi="Times New Roman" w:cs="Times New Roman"/>
          <w:sz w:val="24"/>
          <w:szCs w:val="24"/>
        </w:rPr>
        <w:fldChar w:fldCharType="begin">
          <w:fldData xml:space="preserve">PEVuZE5vdGU+PENpdGU+PEF1dGhvcj5GcmFuY2lzPC9BdXRob3I+PFllYXI+MjAwODwvWWVhcj48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==
</w:fldData>
        </w:fldChar>
      </w:r>
      <w:r w:rsidRPr="00383E5D">
        <w:rPr>
          <w:rFonts w:ascii="Times New Roman" w:hAnsi="Times New Roman" w:cs="Times New Roman"/>
          <w:sz w:val="24"/>
          <w:szCs w:val="24"/>
        </w:rPr>
        <w:instrText xml:space="preserve"> ADDIN EN.CITE </w:instrText>
      </w:r>
      <w:r w:rsidRPr="00383E5D">
        <w:rPr>
          <w:rFonts w:ascii="Times New Roman" w:hAnsi="Times New Roman" w:cs="Times New Roman"/>
          <w:sz w:val="24"/>
          <w:szCs w:val="24"/>
        </w:rPr>
        <w:fldChar w:fldCharType="begin">
          <w:fldData xml:space="preserve">PEVuZE5vdGU+PENpdGU+PEF1dGhvcj5GcmFuY2lzPC9BdXRob3I+PFllYXI+MjAwODwvWWVhcj48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==
</w:fldData>
        </w:fldChar>
      </w:r>
      <w:r w:rsidRPr="00383E5D">
        <w:rPr>
          <w:rFonts w:ascii="Times New Roman" w:hAnsi="Times New Roman" w:cs="Times New Roman"/>
          <w:sz w:val="24"/>
          <w:szCs w:val="24"/>
        </w:rPr>
        <w:instrText xml:space="preserve"> ADDIN EN.CITE.DATA </w:instrText>
      </w:r>
      <w:r w:rsidRPr="00383E5D">
        <w:rPr>
          <w:rFonts w:ascii="Times New Roman" w:hAnsi="Times New Roman" w:cs="Times New Roman"/>
          <w:sz w:val="24"/>
          <w:szCs w:val="24"/>
        </w:rPr>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(Francis, Nanda, and Olsson 2008; Lambert, Leuz, and Verrecchia 2007; Hope, Ma, and Thomas 2013; Akamah, Hope, and Thomas 2014; Botosan 1997; Chung, Judge, and Li 2015)</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Theoretical models propose that managers disclose more information than required by market regulations to reduce information asymmetry among their investors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&lt;EndNote&gt;&lt;Cite&gt;&lt;Author&gt;Diamond&lt;/Author&gt;&lt;Year&gt;1985&lt;/Year&gt;&lt;RecNum&gt;142&lt;/RecNum&gt;&lt;DisplayText&gt;(Diamond 1985; Diamond and Verrecchia 1991)&lt;/DisplayText&gt;&lt;record&gt;&lt;rec-number&gt;142&lt;/rec-number&gt;&lt;foreign-keys&gt;&lt;key app="EN" db-id="0epr20wz6v0vdyes25e5vdd8ssfd2e0srwex" timestamp="1461800345"&gt;142&lt;/key&gt;&lt;/foreign-keys&gt;&lt;ref-type name="Journal Article"&gt;17&lt;/ref-type&gt;&lt;contributors&gt;&lt;authors&gt;&lt;author&gt;Diamond, Douglas W.&lt;/author&gt;&lt;/authors&gt;&lt;/contributors&gt;&lt;titles&gt;&lt;title&gt;Optimal release of information by firms&lt;/title&gt;&lt;secondary-title&gt;Journal of Finance&lt;/secondary-title&gt;&lt;/titles&gt;&lt;periodical&gt;&lt;full-title&gt;Journal of Finance&lt;/full-title&gt;&lt;/periodical&gt;&lt;pages&gt;1071-1094&lt;/pages&gt;&lt;volume&gt;40&lt;/volume&gt;&lt;dates&gt;&lt;year&gt;1985&lt;/year&gt;&lt;/dates&gt;&lt;urls&gt;&lt;/urls&gt;&lt;/record&gt;&lt;/Cite&gt;&lt;Cite&gt;&lt;Author&gt;Diamond&lt;/Author&gt;&lt;Year&gt;1991&lt;/Year&gt;&lt;RecNum&gt;143&lt;/RecNum&gt;&lt;record&gt;&lt;rec-number&gt;143&lt;/rec-number&gt;&lt;foreign-keys&gt;&lt;key app="EN" db-id="0epr20wz6v0vdyes25e5vdd8ssfd2e0srwex" timestamp="1461800346"&gt;143&lt;/key&gt;&lt;/foreign-keys&gt;&lt;ref-type name="Journal Article"&gt;17&lt;/ref-type&gt;&lt;contributors&gt;&lt;authors&gt;&lt;author&gt;Diamond, Douglas W.&lt;/author&gt;&lt;author&gt;Verrecchia, Robert E.&lt;/author&gt;&lt;/authors&gt;&lt;/contributors&gt;&lt;titles&gt;&lt;title&gt;Disclosure, liquidity, and the cost of capital&lt;/title&gt;&lt;secondary-title&gt;Journal of Finance&lt;/secondary-title&gt;&lt;/titles&gt;&lt;periodical&gt;&lt;full-title&gt;Journal of Finance&lt;/full-title&gt;&lt;/periodical&gt;&lt;pages&gt;1325-1359&lt;/pages&gt;&lt;volume&gt;46&lt;/volume&gt;&lt;dates&gt;&lt;year&gt;1991&lt;/year&gt;&lt;/dates&gt;&lt;urls&gt;&lt;/urls&gt;&lt;/record&gt;&lt;/Cite&gt;&lt;/EndNote&gt;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(Diamond 1985; Diamond and Verrecchia 1991)</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Survey evidence suggests that</w:t>
      </w:r>
      <w:r w:rsidRPr="00383E5D">
        <w:rPr>
          <w:rFonts w:ascii="Times New Roman" w:hAnsi="Times New Roman" w:cs="Times New Roman"/>
          <w:color w:val="000000" w:themeColor="text1"/>
          <w:sz w:val="24"/>
          <w:szCs w:val="24"/>
        </w:rPr>
        <w:t xml:space="preserve"> managers provide voluntary disclosure to reduce risk </w:t>
      </w:r>
      <w:r w:rsidRPr="00383E5D">
        <w:rPr>
          <w:rFonts w:ascii="Times New Roman" w:hAnsi="Times New Roman" w:cs="Times New Roman"/>
          <w:color w:val="000000" w:themeColor="text1"/>
          <w:sz w:val="24"/>
          <w:szCs w:val="24"/>
        </w:rPr>
        <w:fldChar w:fldCharType="begin"/>
      </w:r>
      <w:r w:rsidRPr="00383E5D">
        <w:rPr>
          <w:rFonts w:ascii="Times New Roman" w:hAnsi="Times New Roman" w:cs="Times New Roman"/>
          <w:color w:val="000000" w:themeColor="text1"/>
          <w:sz w:val="24"/>
          <w:szCs w:val="24"/>
        </w:rPr>
        <w:instrText xml:space="preserve"> ADDIN EN.CITE &lt;EndNote&gt;&lt;Cite&gt;&lt;Author&gt;Graham&lt;/Author&gt;&lt;Year&gt;2005&lt;/Year&gt;&lt;RecNum&gt;133&lt;/RecNum&gt;&lt;DisplayText&gt;(Graham et al. 2005)&lt;/DisplayText&gt;&lt;record&gt;&lt;rec-number&gt;133&lt;/rec-number&gt;&lt;foreign-keys&gt;&lt;key app="EN" db-id="0epr20wz6v0vdyes25e5vdd8ssfd2e0srwex" timestamp="1461800342"&gt;133&lt;/key&gt;&lt;/foreign-keys&gt;&lt;ref-type name="Journal Article"&gt;17&lt;/ref-type&gt;&lt;contributors&gt;&lt;authors&gt;&lt;author&gt;Graham, J. R.&lt;/author&gt;&lt;author&gt;Harvey, C. R.&lt;/author&gt;&lt;author&gt;Rajgopal, S.&lt;/author&gt;&lt;/authors&gt;&lt;/contributors&gt;&lt;titles&gt;&lt;title&gt;The economic implications of corporate financial reporting&lt;/title&gt;&lt;secondary-title&gt;Journal of Accounting &amp;amp; Economics&lt;/secondary-title&gt;&lt;/titles&gt;&lt;periodical&gt;&lt;full-title&gt;Journal of Accounting &amp;amp; Economics&lt;/full-title&gt;&lt;/periodical&gt;&lt;pages&gt;3-73&lt;/pages&gt;&lt;volume&gt;40&lt;/volume&gt;&lt;number&gt;1-3&lt;/number&gt;&lt;dates&gt;&lt;year&gt;2005&lt;/year&gt;&lt;pub-dates&gt;&lt;date&gt;Dec&lt;/date&gt;&lt;/pub-dates&gt;&lt;/dates&gt;&lt;isbn&gt;0165-4101&lt;/isbn&gt;&lt;accession-num&gt;WOS:000233787200001&lt;/accession-num&gt;&lt;urls&gt;&lt;related-urls&gt;&lt;url&gt;&amp;lt;Go to ISI&amp;gt;://WOS:000233787200001&lt;/url&gt;&lt;/related-urls&gt;&lt;/urls&gt;&lt;electronic-resource-num&gt;10.1016/j.jacceco.2005.01.002&lt;/electronic-resource-num&gt;&lt;/record&gt;&lt;/Cite&gt;&lt;/EndNote&gt;</w:instrText>
      </w:r>
      <w:r w:rsidRPr="00383E5D">
        <w:rPr>
          <w:rFonts w:ascii="Times New Roman" w:hAnsi="Times New Roman" w:cs="Times New Roman"/>
          <w:color w:val="000000" w:themeColor="text1"/>
          <w:sz w:val="24"/>
          <w:szCs w:val="24"/>
        </w:rPr>
        <w:fldChar w:fldCharType="separate"/>
      </w:r>
      <w:r w:rsidRPr="00383E5D">
        <w:rPr>
          <w:rFonts w:ascii="Times New Roman" w:hAnsi="Times New Roman" w:cs="Times New Roman"/>
          <w:noProof/>
          <w:color w:val="000000" w:themeColor="text1"/>
          <w:sz w:val="24"/>
          <w:szCs w:val="24"/>
        </w:rPr>
        <w:t>(Graham, Harvey, and Rajgopal 2005)</w:t>
      </w:r>
      <w:r w:rsidRPr="00383E5D">
        <w:rPr>
          <w:rFonts w:ascii="Times New Roman" w:hAnsi="Times New Roman" w:cs="Times New Roman"/>
          <w:color w:val="000000" w:themeColor="text1"/>
          <w:sz w:val="24"/>
          <w:szCs w:val="24"/>
        </w:rPr>
        <w:fldChar w:fldCharType="end"/>
      </w:r>
      <w:r w:rsidRPr="00383E5D">
        <w:rPr>
          <w:rFonts w:ascii="Times New Roman" w:hAnsi="Times New Roman" w:cs="Times New Roman"/>
          <w:color w:val="000000" w:themeColor="text1"/>
          <w:sz w:val="24"/>
          <w:szCs w:val="24"/>
        </w:rPr>
        <w:t xml:space="preserve">.  Balakrishnan, </w:t>
      </w:r>
      <w:proofErr w:type="spellStart"/>
      <w:r w:rsidRPr="00383E5D">
        <w:rPr>
          <w:rFonts w:ascii="Times New Roman" w:hAnsi="Times New Roman" w:cs="Times New Roman"/>
          <w:color w:val="000000" w:themeColor="text1"/>
          <w:sz w:val="24"/>
          <w:szCs w:val="24"/>
        </w:rPr>
        <w:t>Blouin</w:t>
      </w:r>
      <w:proofErr w:type="spellEnd"/>
      <w:r w:rsidRPr="00383E5D">
        <w:rPr>
          <w:rFonts w:ascii="Times New Roman" w:hAnsi="Times New Roman" w:cs="Times New Roman"/>
          <w:color w:val="000000" w:themeColor="text1"/>
          <w:sz w:val="24"/>
          <w:szCs w:val="24"/>
        </w:rPr>
        <w:t xml:space="preserve">, and </w:t>
      </w:r>
      <w:proofErr w:type="spellStart"/>
      <w:r w:rsidRPr="00383E5D">
        <w:rPr>
          <w:rFonts w:ascii="Times New Roman" w:hAnsi="Times New Roman" w:cs="Times New Roman"/>
          <w:color w:val="000000" w:themeColor="text1"/>
          <w:sz w:val="24"/>
          <w:szCs w:val="24"/>
        </w:rPr>
        <w:t>Guay</w:t>
      </w:r>
      <w:proofErr w:type="spellEnd"/>
      <w:r w:rsidRPr="00383E5D">
        <w:rPr>
          <w:rFonts w:ascii="Times New Roman" w:hAnsi="Times New Roman" w:cs="Times New Roman"/>
          <w:color w:val="000000" w:themeColor="text1"/>
          <w:sz w:val="24"/>
          <w:szCs w:val="24"/>
        </w:rPr>
        <w:t xml:space="preserve"> (2014) finds that firms with greater tax complexity increase disclosure to reduce information asymmetry.  It is possible then that firms maintain or improve their FIN 48 disclosure quality after Schedule UTP to reduce information asymmetry with investors.  F</w:t>
      </w:r>
      <w:r w:rsidRPr="00383E5D">
        <w:rPr>
          <w:rFonts w:ascii="Times New Roman" w:hAnsi="Times New Roman" w:cs="Times New Roman"/>
          <w:sz w:val="24"/>
          <w:szCs w:val="24"/>
        </w:rPr>
        <w:t xml:space="preserve">irms may disclose more information increasing the quality of their tax disclosures to signal the legitimacy of those uncertain tax positions and reduce uncertainty for investors.  Analytical models predict that taxpayers will claim fewer weak tax positions once the tax authority observes more information about the strength of a tax position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&lt;EndNote&gt;&lt;Cite&gt;&lt;Author&gt;Mills&lt;/Author&gt;&lt;Year&gt;2010&lt;/Year&gt;&lt;RecNum&gt;354&lt;/RecNum&gt;&lt;DisplayText&gt;(Mills et al. 2010)&lt;/DisplayText&gt;&lt;record&gt;&lt;rec-number&gt;354&lt;/rec-number&gt;&lt;foreign-keys&gt;&lt;key app="EN" db-id="0epr20wz6v0vdyes25e5vdd8ssfd2e0srwex" timestamp="1461800448"&gt;354&lt;/key&gt;&lt;/foreign-keys&gt;&lt;ref-type name="Journal Article"&gt;17&lt;/ref-type&gt;&lt;contributors&gt;&lt;authors&gt;&lt;author&gt;Mills, Lillian F&lt;/author&gt;&lt;author&gt;Robinson, Leslie A&lt;/author&gt;&lt;author&gt;Sansing, Richard C&lt;/author&gt;&lt;/authors&gt;&lt;/contributors&gt;&lt;titles&gt;&lt;title&gt;FIN 48 and tax compliance&lt;/title&gt;&lt;secondary-title&gt;The Accounting Review&lt;/secondary-title&gt;&lt;/titles&gt;&lt;periodical&gt;&lt;full-title&gt;The Accounting Review&lt;/full-title&gt;&lt;/periodical&gt;&lt;pages&gt;1721-1742&lt;/pages&gt;&lt;volume&gt;85&lt;/volume&gt;&lt;number&gt;5&lt;/number&gt;&lt;dates&gt;&lt;year&gt;2010&lt;/year&gt;&lt;/dates&gt;&lt;isbn&gt;0001-4826&lt;/isbn&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(Mills et al. 2010)</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This finding suggests that subsequent to the initial adoption period of FIN 48, the remaining uncertain tax positions are the most strongly supported and the least likely to be overturned.  Thus, the introduction of Schedule UTP may motivate increased FIN 48 disclosure quality. </w:t>
      </w:r>
    </w:p>
    <w:p w14:paraId="0F503460"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Based on the above theory and prior research, firms may choose to increase or decrease FIN 48 disclosure in response to IRS Schedule UTP.  Therefore, I do not predict a direction and I state my hypothesis in the null form:</w:t>
      </w:r>
    </w:p>
    <w:p w14:paraId="12F61088" w14:textId="77777777" w:rsidR="00340A0A" w:rsidRPr="00383E5D" w:rsidRDefault="00340A0A" w:rsidP="00340A0A">
      <w:pPr>
        <w:spacing w:after="0" w:line="480" w:lineRule="auto"/>
        <w:ind w:firstLine="720"/>
        <w:jc w:val="both"/>
        <w:rPr>
          <w:rFonts w:ascii="Times New Roman" w:hAnsi="Times New Roman" w:cs="Times New Roman"/>
          <w:color w:val="000000" w:themeColor="text1"/>
          <w:sz w:val="24"/>
          <w:szCs w:val="24"/>
        </w:rPr>
      </w:pPr>
      <w:r w:rsidRPr="00383E5D">
        <w:rPr>
          <w:rFonts w:ascii="Times New Roman" w:hAnsi="Times New Roman" w:cs="Times New Roman"/>
          <w:i/>
          <w:sz w:val="24"/>
          <w:szCs w:val="24"/>
        </w:rPr>
        <w:t>H</w:t>
      </w:r>
      <w:r w:rsidRPr="00383E5D">
        <w:rPr>
          <w:rFonts w:ascii="Times New Roman" w:hAnsi="Times New Roman" w:cs="Times New Roman"/>
          <w:i/>
          <w:sz w:val="24"/>
          <w:szCs w:val="24"/>
          <w:vertAlign w:val="subscript"/>
        </w:rPr>
        <w:t>1</w:t>
      </w:r>
      <w:r w:rsidRPr="00383E5D">
        <w:rPr>
          <w:rFonts w:ascii="Times New Roman" w:hAnsi="Times New Roman" w:cs="Times New Roman"/>
          <w:i/>
          <w:sz w:val="24"/>
          <w:szCs w:val="24"/>
        </w:rPr>
        <w:t>: Firms do not change their FIN 48 disclosure quality in response to IRS Schedule UTP.</w:t>
      </w:r>
    </w:p>
    <w:p w14:paraId="65827AD3"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1D4BBACB" w14:textId="4035A833" w:rsidR="0058706E" w:rsidRPr="00383E5D" w:rsidRDefault="0058706E" w:rsidP="0058706E">
      <w:pPr>
        <w:jc w:val="both"/>
        <w:rPr>
          <w:rFonts w:ascii="Times New Roman" w:hAnsi="Times New Roman" w:cs="Times New Roman"/>
          <w:b/>
          <w:sz w:val="24"/>
          <w:szCs w:val="24"/>
        </w:rPr>
      </w:pPr>
      <w:r w:rsidRPr="00383E5D">
        <w:rPr>
          <w:rFonts w:ascii="Times New Roman" w:hAnsi="Times New Roman" w:cs="Times New Roman"/>
          <w:b/>
          <w:sz w:val="24"/>
          <w:szCs w:val="24"/>
        </w:rPr>
        <w:t>IV. Data and Research Design</w:t>
      </w:r>
    </w:p>
    <w:p w14:paraId="7D49BE68" w14:textId="77777777" w:rsidR="0058706E" w:rsidRPr="00383E5D" w:rsidRDefault="0058706E" w:rsidP="0058706E">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Sample Selection and Variable Descriptions</w:t>
      </w:r>
    </w:p>
    <w:p w14:paraId="59615773"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I examine a hand-collected sample of FIN 48 footnote disclosures for calendar year-end firms in the </w:t>
      </w:r>
      <w:proofErr w:type="spellStart"/>
      <w:r w:rsidRPr="00383E5D">
        <w:rPr>
          <w:rFonts w:ascii="Times New Roman" w:hAnsi="Times New Roman" w:cs="Times New Roman"/>
          <w:sz w:val="24"/>
          <w:szCs w:val="24"/>
        </w:rPr>
        <w:t>Compustat</w:t>
      </w:r>
      <w:proofErr w:type="spellEnd"/>
      <w:r w:rsidRPr="00383E5D">
        <w:rPr>
          <w:rFonts w:ascii="Times New Roman" w:hAnsi="Times New Roman" w:cs="Times New Roman"/>
          <w:sz w:val="24"/>
          <w:szCs w:val="24"/>
        </w:rPr>
        <w:t xml:space="preserve"> S&amp;P 1500 Super Composite Index for 2009 and 2010.  The introduction and final implementation of Schedule UTP within calendar-year 2010 provides a clean cutoff to examine the impact of increased tax return reporting that requires increased private tax disclosure.  In 2010, non-calendar year-end firms had more time to respond to Schedule UTP filing requirements than calendar year-end firms.  While a non-calendar year-end firm might choose not to enter a planned transaction upon the September 2010 release of the final Schedule UTP, a calendar year-end firm might have already entered the transaction.  Towery (2017) notes that due to proximity to year end of the implementation of Schedule UTP, calendar-year firms likely did not have time to unwind their uncertain tax positions related to FIN 48 reserves reported.  Thus, I limit the sample to calendar year-end firms to hold constant the amount of time sample firms had to respond to Schedule UTP.  I exclude firms that disclose a zero or non-material UTB balance and do not report a tabular UTB reconciliation in 2009 or 2010.  Table 2 provides a summary of sample selection for my balanced panel of firms.  </w:t>
      </w:r>
    </w:p>
    <w:p w14:paraId="0664AEBF"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Following Robinson and Schmidt (2013), I construct a two-part disclosure quality score for each ﬁrm in the sample,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and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w:t>
      </w:r>
      <w:r w:rsidRPr="00383E5D">
        <w:rPr>
          <w:rFonts w:ascii="Times New Roman" w:hAnsi="Times New Roman" w:cs="Times New Roman"/>
          <w:i/>
          <w:sz w:val="24"/>
          <w:szCs w:val="24"/>
        </w:rPr>
        <w:t xml:space="preserve">COMPLETE </w:t>
      </w:r>
      <w:r w:rsidRPr="00383E5D">
        <w:rPr>
          <w:rFonts w:ascii="Times New Roman" w:hAnsi="Times New Roman" w:cs="Times New Roman"/>
          <w:sz w:val="24"/>
          <w:szCs w:val="24"/>
        </w:rPr>
        <w:t>measures compliance with the FIN 48 disclosure guidelines by capturing the presence or absence of each mandatory disclosure as presented in the Appendix A.  The eight criteria are: 1. Firms must disclose a tabular reconciliation of the UTB balance that categorizes changes during period.  2. Firms must describe changes to the UTB reserve balance during the year. 3. Firms must separately disclose the amount of the UTB that, if recognized, would affect the effective tax rate (ETR).  4. The disclosure must contain the amounts of any accrued interest and penalties related to the UTB.  5. Firms must stipulate where they report interest and penalties in the income statement.  6. The disclosure must include a discussion of open tax years in major jurisdictions.  7. Firms must make a forward-looking disclosure of expected changes to the UTB balance within the next twelve months. 8. Firms must disclose the balance sheet adoption effect of retroactive application of FIN 48 (only required in the year of adoption).  Each component of the disclosure measures is described in detail in Table 1.  To account for FIN 48 compliance after the initial period of adoption, I exclude</w:t>
      </w:r>
      <w:r>
        <w:rPr>
          <w:rFonts w:ascii="Times New Roman" w:hAnsi="Times New Roman" w:cs="Times New Roman"/>
          <w:sz w:val="24"/>
          <w:szCs w:val="24"/>
        </w:rPr>
        <w:t xml:space="preserve"> item eight,</w:t>
      </w:r>
      <w:r w:rsidRPr="00383E5D">
        <w:rPr>
          <w:rFonts w:ascii="Times New Roman" w:hAnsi="Times New Roman" w:cs="Times New Roman"/>
          <w:sz w:val="24"/>
          <w:szCs w:val="24"/>
        </w:rPr>
        <w:t xml:space="preserve"> the requirement for firms to disclose the initial balance sheet impact of FIN 48 adoption.  Although some firms continue to make this disclosure in subsequent years, it is only required in the initial period of adoption of FIN 48.  Also, I exclude the requirement to provide a tabular UTB reconciliation.  I use Python code to identify additional firms from the SEC Edgar database whose 10-K filings disclose FIN 48 balances that are not captured by </w:t>
      </w:r>
      <w:proofErr w:type="spellStart"/>
      <w:r w:rsidRPr="00383E5D">
        <w:rPr>
          <w:rFonts w:ascii="Times New Roman" w:hAnsi="Times New Roman" w:cs="Times New Roman"/>
          <w:sz w:val="24"/>
          <w:szCs w:val="24"/>
        </w:rPr>
        <w:t>Compustat</w:t>
      </w:r>
      <w:proofErr w:type="spellEnd"/>
      <w:r w:rsidRPr="00383E5D">
        <w:rPr>
          <w:rFonts w:ascii="Times New Roman" w:hAnsi="Times New Roman" w:cs="Times New Roman"/>
          <w:sz w:val="24"/>
          <w:szCs w:val="24"/>
        </w:rPr>
        <w:t xml:space="preserve">.  I </w:t>
      </w:r>
      <w:r>
        <w:rPr>
          <w:rFonts w:ascii="Times New Roman" w:hAnsi="Times New Roman" w:cs="Times New Roman"/>
          <w:sz w:val="24"/>
          <w:szCs w:val="24"/>
        </w:rPr>
        <w:t xml:space="preserve">also </w:t>
      </w:r>
      <w:r w:rsidRPr="00383E5D">
        <w:rPr>
          <w:rFonts w:ascii="Times New Roman" w:hAnsi="Times New Roman" w:cs="Times New Roman"/>
          <w:sz w:val="24"/>
          <w:szCs w:val="24"/>
        </w:rPr>
        <w:t xml:space="preserve">use ending UTB balance as a control variable.  Therefore, I require all firms in the sample to disclose a tabular UTB reconciliation so that I have sufficient data for UTB control variables for all observations, those identified via </w:t>
      </w:r>
      <w:proofErr w:type="spellStart"/>
      <w:r w:rsidRPr="00383E5D">
        <w:rPr>
          <w:rFonts w:ascii="Times New Roman" w:hAnsi="Times New Roman" w:cs="Times New Roman"/>
          <w:sz w:val="24"/>
          <w:szCs w:val="24"/>
        </w:rPr>
        <w:t>Compustat</w:t>
      </w:r>
      <w:proofErr w:type="spellEnd"/>
      <w:r w:rsidRPr="00383E5D">
        <w:rPr>
          <w:rFonts w:ascii="Times New Roman" w:hAnsi="Times New Roman" w:cs="Times New Roman"/>
          <w:sz w:val="24"/>
          <w:szCs w:val="24"/>
        </w:rPr>
        <w:t xml:space="preserve"> and those identified using Python code from the SEC Edgar database.  As all firms in the sample disclose a tabular UTB reconciliation in both years, there is no variation.  Thus, the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score of mandatory disclosure ranges from 0 to 6.  </w:t>
      </w:r>
    </w:p>
    <w:p w14:paraId="5F90924D"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measure is based on four additional elements of FIN 48 disclosure where firm discretion is used in reporting.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ranges from 0 to 4 and captures discretionary disclosure decisions by measuring the precision of the mandatory disclosures as indicated by the presence or absence of important clarifying information needed to understand and interpret the disclosure.  The first clarity component is whether the firm includes a discussion or </w:t>
      </w:r>
      <w:r>
        <w:rPr>
          <w:rFonts w:ascii="Times New Roman" w:hAnsi="Times New Roman" w:cs="Times New Roman"/>
          <w:sz w:val="24"/>
          <w:szCs w:val="24"/>
        </w:rPr>
        <w:t>explanation of the</w:t>
      </w:r>
      <w:r w:rsidRPr="00383E5D">
        <w:rPr>
          <w:rFonts w:ascii="Times New Roman" w:hAnsi="Times New Roman" w:cs="Times New Roman"/>
          <w:sz w:val="24"/>
          <w:szCs w:val="24"/>
        </w:rPr>
        <w:t xml:space="preserve"> amount of the UTB that does not affect the effective tax rate (e.g., temporary differences, goodwill, or other comprehensive income adjustments) that is included in the UTB reserve balance.  The second clarity measure is whether the ﬁrm explicitly state</w:t>
      </w:r>
      <w:r>
        <w:rPr>
          <w:rFonts w:ascii="Times New Roman" w:hAnsi="Times New Roman" w:cs="Times New Roman"/>
          <w:sz w:val="24"/>
          <w:szCs w:val="24"/>
        </w:rPr>
        <w:t>s</w:t>
      </w:r>
      <w:r w:rsidRPr="00383E5D">
        <w:rPr>
          <w:rFonts w:ascii="Times New Roman" w:hAnsi="Times New Roman" w:cs="Times New Roman"/>
          <w:sz w:val="24"/>
          <w:szCs w:val="24"/>
        </w:rPr>
        <w:t xml:space="preserve"> whether the reported UTB was gross or net of federal deductions for state tax benefits.  The third clarity component is whether the ﬁrm explicitly state</w:t>
      </w:r>
      <w:r>
        <w:rPr>
          <w:rFonts w:ascii="Times New Roman" w:hAnsi="Times New Roman" w:cs="Times New Roman"/>
          <w:sz w:val="24"/>
          <w:szCs w:val="24"/>
        </w:rPr>
        <w:t>s</w:t>
      </w:r>
      <w:r w:rsidRPr="00383E5D">
        <w:rPr>
          <w:rFonts w:ascii="Times New Roman" w:hAnsi="Times New Roman" w:cs="Times New Roman"/>
          <w:sz w:val="24"/>
          <w:szCs w:val="24"/>
        </w:rPr>
        <w:t xml:space="preserve"> whether the reported UTB included interest and penalties.  The fourth clarity me</w:t>
      </w:r>
      <w:r>
        <w:rPr>
          <w:rFonts w:ascii="Times New Roman" w:hAnsi="Times New Roman" w:cs="Times New Roman"/>
          <w:sz w:val="24"/>
          <w:szCs w:val="24"/>
        </w:rPr>
        <w:t>asure is whether the ﬁrm reports</w:t>
      </w:r>
      <w:r w:rsidRPr="00383E5D">
        <w:rPr>
          <w:rFonts w:ascii="Times New Roman" w:hAnsi="Times New Roman" w:cs="Times New Roman"/>
          <w:sz w:val="24"/>
          <w:szCs w:val="24"/>
        </w:rPr>
        <w:t xml:space="preserve"> interest and penalties separately.  </w:t>
      </w:r>
    </w:p>
    <w:p w14:paraId="484987A9" w14:textId="77777777" w:rsidR="00340A0A" w:rsidRPr="00383E5D" w:rsidRDefault="00340A0A" w:rsidP="00340A0A">
      <w:pPr>
        <w:spacing w:after="0" w:line="480" w:lineRule="auto"/>
        <w:ind w:firstLine="720"/>
        <w:jc w:val="both"/>
        <w:rPr>
          <w:rFonts w:ascii="Times New Roman" w:hAnsi="Times New Roman" w:cs="Times New Roman"/>
          <w:color w:val="231F20"/>
          <w:w w:val="105"/>
          <w:sz w:val="24"/>
          <w:szCs w:val="24"/>
        </w:rPr>
      </w:pPr>
      <w:r w:rsidRPr="00383E5D">
        <w:rPr>
          <w:rFonts w:ascii="Times New Roman" w:hAnsi="Times New Roman" w:cs="Times New Roman"/>
          <w:color w:val="231F20"/>
          <w:w w:val="105"/>
          <w:sz w:val="24"/>
          <w:szCs w:val="24"/>
        </w:rPr>
        <w:t>To test H</w:t>
      </w:r>
      <w:r w:rsidRPr="00383E5D">
        <w:rPr>
          <w:rFonts w:ascii="Times New Roman" w:hAnsi="Times New Roman" w:cs="Times New Roman"/>
          <w:color w:val="231F20"/>
          <w:w w:val="105"/>
          <w:sz w:val="24"/>
          <w:szCs w:val="24"/>
          <w:vertAlign w:val="subscript"/>
        </w:rPr>
        <w:t>1</w:t>
      </w:r>
      <w:r w:rsidRPr="00383E5D">
        <w:rPr>
          <w:rFonts w:ascii="Times New Roman" w:hAnsi="Times New Roman" w:cs="Times New Roman"/>
          <w:color w:val="231F20"/>
          <w:w w:val="105"/>
          <w:sz w:val="24"/>
          <w:szCs w:val="24"/>
        </w:rPr>
        <w:t>, I estimate using a Poisson regression because my dependent variables are nonnegative count variables.</w:t>
      </w:r>
      <w:r w:rsidRPr="00383E5D">
        <w:rPr>
          <w:rStyle w:val="FootnoteReference"/>
          <w:rFonts w:ascii="Times New Roman" w:hAnsi="Times New Roman" w:cs="Times New Roman"/>
          <w:color w:val="231F20"/>
          <w:w w:val="105"/>
          <w:sz w:val="24"/>
          <w:szCs w:val="24"/>
        </w:rPr>
        <w:footnoteReference w:id="12"/>
      </w:r>
      <w:r w:rsidRPr="00383E5D">
        <w:rPr>
          <w:rFonts w:ascii="Times New Roman" w:hAnsi="Times New Roman" w:cs="Times New Roman"/>
          <w:color w:val="231F20"/>
          <w:w w:val="105"/>
          <w:sz w:val="24"/>
          <w:szCs w:val="24"/>
        </w:rPr>
        <w:t xml:space="preserve"> </w:t>
      </w:r>
      <w:r w:rsidRPr="00383E5D">
        <w:rPr>
          <w:rStyle w:val="FootnoteReference"/>
          <w:rFonts w:ascii="Times New Roman" w:hAnsi="Times New Roman" w:cs="Times New Roman"/>
          <w:color w:val="231F20"/>
          <w:w w:val="105"/>
          <w:sz w:val="24"/>
          <w:szCs w:val="24"/>
        </w:rPr>
        <w:footnoteReference w:id="13"/>
      </w:r>
    </w:p>
    <w:p w14:paraId="68A30977" w14:textId="77777777" w:rsidR="00340A0A" w:rsidRPr="00383E5D" w:rsidRDefault="00340A0A" w:rsidP="00340A0A">
      <w:pPr>
        <w:pStyle w:val="BodyText"/>
        <w:ind w:left="535" w:right="110"/>
        <w:jc w:val="both"/>
        <w:rPr>
          <w:rFonts w:cs="Times New Roman"/>
          <w:color w:val="231F20"/>
          <w:w w:val="105"/>
          <w:sz w:val="24"/>
          <w:szCs w:val="24"/>
          <w:vertAlign w:val="subscript"/>
        </w:rPr>
      </w:pPr>
      <w:proofErr w:type="spellStart"/>
      <w:r w:rsidRPr="00383E5D">
        <w:rPr>
          <w:rFonts w:cs="Times New Roman"/>
          <w:color w:val="231F20"/>
          <w:w w:val="105"/>
          <w:sz w:val="24"/>
          <w:szCs w:val="24"/>
        </w:rPr>
        <w:t>SCORE</w:t>
      </w:r>
      <w:r w:rsidRPr="00383E5D">
        <w:rPr>
          <w:rFonts w:cs="Times New Roman"/>
          <w:color w:val="231F20"/>
          <w:w w:val="105"/>
          <w:sz w:val="24"/>
          <w:szCs w:val="24"/>
          <w:vertAlign w:val="subscript"/>
        </w:rPr>
        <w:t>it</w:t>
      </w:r>
      <w:proofErr w:type="spellEnd"/>
      <w:r w:rsidRPr="00383E5D">
        <w:rPr>
          <w:rFonts w:cs="Times New Roman"/>
          <w:color w:val="231F20"/>
          <w:w w:val="105"/>
          <w:sz w:val="24"/>
          <w:szCs w:val="24"/>
        </w:rPr>
        <w:t xml:space="preserve"> = b</w:t>
      </w:r>
      <w:r w:rsidRPr="00383E5D">
        <w:rPr>
          <w:rFonts w:cs="Times New Roman"/>
          <w:color w:val="231F20"/>
          <w:w w:val="105"/>
          <w:sz w:val="24"/>
          <w:szCs w:val="24"/>
          <w:vertAlign w:val="subscript"/>
        </w:rPr>
        <w:t>0</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1</w:t>
      </w:r>
      <w:r w:rsidRPr="00383E5D">
        <w:rPr>
          <w:rFonts w:cs="Times New Roman"/>
          <w:color w:val="231F20"/>
          <w:w w:val="105"/>
          <w:sz w:val="24"/>
          <w:szCs w:val="24"/>
        </w:rPr>
        <w:t>SchUTP</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2</w:t>
      </w:r>
      <w:r w:rsidRPr="00383E5D">
        <w:rPr>
          <w:rFonts w:cs="Times New Roman"/>
          <w:color w:val="231F20"/>
          <w:w w:val="105"/>
          <w:sz w:val="24"/>
          <w:szCs w:val="24"/>
        </w:rPr>
        <w:t>CETR</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3</w:t>
      </w:r>
      <w:r w:rsidRPr="00383E5D">
        <w:rPr>
          <w:rFonts w:cs="Times New Roman"/>
          <w:color w:val="231F20"/>
          <w:w w:val="105"/>
          <w:sz w:val="24"/>
          <w:szCs w:val="24"/>
        </w:rPr>
        <w:t>UTB</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4</w:t>
      </w:r>
      <w:r w:rsidRPr="00383E5D">
        <w:rPr>
          <w:rFonts w:cs="Times New Roman"/>
          <w:color w:val="231F20"/>
          <w:w w:val="105"/>
          <w:sz w:val="24"/>
          <w:szCs w:val="24"/>
        </w:rPr>
        <w:t>SIZE</w:t>
      </w:r>
      <w:r w:rsidRPr="00383E5D">
        <w:rPr>
          <w:rFonts w:cs="Times New Roman"/>
          <w:color w:val="231F20"/>
          <w:w w:val="105"/>
          <w:sz w:val="24"/>
          <w:szCs w:val="24"/>
          <w:vertAlign w:val="subscript"/>
        </w:rPr>
        <w:t xml:space="preserve">it </w:t>
      </w:r>
      <w:r w:rsidRPr="00383E5D">
        <w:rPr>
          <w:rFonts w:cs="Times New Roman"/>
          <w:color w:val="231F20"/>
          <w:w w:val="105"/>
          <w:sz w:val="24"/>
          <w:szCs w:val="24"/>
        </w:rPr>
        <w:t>+ b</w:t>
      </w:r>
      <w:r w:rsidRPr="00383E5D">
        <w:rPr>
          <w:rFonts w:cs="Times New Roman"/>
          <w:color w:val="231F20"/>
          <w:w w:val="105"/>
          <w:sz w:val="24"/>
          <w:szCs w:val="24"/>
          <w:vertAlign w:val="subscript"/>
        </w:rPr>
        <w:t>5</w:t>
      </w:r>
      <w:r w:rsidRPr="00383E5D">
        <w:rPr>
          <w:rFonts w:cs="Times New Roman"/>
          <w:color w:val="231F20"/>
          <w:w w:val="105"/>
          <w:sz w:val="24"/>
          <w:szCs w:val="24"/>
        </w:rPr>
        <w:t>PFT</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6</w:t>
      </w:r>
      <w:r w:rsidRPr="00383E5D">
        <w:rPr>
          <w:rFonts w:cs="Times New Roman"/>
          <w:color w:val="231F20"/>
          <w:w w:val="105"/>
          <w:sz w:val="24"/>
          <w:szCs w:val="24"/>
        </w:rPr>
        <w:t>CAPINT</w:t>
      </w:r>
      <w:r w:rsidRPr="00383E5D">
        <w:rPr>
          <w:rFonts w:cs="Times New Roman"/>
          <w:color w:val="231F20"/>
          <w:w w:val="105"/>
          <w:sz w:val="24"/>
          <w:szCs w:val="24"/>
          <w:vertAlign w:val="subscript"/>
        </w:rPr>
        <w:t xml:space="preserve">it </w:t>
      </w:r>
    </w:p>
    <w:p w14:paraId="51AEF69E" w14:textId="77777777" w:rsidR="00340A0A" w:rsidRPr="00383E5D" w:rsidRDefault="00340A0A" w:rsidP="00340A0A">
      <w:pPr>
        <w:pStyle w:val="BodyText"/>
        <w:ind w:left="1255" w:right="110" w:firstLine="185"/>
        <w:jc w:val="both"/>
        <w:rPr>
          <w:rFonts w:cs="Times New Roman"/>
          <w:color w:val="231F20"/>
          <w:w w:val="105"/>
          <w:sz w:val="24"/>
          <w:szCs w:val="24"/>
        </w:rPr>
      </w:pPr>
      <w:r w:rsidRPr="00383E5D">
        <w:rPr>
          <w:rFonts w:cs="Times New Roman"/>
          <w:color w:val="231F20"/>
          <w:w w:val="105"/>
          <w:sz w:val="24"/>
          <w:szCs w:val="24"/>
        </w:rPr>
        <w:t>+ b</w:t>
      </w:r>
      <w:r w:rsidRPr="00383E5D">
        <w:rPr>
          <w:rFonts w:cs="Times New Roman"/>
          <w:color w:val="231F20"/>
          <w:w w:val="105"/>
          <w:sz w:val="24"/>
          <w:szCs w:val="24"/>
          <w:vertAlign w:val="subscript"/>
        </w:rPr>
        <w:t>7</w:t>
      </w:r>
      <w:r w:rsidRPr="00383E5D">
        <w:rPr>
          <w:rFonts w:cs="Times New Roman"/>
          <w:color w:val="231F20"/>
          <w:w w:val="105"/>
          <w:sz w:val="24"/>
          <w:szCs w:val="24"/>
        </w:rPr>
        <w:t>LTDA</w:t>
      </w:r>
      <w:r w:rsidRPr="00383E5D">
        <w:rPr>
          <w:rFonts w:cs="Times New Roman"/>
          <w:color w:val="231F20"/>
          <w:w w:val="105"/>
          <w:sz w:val="24"/>
          <w:szCs w:val="24"/>
          <w:vertAlign w:val="subscript"/>
        </w:rPr>
        <w:t xml:space="preserve">it </w:t>
      </w:r>
      <w:r w:rsidRPr="00383E5D">
        <w:rPr>
          <w:rFonts w:cs="Times New Roman"/>
          <w:color w:val="231F20"/>
          <w:w w:val="105"/>
          <w:sz w:val="24"/>
          <w:szCs w:val="24"/>
        </w:rPr>
        <w:t>+ b</w:t>
      </w:r>
      <w:r w:rsidRPr="00383E5D">
        <w:rPr>
          <w:rFonts w:cs="Times New Roman"/>
          <w:color w:val="231F20"/>
          <w:w w:val="105"/>
          <w:sz w:val="24"/>
          <w:szCs w:val="24"/>
          <w:vertAlign w:val="subscript"/>
        </w:rPr>
        <w:t>8</w:t>
      </w:r>
      <w:r w:rsidRPr="00383E5D">
        <w:rPr>
          <w:rFonts w:cs="Times New Roman"/>
          <w:color w:val="231F20"/>
          <w:w w:val="105"/>
          <w:sz w:val="24"/>
          <w:szCs w:val="24"/>
        </w:rPr>
        <w:t>MB</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9</w:t>
      </w:r>
      <w:r w:rsidRPr="00383E5D">
        <w:rPr>
          <w:rFonts w:cs="Times New Roman"/>
          <w:color w:val="231F20"/>
          <w:w w:val="105"/>
          <w:sz w:val="24"/>
          <w:szCs w:val="24"/>
        </w:rPr>
        <w:t>BIG4</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10</w:t>
      </w:r>
      <w:r w:rsidRPr="00383E5D">
        <w:rPr>
          <w:rFonts w:cs="Times New Roman"/>
          <w:color w:val="231F20"/>
          <w:w w:val="105"/>
          <w:sz w:val="24"/>
          <w:szCs w:val="24"/>
        </w:rPr>
        <w:t>TAXFEES</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+b</w:t>
      </w:r>
      <w:r w:rsidRPr="00383E5D">
        <w:rPr>
          <w:rFonts w:cs="Times New Roman"/>
          <w:color w:val="231F20"/>
          <w:w w:val="105"/>
          <w:sz w:val="24"/>
          <w:szCs w:val="24"/>
          <w:vertAlign w:val="subscript"/>
        </w:rPr>
        <w:t>11</w:t>
      </w:r>
      <w:r w:rsidRPr="00383E5D">
        <w:rPr>
          <w:rFonts w:cs="Times New Roman"/>
          <w:color w:val="231F20"/>
          <w:w w:val="105"/>
          <w:sz w:val="24"/>
          <w:szCs w:val="24"/>
        </w:rPr>
        <w:t>DAYSFILE</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w:t>
      </w:r>
    </w:p>
    <w:p w14:paraId="4037E3D0" w14:textId="77777777" w:rsidR="00340A0A" w:rsidRPr="00383E5D" w:rsidRDefault="00340A0A" w:rsidP="00340A0A">
      <w:pPr>
        <w:pStyle w:val="BodyText"/>
        <w:ind w:left="1255" w:right="110" w:firstLine="185"/>
        <w:jc w:val="both"/>
        <w:rPr>
          <w:rFonts w:cs="Times New Roman"/>
          <w:color w:val="231F20"/>
          <w:w w:val="105"/>
          <w:sz w:val="24"/>
          <w:szCs w:val="24"/>
          <w:vertAlign w:val="subscript"/>
        </w:rPr>
      </w:pPr>
      <w:r w:rsidRPr="00383E5D">
        <w:rPr>
          <w:rFonts w:cs="Times New Roman"/>
          <w:color w:val="231F20"/>
          <w:w w:val="105"/>
          <w:sz w:val="24"/>
          <w:szCs w:val="24"/>
        </w:rPr>
        <w:t>+ b</w:t>
      </w:r>
      <w:r w:rsidRPr="00383E5D">
        <w:rPr>
          <w:rFonts w:cs="Times New Roman"/>
          <w:color w:val="231F20"/>
          <w:w w:val="105"/>
          <w:sz w:val="24"/>
          <w:szCs w:val="24"/>
          <w:vertAlign w:val="subscript"/>
        </w:rPr>
        <w:t>12</w:t>
      </w:r>
      <w:r w:rsidRPr="00383E5D">
        <w:rPr>
          <w:rFonts w:cs="Times New Roman"/>
          <w:color w:val="231F20"/>
          <w:w w:val="105"/>
          <w:sz w:val="24"/>
          <w:szCs w:val="24"/>
        </w:rPr>
        <w:t>ANALYSTS</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13</w:t>
      </w:r>
      <w:r w:rsidRPr="00383E5D">
        <w:rPr>
          <w:rFonts w:cs="Times New Roman"/>
          <w:color w:val="231F20"/>
          <w:w w:val="105"/>
          <w:sz w:val="24"/>
          <w:szCs w:val="24"/>
        </w:rPr>
        <w:t>WEAKYRS</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+b</w:t>
      </w:r>
      <w:r w:rsidRPr="00383E5D">
        <w:rPr>
          <w:rFonts w:cs="Times New Roman"/>
          <w:color w:val="231F20"/>
          <w:w w:val="105"/>
          <w:sz w:val="24"/>
          <w:szCs w:val="24"/>
          <w:vertAlign w:val="subscript"/>
        </w:rPr>
        <w:t>14</w:t>
      </w:r>
      <w:r w:rsidRPr="00383E5D">
        <w:rPr>
          <w:rFonts w:cs="Times New Roman"/>
          <w:color w:val="231F20"/>
          <w:w w:val="105"/>
          <w:sz w:val="24"/>
          <w:szCs w:val="24"/>
        </w:rPr>
        <w:t>BODINSIDE</w:t>
      </w:r>
      <w:r w:rsidRPr="00383E5D">
        <w:rPr>
          <w:rFonts w:cs="Times New Roman"/>
          <w:color w:val="231F20"/>
          <w:w w:val="105"/>
          <w:sz w:val="24"/>
          <w:szCs w:val="24"/>
          <w:vertAlign w:val="subscript"/>
        </w:rPr>
        <w:t xml:space="preserve">it </w:t>
      </w:r>
      <w:r w:rsidRPr="00383E5D">
        <w:rPr>
          <w:rFonts w:cs="Times New Roman"/>
          <w:color w:val="231F20"/>
          <w:w w:val="105"/>
          <w:sz w:val="24"/>
          <w:szCs w:val="24"/>
        </w:rPr>
        <w:t>+ b</w:t>
      </w:r>
      <w:r w:rsidRPr="00383E5D">
        <w:rPr>
          <w:rFonts w:cs="Times New Roman"/>
          <w:color w:val="231F20"/>
          <w:w w:val="105"/>
          <w:sz w:val="24"/>
          <w:szCs w:val="24"/>
          <w:vertAlign w:val="subscript"/>
        </w:rPr>
        <w:t>15</w:t>
      </w:r>
      <w:r w:rsidRPr="00383E5D">
        <w:rPr>
          <w:rFonts w:cs="Times New Roman"/>
          <w:color w:val="231F20"/>
          <w:w w:val="105"/>
          <w:sz w:val="24"/>
          <w:szCs w:val="24"/>
        </w:rPr>
        <w:t>BODLOCKS</w:t>
      </w:r>
      <w:r w:rsidRPr="00383E5D">
        <w:rPr>
          <w:rFonts w:cs="Times New Roman"/>
          <w:color w:val="231F20"/>
          <w:w w:val="105"/>
          <w:sz w:val="24"/>
          <w:szCs w:val="24"/>
          <w:vertAlign w:val="subscript"/>
        </w:rPr>
        <w:t xml:space="preserve">it </w:t>
      </w:r>
    </w:p>
    <w:p w14:paraId="3B2B894A" w14:textId="77777777" w:rsidR="00340A0A" w:rsidRPr="00383E5D" w:rsidRDefault="00340A0A" w:rsidP="00340A0A">
      <w:pPr>
        <w:pStyle w:val="BodyText"/>
        <w:ind w:left="1255" w:right="110" w:firstLine="185"/>
        <w:jc w:val="both"/>
        <w:rPr>
          <w:rFonts w:cs="Times New Roman"/>
          <w:color w:val="231F20"/>
          <w:w w:val="105"/>
          <w:sz w:val="24"/>
          <w:szCs w:val="24"/>
        </w:rPr>
      </w:pPr>
      <w:r w:rsidRPr="00383E5D">
        <w:rPr>
          <w:rFonts w:cs="Times New Roman"/>
          <w:color w:val="231F20"/>
          <w:w w:val="105"/>
          <w:sz w:val="24"/>
          <w:szCs w:val="24"/>
        </w:rPr>
        <w:t>+ b</w:t>
      </w:r>
      <w:r w:rsidRPr="00383E5D">
        <w:rPr>
          <w:rFonts w:cs="Times New Roman"/>
          <w:color w:val="231F20"/>
          <w:w w:val="105"/>
          <w:sz w:val="24"/>
          <w:szCs w:val="24"/>
          <w:vertAlign w:val="subscript"/>
        </w:rPr>
        <w:t>16</w:t>
      </w:r>
      <w:r w:rsidRPr="00383E5D">
        <w:rPr>
          <w:rFonts w:cs="Times New Roman"/>
          <w:color w:val="231F20"/>
          <w:w w:val="105"/>
          <w:sz w:val="24"/>
          <w:szCs w:val="24"/>
        </w:rPr>
        <w:t>BODOTHER</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17</w:t>
      </w:r>
      <w:r w:rsidRPr="00383E5D">
        <w:rPr>
          <w:rFonts w:cs="Times New Roman"/>
          <w:color w:val="231F20"/>
          <w:w w:val="105"/>
          <w:sz w:val="24"/>
          <w:szCs w:val="24"/>
        </w:rPr>
        <w:t>LITDUM</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18</w:t>
      </w:r>
      <w:r w:rsidRPr="00383E5D">
        <w:rPr>
          <w:rFonts w:cs="Times New Roman"/>
          <w:color w:val="231F20"/>
          <w:w w:val="105"/>
          <w:sz w:val="24"/>
          <w:szCs w:val="24"/>
        </w:rPr>
        <w:t>REGDUM</w:t>
      </w:r>
      <w:r w:rsidRPr="00383E5D">
        <w:rPr>
          <w:rFonts w:cs="Times New Roman"/>
          <w:color w:val="231F20"/>
          <w:w w:val="105"/>
          <w:sz w:val="24"/>
          <w:szCs w:val="24"/>
          <w:vertAlign w:val="subscript"/>
        </w:rPr>
        <w:t xml:space="preserve">it </w:t>
      </w:r>
      <w:r w:rsidRPr="00383E5D">
        <w:rPr>
          <w:rFonts w:cs="Times New Roman"/>
          <w:color w:val="231F20"/>
          <w:w w:val="105"/>
          <w:sz w:val="24"/>
          <w:szCs w:val="24"/>
        </w:rPr>
        <w:t>+ b</w:t>
      </w:r>
      <w:r w:rsidRPr="00383E5D">
        <w:rPr>
          <w:rFonts w:cs="Times New Roman"/>
          <w:color w:val="231F20"/>
          <w:w w:val="105"/>
          <w:sz w:val="24"/>
          <w:szCs w:val="24"/>
          <w:vertAlign w:val="subscript"/>
        </w:rPr>
        <w:t>19</w:t>
      </w:r>
      <w:r w:rsidRPr="00383E5D">
        <w:rPr>
          <w:rFonts w:cs="Times New Roman"/>
          <w:color w:val="231F20"/>
          <w:w w:val="105"/>
          <w:sz w:val="24"/>
          <w:szCs w:val="24"/>
        </w:rPr>
        <w:t>FOROPS</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w:t>
      </w:r>
    </w:p>
    <w:p w14:paraId="103EB6D9" w14:textId="77777777" w:rsidR="00340A0A" w:rsidRPr="00383E5D" w:rsidRDefault="00340A0A" w:rsidP="00340A0A">
      <w:pPr>
        <w:pStyle w:val="BodyText"/>
        <w:ind w:left="1255" w:right="110" w:firstLine="185"/>
        <w:jc w:val="both"/>
        <w:rPr>
          <w:rFonts w:cs="Times New Roman"/>
          <w:color w:val="231F20"/>
          <w:w w:val="105"/>
          <w:sz w:val="24"/>
          <w:szCs w:val="24"/>
          <w:vertAlign w:val="subscript"/>
        </w:rPr>
      </w:pPr>
      <w:r w:rsidRPr="00383E5D">
        <w:rPr>
          <w:rFonts w:cs="Times New Roman"/>
          <w:color w:val="231F20"/>
          <w:w w:val="105"/>
          <w:sz w:val="24"/>
          <w:szCs w:val="24"/>
        </w:rPr>
        <w:t>+ b</w:t>
      </w:r>
      <w:r w:rsidRPr="00383E5D">
        <w:rPr>
          <w:rFonts w:cs="Times New Roman"/>
          <w:color w:val="231F20"/>
          <w:w w:val="105"/>
          <w:sz w:val="24"/>
          <w:szCs w:val="24"/>
          <w:vertAlign w:val="subscript"/>
        </w:rPr>
        <w:t>20</w:t>
      </w:r>
      <w:r w:rsidRPr="00383E5D">
        <w:rPr>
          <w:rFonts w:cs="Times New Roman"/>
          <w:color w:val="231F20"/>
          <w:w w:val="105"/>
          <w:sz w:val="24"/>
          <w:szCs w:val="24"/>
        </w:rPr>
        <w:t>BUS_SEG</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b</w:t>
      </w:r>
      <w:r w:rsidRPr="00383E5D">
        <w:rPr>
          <w:rFonts w:cs="Times New Roman"/>
          <w:color w:val="231F20"/>
          <w:w w:val="105"/>
          <w:sz w:val="24"/>
          <w:szCs w:val="24"/>
          <w:vertAlign w:val="subscript"/>
        </w:rPr>
        <w:t>21</w:t>
      </w:r>
      <w:r w:rsidRPr="00383E5D">
        <w:rPr>
          <w:rFonts w:cs="Times New Roman"/>
          <w:color w:val="231F20"/>
          <w:w w:val="105"/>
          <w:sz w:val="24"/>
          <w:szCs w:val="24"/>
        </w:rPr>
        <w:t>GEO_SEG</w:t>
      </w:r>
      <w:r w:rsidRPr="00383E5D">
        <w:rPr>
          <w:rFonts w:cs="Times New Roman"/>
          <w:color w:val="231F20"/>
          <w:w w:val="105"/>
          <w:sz w:val="24"/>
          <w:szCs w:val="24"/>
          <w:vertAlign w:val="subscript"/>
        </w:rPr>
        <w:t>it</w:t>
      </w:r>
      <w:r w:rsidRPr="00383E5D">
        <w:rPr>
          <w:rFonts w:cs="Times New Roman"/>
          <w:color w:val="231F20"/>
          <w:w w:val="105"/>
          <w:sz w:val="24"/>
          <w:szCs w:val="24"/>
        </w:rPr>
        <w:t xml:space="preserve"> + </w:t>
      </w:r>
      <w:r w:rsidRPr="00383E5D">
        <w:rPr>
          <w:rFonts w:cs="Times New Roman"/>
          <w:i/>
          <w:color w:val="231F20"/>
          <w:w w:val="105"/>
          <w:sz w:val="24"/>
          <w:szCs w:val="24"/>
        </w:rPr>
        <w:t>f</w:t>
      </w:r>
      <w:r w:rsidRPr="00383E5D">
        <w:rPr>
          <w:rFonts w:cs="Times New Roman"/>
          <w:color w:val="231F20"/>
          <w:w w:val="105"/>
          <w:sz w:val="24"/>
          <w:szCs w:val="24"/>
        </w:rPr>
        <w:t xml:space="preserve"> + </w:t>
      </w:r>
      <w:proofErr w:type="spellStart"/>
      <w:r w:rsidRPr="00383E5D">
        <w:rPr>
          <w:rFonts w:cs="Times New Roman"/>
          <w:color w:val="231F20"/>
          <w:w w:val="105"/>
          <w:sz w:val="24"/>
          <w:szCs w:val="24"/>
        </w:rPr>
        <w:t>e</w:t>
      </w:r>
      <w:r w:rsidRPr="00383E5D">
        <w:rPr>
          <w:rFonts w:cs="Times New Roman"/>
          <w:color w:val="231F20"/>
          <w:w w:val="105"/>
          <w:sz w:val="24"/>
          <w:szCs w:val="24"/>
          <w:vertAlign w:val="subscript"/>
        </w:rPr>
        <w:t>it</w:t>
      </w:r>
      <w:proofErr w:type="spellEnd"/>
    </w:p>
    <w:p w14:paraId="50F969F0" w14:textId="77777777" w:rsidR="00340A0A" w:rsidRPr="00383E5D" w:rsidRDefault="00340A0A" w:rsidP="00340A0A">
      <w:pPr>
        <w:spacing w:after="0" w:line="240" w:lineRule="auto"/>
        <w:ind w:left="1405" w:right="493" w:hanging="930"/>
        <w:jc w:val="both"/>
        <w:rPr>
          <w:rFonts w:ascii="Times New Roman" w:hAnsi="Times New Roman" w:cs="Times New Roman"/>
          <w:color w:val="231F20"/>
          <w:w w:val="105"/>
          <w:sz w:val="24"/>
          <w:szCs w:val="24"/>
        </w:rPr>
      </w:pPr>
    </w:p>
    <w:p w14:paraId="0B62047E"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I define the dependent variable, </w:t>
      </w:r>
      <w:r w:rsidRPr="00383E5D">
        <w:rPr>
          <w:rFonts w:eastAsiaTheme="minorHAnsi" w:cs="Times New Roman"/>
          <w:i/>
          <w:color w:val="231F20"/>
          <w:w w:val="105"/>
          <w:sz w:val="24"/>
          <w:szCs w:val="24"/>
        </w:rPr>
        <w:t>SCORE</w:t>
      </w:r>
      <w:r w:rsidRPr="00383E5D">
        <w:rPr>
          <w:rFonts w:eastAsiaTheme="minorHAnsi" w:cs="Times New Roman"/>
          <w:color w:val="231F20"/>
          <w:w w:val="105"/>
          <w:sz w:val="24"/>
          <w:szCs w:val="24"/>
        </w:rPr>
        <w:t xml:space="preserve">, as either </w:t>
      </w:r>
      <w:r w:rsidRPr="00383E5D">
        <w:rPr>
          <w:rFonts w:eastAsiaTheme="minorHAnsi" w:cs="Times New Roman"/>
          <w:i/>
          <w:color w:val="231F20"/>
          <w:w w:val="105"/>
          <w:sz w:val="24"/>
          <w:szCs w:val="24"/>
        </w:rPr>
        <w:t>COMPLETE</w:t>
      </w:r>
      <w:r>
        <w:rPr>
          <w:rFonts w:eastAsiaTheme="minorHAnsi" w:cs="Times New Roman"/>
          <w:color w:val="231F20"/>
          <w:w w:val="105"/>
          <w:sz w:val="24"/>
          <w:szCs w:val="24"/>
        </w:rPr>
        <w:t xml:space="preserve"> or</w:t>
      </w:r>
      <w:r w:rsidRPr="00383E5D">
        <w:rPr>
          <w:rFonts w:eastAsiaTheme="minorHAnsi" w:cs="Times New Roman"/>
          <w:color w:val="231F20"/>
          <w:w w:val="105"/>
          <w:sz w:val="24"/>
          <w:szCs w:val="24"/>
        </w:rPr>
        <w:t xml:space="preserve"> </w:t>
      </w:r>
      <w:r w:rsidRPr="00383E5D">
        <w:rPr>
          <w:rFonts w:eastAsiaTheme="minorHAnsi" w:cs="Times New Roman"/>
          <w:i/>
          <w:color w:val="231F20"/>
          <w:w w:val="105"/>
          <w:sz w:val="24"/>
          <w:szCs w:val="24"/>
        </w:rPr>
        <w:t>CLARITY</w:t>
      </w:r>
      <w:r w:rsidRPr="00383E5D">
        <w:rPr>
          <w:rFonts w:eastAsiaTheme="minorHAnsi" w:cs="Times New Roman"/>
          <w:color w:val="231F20"/>
          <w:w w:val="105"/>
          <w:sz w:val="24"/>
          <w:szCs w:val="24"/>
        </w:rPr>
        <w:t xml:space="preserve">.  </w:t>
      </w:r>
      <w:r w:rsidRPr="00383E5D">
        <w:rPr>
          <w:rFonts w:eastAsiaTheme="minorHAnsi" w:cs="Times New Roman"/>
          <w:i/>
          <w:color w:val="231F20"/>
          <w:w w:val="105"/>
          <w:sz w:val="24"/>
          <w:szCs w:val="24"/>
        </w:rPr>
        <w:t>COMPLETE</w:t>
      </w:r>
      <w:r w:rsidRPr="00383E5D">
        <w:rPr>
          <w:rFonts w:eastAsiaTheme="minorHAnsi" w:cs="Times New Roman"/>
          <w:color w:val="231F20"/>
          <w:w w:val="105"/>
          <w:sz w:val="24"/>
          <w:szCs w:val="24"/>
        </w:rPr>
        <w:t xml:space="preserve"> and </w:t>
      </w:r>
      <w:r w:rsidRPr="00383E5D">
        <w:rPr>
          <w:rFonts w:eastAsiaTheme="minorHAnsi" w:cs="Times New Roman"/>
          <w:i/>
          <w:color w:val="231F20"/>
          <w:w w:val="105"/>
          <w:sz w:val="24"/>
          <w:szCs w:val="24"/>
        </w:rPr>
        <w:t xml:space="preserve">CLARITY </w:t>
      </w:r>
      <w:r w:rsidRPr="00383E5D">
        <w:rPr>
          <w:rFonts w:eastAsiaTheme="minorHAnsi" w:cs="Times New Roman"/>
          <w:color w:val="231F20"/>
          <w:w w:val="105"/>
          <w:sz w:val="24"/>
          <w:szCs w:val="24"/>
        </w:rPr>
        <w:t xml:space="preserve">measure different aspects of the FIN 48 disclosure.  </w:t>
      </w:r>
      <w:r w:rsidRPr="00383E5D">
        <w:rPr>
          <w:rFonts w:eastAsiaTheme="minorHAnsi" w:cs="Times New Roman"/>
          <w:i/>
          <w:color w:val="231F20"/>
          <w:w w:val="105"/>
          <w:sz w:val="24"/>
          <w:szCs w:val="24"/>
        </w:rPr>
        <w:t>COMPLETE</w:t>
      </w:r>
      <w:r w:rsidRPr="00383E5D">
        <w:rPr>
          <w:rFonts w:eastAsiaTheme="minorHAnsi" w:cs="Times New Roman"/>
          <w:color w:val="231F20"/>
          <w:w w:val="105"/>
          <w:sz w:val="24"/>
          <w:szCs w:val="24"/>
        </w:rPr>
        <w:t xml:space="preserve"> measures lack of compliance, while </w:t>
      </w:r>
      <w:r w:rsidRPr="00383E5D">
        <w:rPr>
          <w:rFonts w:eastAsiaTheme="minorHAnsi" w:cs="Times New Roman"/>
          <w:i/>
          <w:color w:val="231F20"/>
          <w:w w:val="105"/>
          <w:sz w:val="24"/>
          <w:szCs w:val="24"/>
        </w:rPr>
        <w:t xml:space="preserve">CLARITY </w:t>
      </w:r>
      <w:r w:rsidRPr="00383E5D">
        <w:rPr>
          <w:rFonts w:eastAsiaTheme="minorHAnsi" w:cs="Times New Roman"/>
          <w:color w:val="231F20"/>
          <w:w w:val="105"/>
          <w:sz w:val="24"/>
          <w:szCs w:val="24"/>
        </w:rPr>
        <w:t>measures the discretionary disclosure that captures the voluntary inclusion of</w:t>
      </w:r>
      <w:r w:rsidRPr="00383E5D">
        <w:rPr>
          <w:rFonts w:cs="Times New Roman"/>
          <w:sz w:val="24"/>
          <w:szCs w:val="24"/>
        </w:rPr>
        <w:t xml:space="preserve"> important clarifying information needed to understand and interpret the disclosure</w:t>
      </w:r>
      <w:r w:rsidRPr="00383E5D">
        <w:rPr>
          <w:rFonts w:eastAsiaTheme="minorHAnsi" w:cs="Times New Roman"/>
          <w:color w:val="231F20"/>
          <w:w w:val="105"/>
          <w:sz w:val="24"/>
          <w:szCs w:val="24"/>
        </w:rPr>
        <w:t>.  Following Robinson &amp; Schmidt (2013), I include control variables that capture ﬁrm-level characteristics that may affect ﬁrms’ disclosure choices.  I include a firm fixed effect to control for time invariant firm characteristics.  The results are robust to using an industry fixed effect.  The model includes robust standard errors.</w:t>
      </w:r>
    </w:p>
    <w:p w14:paraId="4A530341"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Proprietary costs of disclosing more information about uncertain tax positions result from the possibility that the increased disclosure may weaken a firm’s competitive position when negotiating with tax authorities, increase the probability of an audit occurring or increase the effectiveness of an IRS audit.  If the IRS does not find information in the FIN 48 disclosure useful, then the 2010 implementation of Schedule UTP may lower proprietary costs associated with providing more information in the FIN 48 disclosure.  As such, the variable of interest is </w:t>
      </w:r>
      <w:proofErr w:type="spellStart"/>
      <w:r w:rsidRPr="00383E5D">
        <w:rPr>
          <w:rFonts w:eastAsiaTheme="minorHAnsi" w:cs="Times New Roman"/>
          <w:i/>
          <w:color w:val="231F20"/>
          <w:w w:val="105"/>
          <w:sz w:val="24"/>
          <w:szCs w:val="24"/>
        </w:rPr>
        <w:t>SchUTP</w:t>
      </w:r>
      <w:proofErr w:type="spellEnd"/>
      <w:r w:rsidRPr="00383E5D">
        <w:rPr>
          <w:rFonts w:eastAsiaTheme="minorHAnsi" w:cs="Times New Roman"/>
          <w:color w:val="231F20"/>
          <w:w w:val="105"/>
          <w:sz w:val="24"/>
          <w:szCs w:val="24"/>
        </w:rPr>
        <w:t xml:space="preserve">, an indicator variable equal to one for 2010 firm-year observations to capture a within firm analysis of whether firm disclosure changes surrounding Schedule UTP adoption.  The coefficient </w:t>
      </w:r>
      <w:r>
        <w:rPr>
          <w:rFonts w:eastAsiaTheme="minorHAnsi" w:cs="Times New Roman"/>
          <w:color w:val="231F20"/>
          <w:w w:val="105"/>
          <w:sz w:val="24"/>
          <w:szCs w:val="24"/>
        </w:rPr>
        <w:t>captures</w:t>
      </w:r>
      <w:r w:rsidRPr="00383E5D">
        <w:rPr>
          <w:rFonts w:eastAsiaTheme="minorHAnsi" w:cs="Times New Roman"/>
          <w:color w:val="231F20"/>
          <w:w w:val="105"/>
          <w:sz w:val="24"/>
          <w:szCs w:val="24"/>
        </w:rPr>
        <w:t xml:space="preserve"> the average of firm-specific differences in disclosure.  I do not predict a direction for the association between disclosure score and </w:t>
      </w:r>
      <w:proofErr w:type="spellStart"/>
      <w:r w:rsidRPr="00383E5D">
        <w:rPr>
          <w:rFonts w:eastAsiaTheme="minorHAnsi" w:cs="Times New Roman"/>
          <w:i/>
          <w:color w:val="231F20"/>
          <w:w w:val="105"/>
          <w:sz w:val="24"/>
          <w:szCs w:val="24"/>
        </w:rPr>
        <w:t>SchUTP</w:t>
      </w:r>
      <w:proofErr w:type="spellEnd"/>
      <w:r w:rsidRPr="00383E5D">
        <w:rPr>
          <w:rFonts w:eastAsiaTheme="minorHAnsi" w:cs="Times New Roman"/>
          <w:color w:val="231F20"/>
          <w:w w:val="105"/>
          <w:sz w:val="24"/>
          <w:szCs w:val="24"/>
        </w:rPr>
        <w:t xml:space="preserve">.  However, a negative </w:t>
      </w:r>
      <w:proofErr w:type="spellStart"/>
      <w:r w:rsidRPr="00383E5D">
        <w:rPr>
          <w:rFonts w:eastAsiaTheme="minorHAnsi" w:cs="Times New Roman"/>
          <w:i/>
          <w:color w:val="231F20"/>
          <w:w w:val="105"/>
          <w:sz w:val="24"/>
          <w:szCs w:val="24"/>
        </w:rPr>
        <w:t>SchUTP</w:t>
      </w:r>
      <w:proofErr w:type="spellEnd"/>
      <w:r w:rsidRPr="00383E5D">
        <w:rPr>
          <w:rFonts w:eastAsiaTheme="minorHAnsi" w:cs="Times New Roman"/>
          <w:color w:val="231F20"/>
          <w:w w:val="105"/>
          <w:sz w:val="24"/>
          <w:szCs w:val="24"/>
        </w:rPr>
        <w:t xml:space="preserve"> coefficient indicates that firms </w:t>
      </w:r>
      <w:r>
        <w:rPr>
          <w:rFonts w:eastAsiaTheme="minorHAnsi" w:cs="Times New Roman"/>
          <w:color w:val="231F20"/>
          <w:w w:val="105"/>
          <w:sz w:val="24"/>
          <w:szCs w:val="24"/>
        </w:rPr>
        <w:t>on average</w:t>
      </w:r>
      <w:r w:rsidRPr="00383E5D">
        <w:rPr>
          <w:rFonts w:eastAsiaTheme="minorHAnsi" w:cs="Times New Roman"/>
          <w:color w:val="231F20"/>
          <w:w w:val="105"/>
          <w:sz w:val="24"/>
          <w:szCs w:val="24"/>
        </w:rPr>
        <w:t xml:space="preserve"> have lower FIN 48 disclosure quality following the adoption of IRS Schedule UTP.  A positive </w:t>
      </w:r>
      <w:proofErr w:type="spellStart"/>
      <w:r w:rsidRPr="00383E5D">
        <w:rPr>
          <w:rFonts w:eastAsiaTheme="minorHAnsi" w:cs="Times New Roman"/>
          <w:i/>
          <w:color w:val="231F20"/>
          <w:w w:val="105"/>
          <w:sz w:val="24"/>
          <w:szCs w:val="24"/>
        </w:rPr>
        <w:t>SchUTP</w:t>
      </w:r>
      <w:proofErr w:type="spellEnd"/>
      <w:r w:rsidRPr="00383E5D">
        <w:rPr>
          <w:rFonts w:eastAsiaTheme="minorHAnsi" w:cs="Times New Roman"/>
          <w:color w:val="231F20"/>
          <w:w w:val="105"/>
          <w:sz w:val="24"/>
          <w:szCs w:val="24"/>
        </w:rPr>
        <w:t xml:space="preserve"> coefficient indicates that firms </w:t>
      </w:r>
      <w:r>
        <w:rPr>
          <w:rFonts w:eastAsiaTheme="minorHAnsi" w:cs="Times New Roman"/>
          <w:color w:val="231F20"/>
          <w:w w:val="105"/>
          <w:sz w:val="24"/>
          <w:szCs w:val="24"/>
        </w:rPr>
        <w:t>on average</w:t>
      </w:r>
      <w:r w:rsidRPr="00383E5D">
        <w:rPr>
          <w:rFonts w:eastAsiaTheme="minorHAnsi" w:cs="Times New Roman"/>
          <w:color w:val="231F20"/>
          <w:w w:val="105"/>
          <w:sz w:val="24"/>
          <w:szCs w:val="24"/>
        </w:rPr>
        <w:t xml:space="preserve"> have higher quality FIN 48 disclosure post IRS Schedule UTP.  </w:t>
      </w:r>
    </w:p>
    <w:p w14:paraId="6DB0B844"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i/>
          <w:color w:val="231F20"/>
          <w:w w:val="105"/>
          <w:sz w:val="24"/>
          <w:szCs w:val="24"/>
        </w:rPr>
        <w:t>CETR</w:t>
      </w:r>
      <w:r w:rsidRPr="00383E5D">
        <w:rPr>
          <w:rFonts w:eastAsiaTheme="minorHAnsi" w:cs="Times New Roman"/>
          <w:color w:val="231F20"/>
          <w:w w:val="105"/>
          <w:sz w:val="24"/>
          <w:szCs w:val="24"/>
        </w:rPr>
        <w:t xml:space="preserve"> is a measure of tax avoidance and is calculated as a three-year average cash effective tax rate, measured as the sum of cash taxes paid from three lagged years divided by the sum of total pretax income from three lagged years (</w:t>
      </w:r>
      <w:proofErr w:type="spellStart"/>
      <w:r w:rsidRPr="00383E5D">
        <w:rPr>
          <w:rFonts w:eastAsiaTheme="minorHAnsi" w:cs="Times New Roman"/>
          <w:color w:val="231F20"/>
          <w:w w:val="105"/>
          <w:sz w:val="24"/>
          <w:szCs w:val="24"/>
        </w:rPr>
        <w:t>Dyreng</w:t>
      </w:r>
      <w:proofErr w:type="spellEnd"/>
      <w:r w:rsidRPr="00383E5D">
        <w:rPr>
          <w:rFonts w:eastAsiaTheme="minorHAnsi" w:cs="Times New Roman"/>
          <w:color w:val="231F20"/>
          <w:w w:val="105"/>
          <w:sz w:val="24"/>
          <w:szCs w:val="24"/>
        </w:rPr>
        <w:t xml:space="preserve"> et al. 2008).  </w:t>
      </w:r>
      <w:r w:rsidRPr="00383E5D">
        <w:rPr>
          <w:rFonts w:eastAsiaTheme="minorHAnsi" w:cs="Times New Roman"/>
          <w:i/>
          <w:color w:val="231F20"/>
          <w:w w:val="105"/>
          <w:sz w:val="24"/>
          <w:szCs w:val="24"/>
        </w:rPr>
        <w:t>CETR</w:t>
      </w:r>
      <w:r w:rsidRPr="00383E5D">
        <w:rPr>
          <w:rFonts w:eastAsiaTheme="minorHAnsi" w:cs="Times New Roman"/>
          <w:color w:val="231F20"/>
          <w:w w:val="105"/>
          <w:sz w:val="24"/>
          <w:szCs w:val="24"/>
        </w:rPr>
        <w:t xml:space="preserve"> is </w:t>
      </w:r>
      <w:proofErr w:type="spellStart"/>
      <w:r w:rsidRPr="00383E5D">
        <w:rPr>
          <w:rFonts w:eastAsiaTheme="minorHAnsi" w:cs="Times New Roman"/>
          <w:color w:val="231F20"/>
          <w:w w:val="105"/>
          <w:sz w:val="24"/>
          <w:szCs w:val="24"/>
        </w:rPr>
        <w:t>winsorized</w:t>
      </w:r>
      <w:proofErr w:type="spellEnd"/>
      <w:r w:rsidRPr="00383E5D">
        <w:rPr>
          <w:rFonts w:eastAsiaTheme="minorHAnsi" w:cs="Times New Roman"/>
          <w:color w:val="231F20"/>
          <w:w w:val="105"/>
          <w:sz w:val="24"/>
          <w:szCs w:val="24"/>
        </w:rPr>
        <w:t xml:space="preserve"> at the 1st and 99th percentiles.</w:t>
      </w:r>
      <w:r w:rsidRPr="00383E5D">
        <w:rPr>
          <w:rStyle w:val="FootnoteReference"/>
          <w:rFonts w:eastAsiaTheme="minorHAnsi" w:cs="Times New Roman"/>
          <w:color w:val="231F20"/>
          <w:w w:val="105"/>
          <w:sz w:val="24"/>
          <w:szCs w:val="24"/>
        </w:rPr>
        <w:footnoteReference w:id="14"/>
      </w:r>
      <w:r w:rsidRPr="00383E5D">
        <w:rPr>
          <w:rFonts w:eastAsiaTheme="minorHAnsi" w:cs="Times New Roman"/>
          <w:color w:val="231F20"/>
          <w:w w:val="105"/>
          <w:sz w:val="24"/>
          <w:szCs w:val="24"/>
        </w:rPr>
        <w:t xml:space="preserve">  A positive and significant </w:t>
      </w:r>
      <w:r>
        <w:rPr>
          <w:rFonts w:eastAsiaTheme="minorHAnsi" w:cs="Times New Roman"/>
          <w:color w:val="231F20"/>
          <w:w w:val="105"/>
          <w:sz w:val="24"/>
          <w:szCs w:val="24"/>
        </w:rPr>
        <w:t xml:space="preserve">value of </w:t>
      </w:r>
      <w:r w:rsidRPr="00383E5D">
        <w:rPr>
          <w:rFonts w:eastAsiaTheme="minorHAnsi" w:cs="Times New Roman"/>
          <w:i/>
          <w:color w:val="231F20"/>
          <w:w w:val="105"/>
          <w:sz w:val="24"/>
          <w:szCs w:val="24"/>
        </w:rPr>
        <w:t>CETR</w:t>
      </w:r>
      <w:r w:rsidRPr="00383E5D">
        <w:rPr>
          <w:rFonts w:eastAsiaTheme="minorHAnsi" w:cs="Times New Roman"/>
          <w:color w:val="231F20"/>
          <w:w w:val="105"/>
          <w:sz w:val="24"/>
          <w:szCs w:val="24"/>
        </w:rPr>
        <w:t xml:space="preserve"> implies that firms that pay higher effective tax rates or engage in less tax avoidance behavior, likely face lower proprietary costs from full disclosure and have higher FIN 48 disclosure quality.  A negative and significant value of b</w:t>
      </w:r>
      <w:r w:rsidRPr="00383E5D">
        <w:rPr>
          <w:rFonts w:eastAsiaTheme="minorHAnsi" w:cs="Times New Roman"/>
          <w:color w:val="231F20"/>
          <w:w w:val="105"/>
          <w:sz w:val="24"/>
          <w:szCs w:val="24"/>
          <w:vertAlign w:val="subscript"/>
        </w:rPr>
        <w:t>2</w:t>
      </w:r>
      <w:r w:rsidRPr="00383E5D">
        <w:rPr>
          <w:rFonts w:eastAsiaTheme="minorHAnsi" w:cs="Times New Roman"/>
          <w:i/>
          <w:color w:val="231F20"/>
          <w:w w:val="105"/>
          <w:sz w:val="24"/>
          <w:szCs w:val="24"/>
        </w:rPr>
        <w:t>CETR</w:t>
      </w:r>
      <w:r w:rsidRPr="00383E5D">
        <w:rPr>
          <w:rFonts w:eastAsiaTheme="minorHAnsi" w:cs="Times New Roman"/>
          <w:color w:val="231F20"/>
          <w:w w:val="105"/>
          <w:sz w:val="24"/>
          <w:szCs w:val="24"/>
        </w:rPr>
        <w:t xml:space="preserve"> implies that a ﬁrm that pays higher effective tax rates faces higher proprietary costs from full disclosure, and </w:t>
      </w:r>
      <w:r>
        <w:rPr>
          <w:rFonts w:eastAsiaTheme="minorHAnsi" w:cs="Times New Roman"/>
          <w:color w:val="231F20"/>
          <w:w w:val="105"/>
          <w:sz w:val="24"/>
          <w:szCs w:val="24"/>
        </w:rPr>
        <w:t>h</w:t>
      </w:r>
      <w:r w:rsidRPr="00383E5D">
        <w:rPr>
          <w:rFonts w:eastAsiaTheme="minorHAnsi" w:cs="Times New Roman"/>
          <w:color w:val="231F20"/>
          <w:w w:val="105"/>
          <w:sz w:val="24"/>
          <w:szCs w:val="24"/>
        </w:rPr>
        <w:t xml:space="preserve">ave lower quality tax disclosures.  </w:t>
      </w:r>
    </w:p>
    <w:p w14:paraId="2F99F8DF"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I add </w:t>
      </w:r>
      <w:r w:rsidRPr="00383E5D">
        <w:rPr>
          <w:rFonts w:eastAsiaTheme="minorHAnsi" w:cs="Times New Roman"/>
          <w:i/>
          <w:color w:val="231F20"/>
          <w:w w:val="105"/>
          <w:sz w:val="24"/>
          <w:szCs w:val="24"/>
        </w:rPr>
        <w:t>UTB</w:t>
      </w:r>
      <w:r w:rsidRPr="00383E5D">
        <w:rPr>
          <w:rFonts w:eastAsiaTheme="minorHAnsi" w:cs="Times New Roman"/>
          <w:color w:val="231F20"/>
          <w:w w:val="105"/>
          <w:sz w:val="24"/>
          <w:szCs w:val="24"/>
        </w:rPr>
        <w:t xml:space="preserve"> to the Robinson &amp; Schmidt (2013) model.  It is measured as the log of the year-end balance of UTB tax reserves.  Firms that possess large UTB tax reserve balances may be sufficiently opaque due to the aggregation of many large positions and not be motivated to alter FIN 48 disclosure quality.  Similarly, a firm with a small UTB balance may not be concerned with higher quality disclosure because the IRS </w:t>
      </w:r>
      <w:r>
        <w:rPr>
          <w:rFonts w:eastAsiaTheme="minorHAnsi" w:cs="Times New Roman"/>
          <w:color w:val="231F20"/>
          <w:w w:val="105"/>
          <w:sz w:val="24"/>
          <w:szCs w:val="24"/>
        </w:rPr>
        <w:t>may</w:t>
      </w:r>
      <w:r w:rsidRPr="00383E5D">
        <w:rPr>
          <w:rFonts w:eastAsiaTheme="minorHAnsi" w:cs="Times New Roman"/>
          <w:color w:val="231F20"/>
          <w:w w:val="105"/>
          <w:sz w:val="24"/>
          <w:szCs w:val="24"/>
        </w:rPr>
        <w:t xml:space="preserve"> have good information on small balances.  However, in general, firms may not want to provide any incremental information that can allow the IRS to better ascertain the magnitude of the reserve for specific positions.  As such, I do not make a prediction for UTB.</w:t>
      </w:r>
      <w:r w:rsidRPr="00383E5D">
        <w:rPr>
          <w:rStyle w:val="FootnoteReference"/>
          <w:rFonts w:eastAsiaTheme="minorHAnsi" w:cs="Times New Roman"/>
          <w:color w:val="231F20"/>
          <w:w w:val="105"/>
          <w:sz w:val="24"/>
          <w:szCs w:val="24"/>
        </w:rPr>
        <w:footnoteReference w:id="15"/>
      </w:r>
      <w:r>
        <w:rPr>
          <w:rStyle w:val="FootnoteReference"/>
          <w:rFonts w:eastAsiaTheme="minorHAnsi" w:cs="Times New Roman"/>
          <w:color w:val="231F20"/>
          <w:w w:val="105"/>
          <w:sz w:val="24"/>
          <w:szCs w:val="24"/>
        </w:rPr>
        <w:footnoteReference w:id="16"/>
      </w:r>
      <w:r w:rsidRPr="00383E5D">
        <w:rPr>
          <w:rFonts w:eastAsiaTheme="minorHAnsi" w:cs="Times New Roman"/>
          <w:color w:val="231F20"/>
          <w:w w:val="105"/>
          <w:sz w:val="24"/>
          <w:szCs w:val="24"/>
        </w:rPr>
        <w:t xml:space="preserve">  </w:t>
      </w:r>
    </w:p>
    <w:p w14:paraId="40ED59B4"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Prior research finds a positive association between firm size and disclosure quality (Lang and </w:t>
      </w:r>
      <w:proofErr w:type="spellStart"/>
      <w:r w:rsidRPr="00383E5D">
        <w:rPr>
          <w:rFonts w:eastAsiaTheme="minorHAnsi" w:cs="Times New Roman"/>
          <w:color w:val="231F20"/>
          <w:w w:val="105"/>
          <w:sz w:val="24"/>
          <w:szCs w:val="24"/>
        </w:rPr>
        <w:t>Lundholm</w:t>
      </w:r>
      <w:proofErr w:type="spellEnd"/>
      <w:r w:rsidRPr="00383E5D">
        <w:rPr>
          <w:rFonts w:eastAsiaTheme="minorHAnsi" w:cs="Times New Roman"/>
          <w:color w:val="231F20"/>
          <w:w w:val="105"/>
          <w:sz w:val="24"/>
          <w:szCs w:val="24"/>
        </w:rPr>
        <w:t xml:space="preserve"> 1993).  To control for the possibility that FIN 48 disclosure quality is correlated with disclosure quality more generally, I include firm characteristics that predict comprehensive disclosure: size (</w:t>
      </w:r>
      <w:r w:rsidRPr="00383E5D">
        <w:rPr>
          <w:rFonts w:eastAsiaTheme="minorHAnsi" w:cs="Times New Roman"/>
          <w:i/>
          <w:color w:val="231F20"/>
          <w:w w:val="105"/>
          <w:sz w:val="24"/>
          <w:szCs w:val="24"/>
        </w:rPr>
        <w:t>SIZE</w:t>
      </w:r>
      <w:r w:rsidRPr="00383E5D">
        <w:rPr>
          <w:rFonts w:eastAsiaTheme="minorHAnsi" w:cs="Times New Roman"/>
          <w:color w:val="231F20"/>
          <w:w w:val="105"/>
          <w:sz w:val="24"/>
          <w:szCs w:val="24"/>
        </w:rPr>
        <w:t>), profitability (</w:t>
      </w:r>
      <w:r w:rsidRPr="00383E5D">
        <w:rPr>
          <w:rFonts w:eastAsiaTheme="minorHAnsi" w:cs="Times New Roman"/>
          <w:i/>
          <w:color w:val="231F20"/>
          <w:w w:val="105"/>
          <w:sz w:val="24"/>
          <w:szCs w:val="24"/>
        </w:rPr>
        <w:t>PFT</w:t>
      </w:r>
      <w:r w:rsidRPr="00383E5D">
        <w:rPr>
          <w:rFonts w:eastAsiaTheme="minorHAnsi" w:cs="Times New Roman"/>
          <w:color w:val="231F20"/>
          <w:w w:val="105"/>
          <w:sz w:val="24"/>
          <w:szCs w:val="24"/>
        </w:rPr>
        <w:t>), capital intensity (</w:t>
      </w:r>
      <w:r w:rsidRPr="00383E5D">
        <w:rPr>
          <w:rFonts w:eastAsiaTheme="minorHAnsi" w:cs="Times New Roman"/>
          <w:i/>
          <w:color w:val="231F20"/>
          <w:w w:val="105"/>
          <w:sz w:val="24"/>
          <w:szCs w:val="24"/>
        </w:rPr>
        <w:t>CAPINT</w:t>
      </w:r>
      <w:r w:rsidRPr="00383E5D">
        <w:rPr>
          <w:rFonts w:eastAsiaTheme="minorHAnsi" w:cs="Times New Roman"/>
          <w:color w:val="231F20"/>
          <w:w w:val="105"/>
          <w:sz w:val="24"/>
          <w:szCs w:val="24"/>
        </w:rPr>
        <w:t>), leverage (</w:t>
      </w:r>
      <w:r w:rsidRPr="00383E5D">
        <w:rPr>
          <w:rFonts w:eastAsiaTheme="minorHAnsi" w:cs="Times New Roman"/>
          <w:i/>
          <w:color w:val="231F20"/>
          <w:w w:val="105"/>
          <w:sz w:val="24"/>
          <w:szCs w:val="24"/>
        </w:rPr>
        <w:t>LTDA</w:t>
      </w:r>
      <w:r w:rsidRPr="00383E5D">
        <w:rPr>
          <w:rFonts w:eastAsiaTheme="minorHAnsi" w:cs="Times New Roman"/>
          <w:color w:val="231F20"/>
          <w:w w:val="105"/>
          <w:sz w:val="24"/>
          <w:szCs w:val="24"/>
        </w:rPr>
        <w:t>), and investment opportunities (</w:t>
      </w:r>
      <w:r w:rsidRPr="00383E5D">
        <w:rPr>
          <w:rFonts w:eastAsiaTheme="minorHAnsi" w:cs="Times New Roman"/>
          <w:i/>
          <w:color w:val="231F20"/>
          <w:w w:val="105"/>
          <w:sz w:val="24"/>
          <w:szCs w:val="24"/>
        </w:rPr>
        <w:t>MB</w:t>
      </w:r>
      <w:r w:rsidRPr="00383E5D">
        <w:rPr>
          <w:rFonts w:eastAsiaTheme="minorHAnsi" w:cs="Times New Roman"/>
          <w:color w:val="231F20"/>
          <w:w w:val="105"/>
          <w:sz w:val="24"/>
          <w:szCs w:val="24"/>
        </w:rPr>
        <w:t xml:space="preserve">).  Limiting the sample to S&amp;P 1500 firms may bias me against finding results as these firms are likely used to scrutiny and may have already taken into account attention from tax jurisdictions.  However, relatively larger firms also face increased visibility and attention from the media or regulators which may increase the likelihood of lower quality tax disclosure to reduce potential political costs, (Watts and Zimmerman 1986).  Additionally, large firms are in a better position to “hide” information contained in any single disclosure due to the sheer volume of disclosures.  </w:t>
      </w:r>
    </w:p>
    <w:p w14:paraId="6C972E4C"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Capital intensity is a proxy for entry barriers, and disclosure quality is likely to increase as the threat of entry decreases (Cohen 2003). Agency problems associated with debt increase with leverage. However, there may be an inverse relation between higher leverage, which implies less equity, and cost savings in private information acquisition. Prior research finds mixed results concerning the effect of performance on disclosure, thus I do not make a prediction for my measure of profitability (Skinner 1994; Lang and </w:t>
      </w:r>
      <w:proofErr w:type="spellStart"/>
      <w:r w:rsidRPr="00383E5D">
        <w:rPr>
          <w:rFonts w:eastAsiaTheme="minorHAnsi" w:cs="Times New Roman"/>
          <w:color w:val="231F20"/>
          <w:w w:val="105"/>
          <w:sz w:val="24"/>
          <w:szCs w:val="24"/>
        </w:rPr>
        <w:t>Lundholm</w:t>
      </w:r>
      <w:proofErr w:type="spellEnd"/>
      <w:r w:rsidRPr="00383E5D">
        <w:rPr>
          <w:rFonts w:eastAsiaTheme="minorHAnsi" w:cs="Times New Roman"/>
          <w:color w:val="231F20"/>
          <w:w w:val="105"/>
          <w:sz w:val="24"/>
          <w:szCs w:val="24"/>
        </w:rPr>
        <w:t xml:space="preserve"> 1993). Investors commonly use the market-to-book ratio to measure the investment opportunity set and the related financing considerations.  The market-to-book ratio also proxies for the information asymmetry between management and investors, an important determinant of the disclosure choice (</w:t>
      </w:r>
      <w:proofErr w:type="spellStart"/>
      <w:r w:rsidRPr="00383E5D">
        <w:rPr>
          <w:rFonts w:eastAsiaTheme="minorHAnsi" w:cs="Times New Roman"/>
          <w:color w:val="231F20"/>
          <w:w w:val="105"/>
          <w:sz w:val="24"/>
          <w:szCs w:val="24"/>
        </w:rPr>
        <w:t>Verrecchia</w:t>
      </w:r>
      <w:proofErr w:type="spellEnd"/>
      <w:r w:rsidRPr="00383E5D">
        <w:rPr>
          <w:rFonts w:eastAsiaTheme="minorHAnsi" w:cs="Times New Roman"/>
          <w:color w:val="231F20"/>
          <w:w w:val="105"/>
          <w:sz w:val="24"/>
          <w:szCs w:val="24"/>
        </w:rPr>
        <w:t xml:space="preserve"> 1990).</w:t>
      </w:r>
    </w:p>
    <w:p w14:paraId="7ED806A0"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Firms that pay higher tax fees to their auditors (</w:t>
      </w:r>
      <w:r w:rsidRPr="00383E5D">
        <w:rPr>
          <w:rFonts w:eastAsiaTheme="minorHAnsi" w:cs="Times New Roman"/>
          <w:i/>
          <w:color w:val="231F20"/>
          <w:w w:val="105"/>
          <w:sz w:val="24"/>
          <w:szCs w:val="24"/>
        </w:rPr>
        <w:t>TAXFEES</w:t>
      </w:r>
      <w:r w:rsidRPr="00383E5D">
        <w:rPr>
          <w:rFonts w:eastAsiaTheme="minorHAnsi" w:cs="Times New Roman"/>
          <w:color w:val="231F20"/>
          <w:w w:val="105"/>
          <w:sz w:val="24"/>
          <w:szCs w:val="24"/>
        </w:rPr>
        <w:t>) reserve more sufﬁciently for uncertain tax positions (Gleason and Mills 2011).  If firms disclose more information in response to Schedule UTP, it is possible that there are Schedule UTP implementation costs.  I include number of days between the year-end and the annual filing date (</w:t>
      </w:r>
      <w:r w:rsidRPr="00383E5D">
        <w:rPr>
          <w:rFonts w:eastAsiaTheme="minorHAnsi" w:cs="Times New Roman"/>
          <w:i/>
          <w:color w:val="231F20"/>
          <w:w w:val="105"/>
          <w:sz w:val="24"/>
          <w:szCs w:val="24"/>
        </w:rPr>
        <w:t>DAYSFILE</w:t>
      </w:r>
      <w:r w:rsidRPr="00383E5D">
        <w:rPr>
          <w:rFonts w:eastAsiaTheme="minorHAnsi" w:cs="Times New Roman"/>
          <w:color w:val="231F20"/>
          <w:w w:val="105"/>
          <w:sz w:val="24"/>
          <w:szCs w:val="24"/>
        </w:rPr>
        <w:t>) as a proxy for implementation costs.  Prior studies show that information asymmetry and the demand for information can increase ﬁrms’ incentives to make high-quality disclosures (</w:t>
      </w:r>
      <w:proofErr w:type="spellStart"/>
      <w:r w:rsidRPr="00383E5D">
        <w:rPr>
          <w:rFonts w:eastAsiaTheme="minorHAnsi" w:cs="Times New Roman"/>
          <w:color w:val="231F20"/>
          <w:w w:val="105"/>
          <w:sz w:val="24"/>
          <w:szCs w:val="24"/>
        </w:rPr>
        <w:t>Bhushan</w:t>
      </w:r>
      <w:proofErr w:type="spellEnd"/>
      <w:r w:rsidRPr="00383E5D">
        <w:rPr>
          <w:rFonts w:eastAsiaTheme="minorHAnsi" w:cs="Times New Roman"/>
          <w:color w:val="231F20"/>
          <w:w w:val="105"/>
          <w:sz w:val="24"/>
          <w:szCs w:val="24"/>
        </w:rPr>
        <w:t xml:space="preserve"> 1989; Lang and </w:t>
      </w:r>
      <w:proofErr w:type="spellStart"/>
      <w:r w:rsidRPr="00383E5D">
        <w:rPr>
          <w:rFonts w:eastAsiaTheme="minorHAnsi" w:cs="Times New Roman"/>
          <w:color w:val="231F20"/>
          <w:w w:val="105"/>
          <w:sz w:val="24"/>
          <w:szCs w:val="24"/>
        </w:rPr>
        <w:t>Lundholm</w:t>
      </w:r>
      <w:proofErr w:type="spellEnd"/>
      <w:r w:rsidRPr="00383E5D">
        <w:rPr>
          <w:rFonts w:eastAsiaTheme="minorHAnsi" w:cs="Times New Roman"/>
          <w:color w:val="231F20"/>
          <w:w w:val="105"/>
          <w:sz w:val="24"/>
          <w:szCs w:val="24"/>
        </w:rPr>
        <w:t xml:space="preserve"> 1993). A positive association between analyst forecasting activity, </w:t>
      </w:r>
      <w:r w:rsidRPr="00383E5D">
        <w:rPr>
          <w:rFonts w:eastAsiaTheme="minorHAnsi" w:cs="Times New Roman"/>
          <w:i/>
          <w:color w:val="231F20"/>
          <w:w w:val="105"/>
          <w:sz w:val="24"/>
          <w:szCs w:val="24"/>
        </w:rPr>
        <w:t>ANALYSTS</w:t>
      </w:r>
      <w:r w:rsidRPr="00383E5D">
        <w:rPr>
          <w:rFonts w:eastAsiaTheme="minorHAnsi" w:cs="Times New Roman"/>
          <w:color w:val="231F20"/>
          <w:w w:val="105"/>
          <w:sz w:val="24"/>
          <w:szCs w:val="24"/>
        </w:rPr>
        <w:t>, and the level of ﬁnancial disclosure would be consistent with the prior literature.  The number of internal control weaknesses (</w:t>
      </w:r>
      <w:r w:rsidRPr="00383E5D">
        <w:rPr>
          <w:rFonts w:eastAsiaTheme="minorHAnsi" w:cs="Times New Roman"/>
          <w:i/>
          <w:color w:val="231F20"/>
          <w:w w:val="105"/>
          <w:sz w:val="24"/>
          <w:szCs w:val="24"/>
        </w:rPr>
        <w:t>WEAKYRS</w:t>
      </w:r>
      <w:r w:rsidRPr="00383E5D">
        <w:rPr>
          <w:rFonts w:eastAsiaTheme="minorHAnsi" w:cs="Times New Roman"/>
          <w:color w:val="231F20"/>
          <w:w w:val="105"/>
          <w:sz w:val="24"/>
          <w:szCs w:val="24"/>
        </w:rPr>
        <w:t>) could capture complexities associated with the ﬁrm’s internal information environment, which may impact the ability to calculate and substantiate a ﬁrm’s tax positions.  Firms reporting a control weakness in their tax accounts (</w:t>
      </w:r>
      <w:r w:rsidRPr="00383E5D">
        <w:rPr>
          <w:rFonts w:eastAsiaTheme="minorHAnsi" w:cs="Times New Roman"/>
          <w:i/>
          <w:color w:val="231F20"/>
          <w:w w:val="105"/>
          <w:sz w:val="24"/>
          <w:szCs w:val="24"/>
        </w:rPr>
        <w:t>WEAKYRS</w:t>
      </w:r>
      <w:r w:rsidRPr="00383E5D">
        <w:rPr>
          <w:rFonts w:eastAsiaTheme="minorHAnsi" w:cs="Times New Roman"/>
          <w:color w:val="231F20"/>
          <w:w w:val="105"/>
          <w:sz w:val="24"/>
          <w:szCs w:val="24"/>
        </w:rPr>
        <w:t>) may have greater difﬁculty analyzing and substantiating their tax positions.</w:t>
      </w:r>
    </w:p>
    <w:p w14:paraId="4083336B"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Literature suggests that ﬁrm monitoring affects disclosure quality.  I include control variables that measure the various aspects of corporate governance (Warfield, Wild, and Wild 1995).  In my setting, it is unclear whether a high-quality FIN 48 disclosure potentially jeopardizes the sustainability of tax strategies or reduces information asymmetry with investors.  Therefore, I do not make predictions on my measures of internal governance, the percentage of insiders on the board (</w:t>
      </w:r>
      <w:r w:rsidRPr="00383E5D">
        <w:rPr>
          <w:rFonts w:eastAsiaTheme="minorHAnsi" w:cs="Times New Roman"/>
          <w:i/>
          <w:color w:val="231F20"/>
          <w:w w:val="105"/>
          <w:sz w:val="24"/>
          <w:szCs w:val="24"/>
        </w:rPr>
        <w:t>BODINSIDE</w:t>
      </w:r>
      <w:r w:rsidRPr="00383E5D">
        <w:rPr>
          <w:rFonts w:eastAsiaTheme="minorHAnsi" w:cs="Times New Roman"/>
          <w:color w:val="231F20"/>
          <w:w w:val="105"/>
          <w:sz w:val="24"/>
          <w:szCs w:val="24"/>
        </w:rPr>
        <w:t>), the average number of additional boards on which current directors serve (</w:t>
      </w:r>
      <w:r w:rsidRPr="00383E5D">
        <w:rPr>
          <w:rFonts w:eastAsiaTheme="minorHAnsi" w:cs="Times New Roman"/>
          <w:i/>
          <w:color w:val="231F20"/>
          <w:w w:val="105"/>
          <w:sz w:val="24"/>
          <w:szCs w:val="24"/>
        </w:rPr>
        <w:t>BODOTHER</w:t>
      </w:r>
      <w:r w:rsidRPr="00383E5D">
        <w:rPr>
          <w:rFonts w:eastAsiaTheme="minorHAnsi" w:cs="Times New Roman"/>
          <w:color w:val="231F20"/>
          <w:w w:val="105"/>
          <w:sz w:val="24"/>
          <w:szCs w:val="24"/>
        </w:rPr>
        <w:t>), and the number of board interlocks (</w:t>
      </w:r>
      <w:r w:rsidRPr="00383E5D">
        <w:rPr>
          <w:rFonts w:eastAsiaTheme="minorHAnsi" w:cs="Times New Roman"/>
          <w:i/>
          <w:color w:val="231F20"/>
          <w:w w:val="105"/>
          <w:sz w:val="24"/>
          <w:szCs w:val="24"/>
        </w:rPr>
        <w:t>BODLOCKS</w:t>
      </w:r>
      <w:r w:rsidRPr="00383E5D">
        <w:rPr>
          <w:rFonts w:eastAsiaTheme="minorHAnsi" w:cs="Times New Roman"/>
          <w:color w:val="231F20"/>
          <w:w w:val="105"/>
          <w:sz w:val="24"/>
          <w:szCs w:val="24"/>
        </w:rPr>
        <w:t>).  I expect higher quality disclosure as indicated by positive coefficients on the external governance measures, when the firm uses a Big-four audit firm (BIG4) and operates in a highly regulated industry (</w:t>
      </w:r>
      <w:r w:rsidRPr="00383E5D">
        <w:rPr>
          <w:rFonts w:eastAsiaTheme="minorHAnsi" w:cs="Times New Roman"/>
          <w:i/>
          <w:color w:val="231F20"/>
          <w:w w:val="105"/>
          <w:sz w:val="24"/>
          <w:szCs w:val="24"/>
        </w:rPr>
        <w:t>REGDUM</w:t>
      </w:r>
      <w:r w:rsidRPr="00383E5D">
        <w:rPr>
          <w:rFonts w:eastAsiaTheme="minorHAnsi" w:cs="Times New Roman"/>
          <w:color w:val="231F20"/>
          <w:w w:val="105"/>
          <w:sz w:val="24"/>
          <w:szCs w:val="24"/>
        </w:rPr>
        <w:t xml:space="preserve">) due to additional monitoring.  </w:t>
      </w:r>
    </w:p>
    <w:p w14:paraId="04585D20" w14:textId="77777777" w:rsidR="00340A0A" w:rsidRPr="00383E5D" w:rsidRDefault="00340A0A" w:rsidP="00340A0A">
      <w:pPr>
        <w:pStyle w:val="BodyText"/>
        <w:spacing w:before="68" w:line="480" w:lineRule="auto"/>
        <w:ind w:left="90" w:firstLine="630"/>
        <w:jc w:val="both"/>
        <w:rPr>
          <w:rFonts w:eastAsiaTheme="minorHAnsi" w:cs="Times New Roman"/>
          <w:color w:val="231F20"/>
          <w:w w:val="105"/>
          <w:sz w:val="24"/>
          <w:szCs w:val="24"/>
        </w:rPr>
      </w:pPr>
      <w:r w:rsidRPr="00383E5D">
        <w:rPr>
          <w:rFonts w:eastAsiaTheme="minorHAnsi" w:cs="Times New Roman"/>
          <w:color w:val="231F20"/>
          <w:w w:val="105"/>
          <w:sz w:val="24"/>
          <w:szCs w:val="24"/>
        </w:rPr>
        <w:t xml:space="preserve">Prior research ﬁnds that the threat of shareholder litigation can have negative effects on disclosure decisions (Skinner 1994; Francis, </w:t>
      </w:r>
      <w:proofErr w:type="spellStart"/>
      <w:r w:rsidRPr="00383E5D">
        <w:rPr>
          <w:rFonts w:eastAsiaTheme="minorHAnsi" w:cs="Times New Roman"/>
          <w:color w:val="231F20"/>
          <w:w w:val="105"/>
          <w:sz w:val="24"/>
          <w:szCs w:val="24"/>
        </w:rPr>
        <w:t>Philbrick</w:t>
      </w:r>
      <w:proofErr w:type="spellEnd"/>
      <w:r w:rsidRPr="00383E5D">
        <w:rPr>
          <w:rFonts w:eastAsiaTheme="minorHAnsi" w:cs="Times New Roman"/>
          <w:color w:val="231F20"/>
          <w:w w:val="105"/>
          <w:sz w:val="24"/>
          <w:szCs w:val="24"/>
        </w:rPr>
        <w:t xml:space="preserve">, and </w:t>
      </w:r>
      <w:proofErr w:type="spellStart"/>
      <w:r w:rsidRPr="00383E5D">
        <w:rPr>
          <w:rFonts w:eastAsiaTheme="minorHAnsi" w:cs="Times New Roman"/>
          <w:color w:val="231F20"/>
          <w:w w:val="105"/>
          <w:sz w:val="24"/>
          <w:szCs w:val="24"/>
        </w:rPr>
        <w:t>Schipper</w:t>
      </w:r>
      <w:proofErr w:type="spellEnd"/>
      <w:r w:rsidRPr="00383E5D">
        <w:rPr>
          <w:rFonts w:eastAsiaTheme="minorHAnsi" w:cs="Times New Roman"/>
          <w:color w:val="231F20"/>
          <w:w w:val="105"/>
          <w:sz w:val="24"/>
          <w:szCs w:val="24"/>
        </w:rPr>
        <w:t xml:space="preserve"> 1994; </w:t>
      </w:r>
      <w:proofErr w:type="spellStart"/>
      <w:r w:rsidRPr="00383E5D">
        <w:rPr>
          <w:rFonts w:eastAsiaTheme="minorHAnsi" w:cs="Times New Roman"/>
          <w:color w:val="231F20"/>
          <w:w w:val="105"/>
          <w:sz w:val="24"/>
          <w:szCs w:val="24"/>
        </w:rPr>
        <w:t>Kasznik</w:t>
      </w:r>
      <w:proofErr w:type="spellEnd"/>
      <w:r w:rsidRPr="00383E5D">
        <w:rPr>
          <w:rFonts w:eastAsiaTheme="minorHAnsi" w:cs="Times New Roman"/>
          <w:color w:val="231F20"/>
          <w:w w:val="105"/>
          <w:sz w:val="24"/>
          <w:szCs w:val="24"/>
        </w:rPr>
        <w:t xml:space="preserve"> and Lev 1995; </w:t>
      </w:r>
      <w:proofErr w:type="spellStart"/>
      <w:r w:rsidRPr="00383E5D">
        <w:rPr>
          <w:rFonts w:eastAsiaTheme="minorHAnsi" w:cs="Times New Roman"/>
          <w:color w:val="231F20"/>
          <w:w w:val="105"/>
          <w:sz w:val="24"/>
          <w:szCs w:val="24"/>
        </w:rPr>
        <w:t>Soffer</w:t>
      </w:r>
      <w:proofErr w:type="spellEnd"/>
      <w:r w:rsidRPr="00383E5D">
        <w:rPr>
          <w:rFonts w:eastAsiaTheme="minorHAnsi" w:cs="Times New Roman"/>
          <w:color w:val="231F20"/>
          <w:w w:val="105"/>
          <w:sz w:val="24"/>
          <w:szCs w:val="24"/>
        </w:rPr>
        <w:t xml:space="preserve">, </w:t>
      </w:r>
      <w:proofErr w:type="spellStart"/>
      <w:r w:rsidRPr="00383E5D">
        <w:rPr>
          <w:rFonts w:eastAsiaTheme="minorHAnsi" w:cs="Times New Roman"/>
          <w:color w:val="231F20"/>
          <w:w w:val="105"/>
          <w:sz w:val="24"/>
          <w:szCs w:val="24"/>
        </w:rPr>
        <w:t>Thiagarajan</w:t>
      </w:r>
      <w:proofErr w:type="spellEnd"/>
      <w:r w:rsidRPr="00383E5D">
        <w:rPr>
          <w:rFonts w:eastAsiaTheme="minorHAnsi" w:cs="Times New Roman"/>
          <w:color w:val="231F20"/>
          <w:w w:val="105"/>
          <w:sz w:val="24"/>
          <w:szCs w:val="24"/>
        </w:rPr>
        <w:t>, and Walther 2000). The potential for legal action related to inadequate or untimely disclosures can improve disclosure.  Where a signiﬁcant amount of judgment is inherent in making the disclosure, litigation risk has the potential to reduce incentives to provide disclosure.  Consistent with prior literature, I include an indicator variable for ﬁrms in high-litigation industries (</w:t>
      </w:r>
      <w:r w:rsidRPr="00383E5D">
        <w:rPr>
          <w:rFonts w:eastAsiaTheme="minorHAnsi" w:cs="Times New Roman"/>
          <w:i/>
          <w:color w:val="231F20"/>
          <w:w w:val="105"/>
          <w:sz w:val="24"/>
          <w:szCs w:val="24"/>
        </w:rPr>
        <w:t>LITDUM</w:t>
      </w:r>
      <w:r w:rsidRPr="00383E5D">
        <w:rPr>
          <w:rFonts w:eastAsiaTheme="minorHAnsi" w:cs="Times New Roman"/>
          <w:color w:val="231F20"/>
          <w:w w:val="105"/>
          <w:sz w:val="24"/>
          <w:szCs w:val="24"/>
        </w:rPr>
        <w:t xml:space="preserve">).  I do not make a prediction on </w:t>
      </w:r>
      <w:r w:rsidRPr="00383E5D">
        <w:rPr>
          <w:rFonts w:eastAsiaTheme="minorHAnsi" w:cs="Times New Roman"/>
          <w:i/>
          <w:color w:val="231F20"/>
          <w:w w:val="105"/>
          <w:sz w:val="24"/>
          <w:szCs w:val="24"/>
        </w:rPr>
        <w:t>LITDUM</w:t>
      </w:r>
      <w:r w:rsidRPr="00383E5D">
        <w:rPr>
          <w:rFonts w:eastAsiaTheme="minorHAnsi" w:cs="Times New Roman"/>
          <w:color w:val="231F20"/>
          <w:w w:val="105"/>
          <w:sz w:val="24"/>
          <w:szCs w:val="24"/>
        </w:rPr>
        <w:t xml:space="preserve"> as the net impact of litigation risk is unclear.  </w:t>
      </w:r>
    </w:p>
    <w:p w14:paraId="4CF95284" w14:textId="77777777" w:rsidR="00340A0A" w:rsidRPr="00383E5D" w:rsidRDefault="00340A0A" w:rsidP="00340A0A">
      <w:pPr>
        <w:pStyle w:val="BodyText"/>
        <w:spacing w:before="68" w:line="480" w:lineRule="auto"/>
        <w:ind w:left="90" w:firstLine="630"/>
        <w:jc w:val="both"/>
        <w:rPr>
          <w:rFonts w:cs="Times New Roman"/>
          <w:sz w:val="24"/>
          <w:szCs w:val="24"/>
        </w:rPr>
      </w:pPr>
      <w:r w:rsidRPr="00383E5D">
        <w:rPr>
          <w:rFonts w:eastAsiaTheme="minorHAnsi" w:cs="Times New Roman"/>
          <w:color w:val="231F20"/>
          <w:w w:val="105"/>
          <w:sz w:val="24"/>
          <w:szCs w:val="24"/>
        </w:rPr>
        <w:t>Multinational firms likely face greater information asymmetry than domestic firms.  Typically, the demand from stakeholders for tax information should be higher the greater the extent of foreign operations (</w:t>
      </w:r>
      <w:r w:rsidRPr="00383E5D">
        <w:rPr>
          <w:rFonts w:eastAsiaTheme="minorHAnsi" w:cs="Times New Roman"/>
          <w:i/>
          <w:color w:val="231F20"/>
          <w:w w:val="105"/>
          <w:sz w:val="24"/>
          <w:szCs w:val="24"/>
        </w:rPr>
        <w:t>FOROPS</w:t>
      </w:r>
      <w:r w:rsidRPr="00383E5D">
        <w:rPr>
          <w:rFonts w:eastAsiaTheme="minorHAnsi" w:cs="Times New Roman"/>
          <w:color w:val="231F20"/>
          <w:w w:val="105"/>
          <w:sz w:val="24"/>
          <w:szCs w:val="24"/>
        </w:rPr>
        <w:t>) because multinational firms face more tax-planning opportunities and face tax uncertainty in several different tax jurisdictions.</w:t>
      </w:r>
      <w:r w:rsidRPr="00383E5D">
        <w:rPr>
          <w:rStyle w:val="FootnoteReference"/>
          <w:rFonts w:eastAsiaTheme="minorHAnsi" w:cs="Times New Roman"/>
          <w:color w:val="231F20"/>
          <w:w w:val="105"/>
          <w:sz w:val="24"/>
          <w:szCs w:val="24"/>
        </w:rPr>
        <w:footnoteReference w:id="17"/>
      </w:r>
      <w:r w:rsidRPr="00383E5D">
        <w:rPr>
          <w:rFonts w:eastAsiaTheme="minorHAnsi" w:cs="Times New Roman"/>
          <w:color w:val="231F20"/>
          <w:w w:val="105"/>
          <w:sz w:val="24"/>
          <w:szCs w:val="24"/>
        </w:rPr>
        <w:t xml:space="preserve">  Investors may want more disclosure to reduce uncertainty surrounding the sustainability of tax positions and future tax cash flow.  I also include </w:t>
      </w:r>
      <w:r w:rsidRPr="00383E5D">
        <w:rPr>
          <w:rFonts w:eastAsiaTheme="minorHAnsi" w:cs="Times New Roman"/>
          <w:i/>
          <w:color w:val="231F20"/>
          <w:w w:val="105"/>
          <w:sz w:val="24"/>
          <w:szCs w:val="24"/>
        </w:rPr>
        <w:t>BUS_SEG</w:t>
      </w:r>
      <w:r w:rsidRPr="00383E5D">
        <w:rPr>
          <w:rFonts w:eastAsiaTheme="minorHAnsi" w:cs="Times New Roman"/>
          <w:color w:val="231F20"/>
          <w:w w:val="105"/>
          <w:sz w:val="24"/>
          <w:szCs w:val="24"/>
        </w:rPr>
        <w:t xml:space="preserve"> and </w:t>
      </w:r>
      <w:r w:rsidRPr="00383E5D">
        <w:rPr>
          <w:rFonts w:eastAsiaTheme="minorHAnsi" w:cs="Times New Roman"/>
          <w:i/>
          <w:color w:val="231F20"/>
          <w:w w:val="105"/>
          <w:sz w:val="24"/>
          <w:szCs w:val="24"/>
        </w:rPr>
        <w:t>GEO_SEG</w:t>
      </w:r>
      <w:r w:rsidRPr="00383E5D">
        <w:rPr>
          <w:rFonts w:eastAsiaTheme="minorHAnsi" w:cs="Times New Roman"/>
          <w:color w:val="231F20"/>
          <w:w w:val="105"/>
          <w:sz w:val="24"/>
          <w:szCs w:val="24"/>
        </w:rPr>
        <w:t xml:space="preserve"> to control for the complexity of the ﬁrms’ underlying business (Li 2008; Li 2010).  Firms with complex operations are more likely to have complex tax positions.  Increased complexity may increase the burden of applying the two-step process of FIN 48 to each tax position to determine if it should be reserved as </w:t>
      </w:r>
      <w:r w:rsidRPr="00383E5D">
        <w:rPr>
          <w:rFonts w:cs="Times New Roman"/>
          <w:sz w:val="24"/>
          <w:szCs w:val="24"/>
        </w:rPr>
        <w:t xml:space="preserve">failing to meet the FIN 48 standard of being more-likely-than-not to be sustained upon examination </w:t>
      </w:r>
      <w:r w:rsidRPr="00383E5D">
        <w:rPr>
          <w:rFonts w:eastAsiaTheme="minorHAnsi" w:cs="Times New Roman"/>
          <w:color w:val="231F20"/>
          <w:w w:val="105"/>
          <w:sz w:val="24"/>
          <w:szCs w:val="24"/>
        </w:rPr>
        <w:t>by the relevant tax authority and then to calculate the appropriate tax liability for the uncertain tax position.</w:t>
      </w:r>
    </w:p>
    <w:p w14:paraId="795068E1"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3FFE2F42" w14:textId="5B4ECE62" w:rsidR="00D44AFB" w:rsidRPr="009A14DA" w:rsidRDefault="00D44AFB" w:rsidP="0017501A">
      <w:pPr>
        <w:spacing w:after="0" w:line="480" w:lineRule="auto"/>
        <w:jc w:val="both"/>
        <w:rPr>
          <w:rFonts w:ascii="Times New Roman" w:hAnsi="Times New Roman" w:cs="Times New Roman"/>
          <w:b/>
          <w:sz w:val="24"/>
          <w:szCs w:val="24"/>
        </w:rPr>
      </w:pPr>
      <w:r w:rsidRPr="009A14DA">
        <w:rPr>
          <w:rFonts w:ascii="Times New Roman" w:hAnsi="Times New Roman" w:cs="Times New Roman"/>
          <w:b/>
          <w:sz w:val="24"/>
          <w:szCs w:val="24"/>
        </w:rPr>
        <w:t xml:space="preserve">V. </w:t>
      </w:r>
      <w:r w:rsidR="004E7861" w:rsidRPr="009A14DA">
        <w:rPr>
          <w:rFonts w:ascii="Times New Roman" w:hAnsi="Times New Roman" w:cs="Times New Roman"/>
          <w:b/>
          <w:sz w:val="24"/>
          <w:szCs w:val="24"/>
        </w:rPr>
        <w:t>Empirical Results</w:t>
      </w:r>
    </w:p>
    <w:p w14:paraId="40A2453E" w14:textId="3CEAB6FD" w:rsidR="004E7861" w:rsidRPr="005E2686" w:rsidRDefault="004E7861" w:rsidP="0017501A">
      <w:pPr>
        <w:spacing w:after="0" w:line="480" w:lineRule="auto"/>
        <w:jc w:val="both"/>
        <w:rPr>
          <w:rFonts w:ascii="Times New Roman" w:hAnsi="Times New Roman" w:cs="Times New Roman"/>
          <w:b/>
          <w:sz w:val="24"/>
          <w:szCs w:val="24"/>
        </w:rPr>
      </w:pPr>
      <w:r w:rsidRPr="005E2686">
        <w:rPr>
          <w:rFonts w:ascii="Times New Roman" w:hAnsi="Times New Roman" w:cs="Times New Roman"/>
          <w:b/>
          <w:sz w:val="24"/>
          <w:szCs w:val="24"/>
        </w:rPr>
        <w:t>Descriptive Statistics</w:t>
      </w:r>
    </w:p>
    <w:p w14:paraId="3E738056"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Panel A of Table 3 presents descriptive statistics for the disclosure score dependent variables for the sample of 1,456 firm-years.  The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disclosure score has a range of 0 to 6 and the mean (median) is 5 (5).</w:t>
      </w:r>
      <w:r w:rsidRPr="00383E5D">
        <w:rPr>
          <w:rStyle w:val="FootnoteReference"/>
          <w:rFonts w:ascii="Times New Roman" w:hAnsi="Times New Roman" w:cs="Times New Roman"/>
          <w:sz w:val="24"/>
          <w:szCs w:val="24"/>
        </w:rPr>
        <w:footnoteReference w:id="18"/>
      </w:r>
      <w:r w:rsidRPr="00383E5D">
        <w:rPr>
          <w:rFonts w:ascii="Times New Roman" w:hAnsi="Times New Roman" w:cs="Times New Roman"/>
          <w:sz w:val="24"/>
          <w:szCs w:val="24"/>
        </w:rPr>
        <w:t xml:space="preserv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ranges from 0 to 4 and measures the precision of the required disclosures by capturing the presence or absence of important clarifying information needed to understand and interpret the disclosure.  The mean (median) of 1.19 (1) indicates that firms exercise significant discretion with regard to the transparency and interpretability FIN 48 disclosures.  </w:t>
      </w:r>
    </w:p>
    <w:p w14:paraId="700F3669"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Panel B of Table 3 presents the means for the pre-Schedule UTP and post-Schedule UTP samples and a t-test of significance of the difference in means for each of the disclosure scores.  The difference in the means for pre- and post- Schedule UTP univariate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disclosure scores is marginally significant at the 10% level.  This preliminary finding provides univariate support that the discretionary components of FIN 48 disclosure quality declines following the adoption of Schedule UTP.</w:t>
      </w:r>
    </w:p>
    <w:p w14:paraId="12A74BD0" w14:textId="77777777" w:rsidR="00340A0A" w:rsidRPr="00383E5D" w:rsidRDefault="00340A0A" w:rsidP="00340A0A">
      <w:pPr>
        <w:spacing w:after="0" w:line="480" w:lineRule="auto"/>
        <w:jc w:val="both"/>
        <w:rPr>
          <w:rFonts w:ascii="Times New Roman" w:hAnsi="Times New Roman" w:cs="Times New Roman"/>
          <w:sz w:val="24"/>
          <w:szCs w:val="24"/>
        </w:rPr>
      </w:pPr>
      <w:r w:rsidRPr="00383E5D">
        <w:rPr>
          <w:rFonts w:ascii="Times New Roman" w:hAnsi="Times New Roman" w:cs="Times New Roman"/>
          <w:sz w:val="24"/>
          <w:szCs w:val="24"/>
        </w:rPr>
        <w:tab/>
        <w:t xml:space="preserve">Panel C of Table </w:t>
      </w:r>
      <w:r>
        <w:rPr>
          <w:rFonts w:ascii="Times New Roman" w:hAnsi="Times New Roman" w:cs="Times New Roman"/>
          <w:sz w:val="24"/>
          <w:szCs w:val="24"/>
        </w:rPr>
        <w:t>3</w:t>
      </w:r>
      <w:r w:rsidRPr="00383E5D">
        <w:rPr>
          <w:rFonts w:ascii="Times New Roman" w:hAnsi="Times New Roman" w:cs="Times New Roman"/>
          <w:sz w:val="24"/>
          <w:szCs w:val="24"/>
        </w:rPr>
        <w:t xml:space="preserve"> presents the means for the pre-Schedule UTP and post-Schedule UTP samples and a t-test of significance of the difference in means for the individual components of the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and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disclosure scores.  </w:t>
      </w:r>
      <w:r>
        <w:rPr>
          <w:rFonts w:ascii="Times New Roman" w:hAnsi="Times New Roman" w:cs="Times New Roman"/>
          <w:sz w:val="24"/>
          <w:szCs w:val="24"/>
        </w:rPr>
        <w:t xml:space="preserve">By construction, the sample has one hundred percent compliance for C1_UTB.  Thus it is excluded from the </w:t>
      </w:r>
      <w:r w:rsidRPr="00C9038B">
        <w:rPr>
          <w:rFonts w:ascii="Times New Roman" w:hAnsi="Times New Roman" w:cs="Times New Roman"/>
          <w:i/>
          <w:sz w:val="24"/>
          <w:szCs w:val="24"/>
        </w:rPr>
        <w:t>COMPLETE</w:t>
      </w:r>
      <w:r>
        <w:rPr>
          <w:rFonts w:ascii="Times New Roman" w:hAnsi="Times New Roman" w:cs="Times New Roman"/>
          <w:sz w:val="24"/>
          <w:szCs w:val="24"/>
        </w:rPr>
        <w:t xml:space="preserve"> component measure.  </w:t>
      </w:r>
      <w:r w:rsidRPr="00383E5D">
        <w:rPr>
          <w:rFonts w:ascii="Times New Roman" w:hAnsi="Times New Roman" w:cs="Times New Roman"/>
          <w:sz w:val="24"/>
          <w:szCs w:val="24"/>
        </w:rPr>
        <w:t xml:space="preserve">There are reasonably high compliance levels for each of the individual components except </w:t>
      </w:r>
      <w:r w:rsidRPr="00383E5D">
        <w:rPr>
          <w:rFonts w:ascii="Times New Roman" w:hAnsi="Times New Roman" w:cs="Times New Roman"/>
          <w:i/>
          <w:sz w:val="24"/>
          <w:szCs w:val="24"/>
        </w:rPr>
        <w:t xml:space="preserve">C2_CHANGE </w:t>
      </w:r>
      <w:r w:rsidRPr="00383E5D">
        <w:rPr>
          <w:rFonts w:ascii="Times New Roman" w:hAnsi="Times New Roman" w:cs="Times New Roman"/>
          <w:sz w:val="24"/>
          <w:szCs w:val="24"/>
        </w:rPr>
        <w:t>and</w:t>
      </w:r>
      <w:r w:rsidRPr="00383E5D">
        <w:rPr>
          <w:rFonts w:ascii="Times New Roman" w:hAnsi="Times New Roman" w:cs="Times New Roman"/>
          <w:i/>
          <w:sz w:val="24"/>
          <w:szCs w:val="24"/>
        </w:rPr>
        <w:t xml:space="preserve"> C8_ADOPT.  C2_CHANGE</w:t>
      </w:r>
      <w:r w:rsidRPr="00383E5D">
        <w:rPr>
          <w:rFonts w:ascii="Times New Roman" w:hAnsi="Times New Roman" w:cs="Times New Roman"/>
          <w:sz w:val="24"/>
          <w:szCs w:val="24"/>
        </w:rPr>
        <w:t xml:space="preserve"> requires that firms explain changes to their FIN 48 reserve balance.  These </w:t>
      </w:r>
      <w:proofErr w:type="spellStart"/>
      <w:r w:rsidRPr="00383E5D">
        <w:rPr>
          <w:rFonts w:ascii="Times New Roman" w:hAnsi="Times New Roman" w:cs="Times New Roman"/>
          <w:sz w:val="24"/>
          <w:szCs w:val="24"/>
        </w:rPr>
        <w:t>descriptives</w:t>
      </w:r>
      <w:proofErr w:type="spellEnd"/>
      <w:r w:rsidRPr="00383E5D">
        <w:rPr>
          <w:rFonts w:ascii="Times New Roman" w:hAnsi="Times New Roman" w:cs="Times New Roman"/>
          <w:sz w:val="24"/>
          <w:szCs w:val="24"/>
        </w:rPr>
        <w:t xml:space="preserve"> are consistent with the findings of SEC comment letters summarized by PwC.  Firm include changes in the tabular reconciliation, but fail to provide additional detail as to the nature of the tax position causing the change.  </w:t>
      </w:r>
      <w:r w:rsidRPr="00383E5D">
        <w:rPr>
          <w:rFonts w:ascii="Times New Roman" w:hAnsi="Times New Roman" w:cs="Times New Roman"/>
          <w:i/>
          <w:sz w:val="24"/>
          <w:szCs w:val="24"/>
        </w:rPr>
        <w:t>C8_ADOPT</w:t>
      </w:r>
      <w:r w:rsidRPr="00383E5D">
        <w:rPr>
          <w:rFonts w:ascii="Times New Roman" w:hAnsi="Times New Roman" w:cs="Times New Roman"/>
          <w:sz w:val="24"/>
          <w:szCs w:val="24"/>
        </w:rPr>
        <w:t xml:space="preserve"> is the impact of the initial adoption of FIN 48.  It is only required in the initial year of adoption and many firms no longer report the 2007 </w:t>
      </w:r>
      <w:r>
        <w:rPr>
          <w:rFonts w:ascii="Times New Roman" w:hAnsi="Times New Roman" w:cs="Times New Roman"/>
          <w:sz w:val="24"/>
          <w:szCs w:val="24"/>
        </w:rPr>
        <w:t xml:space="preserve">FIN 48 adoption </w:t>
      </w:r>
      <w:r w:rsidRPr="00383E5D">
        <w:rPr>
          <w:rFonts w:ascii="Times New Roman" w:hAnsi="Times New Roman" w:cs="Times New Roman"/>
          <w:sz w:val="24"/>
          <w:szCs w:val="24"/>
        </w:rPr>
        <w:t xml:space="preserve">impact.  As such, I exclude </w:t>
      </w:r>
      <w:r w:rsidRPr="00383E5D">
        <w:rPr>
          <w:rFonts w:ascii="Times New Roman" w:hAnsi="Times New Roman" w:cs="Times New Roman"/>
          <w:i/>
          <w:sz w:val="24"/>
          <w:szCs w:val="24"/>
        </w:rPr>
        <w:t xml:space="preserve">C8_ADOPT </w:t>
      </w:r>
      <w:r w:rsidRPr="00383E5D">
        <w:rPr>
          <w:rFonts w:ascii="Times New Roman" w:hAnsi="Times New Roman" w:cs="Times New Roman"/>
          <w:sz w:val="24"/>
          <w:szCs w:val="24"/>
        </w:rPr>
        <w:t xml:space="preserve">from the compliance measure </w:t>
      </w:r>
      <w:r w:rsidRPr="00383E5D">
        <w:rPr>
          <w:rFonts w:ascii="Times New Roman" w:hAnsi="Times New Roman" w:cs="Times New Roman"/>
          <w:i/>
          <w:sz w:val="24"/>
          <w:szCs w:val="24"/>
        </w:rPr>
        <w:t>COMPLETE</w:t>
      </w:r>
      <w:r w:rsidRPr="00383E5D">
        <w:rPr>
          <w:rFonts w:ascii="Times New Roman" w:hAnsi="Times New Roman" w:cs="Times New Roman"/>
          <w:sz w:val="24"/>
          <w:szCs w:val="24"/>
        </w:rPr>
        <w:t>.</w:t>
      </w:r>
      <w:r>
        <w:rPr>
          <w:rFonts w:ascii="Times New Roman" w:hAnsi="Times New Roman" w:cs="Times New Roman"/>
          <w:sz w:val="24"/>
          <w:szCs w:val="24"/>
        </w:rPr>
        <w:t xml:space="preserve">  The t-test provides univariate support that the CL1_NONETR discretionary disclosure declines post Schedule UTP.</w:t>
      </w:r>
    </w:p>
    <w:p w14:paraId="3714332B"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Table 4 presents descriptive statistics for the independent variables used in the regressions.  </w:t>
      </w:r>
      <w:r w:rsidRPr="00383E5D">
        <w:rPr>
          <w:rFonts w:ascii="Times New Roman" w:hAnsi="Times New Roman" w:cs="Times New Roman"/>
          <w:i/>
          <w:sz w:val="24"/>
          <w:szCs w:val="24"/>
        </w:rPr>
        <w:t>BIG4</w:t>
      </w:r>
      <w:r w:rsidRPr="00383E5D">
        <w:rPr>
          <w:rFonts w:ascii="Times New Roman" w:hAnsi="Times New Roman" w:cs="Times New Roman"/>
          <w:sz w:val="24"/>
          <w:szCs w:val="24"/>
        </w:rPr>
        <w:t xml:space="preserve"> mean of .95 indicates that almost all S&amp;P 1500 firms in the sample use a Big 4 auditor.  </w:t>
      </w:r>
      <w:r w:rsidRPr="00383E5D">
        <w:rPr>
          <w:rFonts w:ascii="Times New Roman" w:hAnsi="Times New Roman" w:cs="Times New Roman"/>
          <w:i/>
          <w:sz w:val="24"/>
          <w:szCs w:val="24"/>
        </w:rPr>
        <w:t>DAYSFILE</w:t>
      </w:r>
      <w:r w:rsidRPr="00383E5D">
        <w:rPr>
          <w:rFonts w:ascii="Times New Roman" w:hAnsi="Times New Roman" w:cs="Times New Roman"/>
          <w:sz w:val="24"/>
          <w:szCs w:val="24"/>
        </w:rPr>
        <w:t xml:space="preserve"> mean of 91.82 indicates that firms file the annual 10-K within three months of the close of the fiscal year.  Thus, the 2010 Form 10-K on average is filed by March 31, 2011.  The 2010 corporate tax return is filed by March 15, 2011 or the extended deadline of September 15,</w:t>
      </w:r>
      <w:r w:rsidRPr="00383E5D">
        <w:rPr>
          <w:rFonts w:ascii="Times New Roman" w:hAnsi="Times New Roman" w:cs="Times New Roman"/>
          <w:sz w:val="24"/>
          <w:szCs w:val="24"/>
          <w:vertAlign w:val="superscript"/>
        </w:rPr>
        <w:t xml:space="preserve"> </w:t>
      </w:r>
      <w:r w:rsidRPr="00383E5D">
        <w:rPr>
          <w:rFonts w:ascii="Times New Roman" w:hAnsi="Times New Roman" w:cs="Times New Roman"/>
          <w:sz w:val="24"/>
          <w:szCs w:val="24"/>
        </w:rPr>
        <w:t>2011.  Thus, the 2010 Form 10-K is the most relevant source of public tax disclosure for calendar year 2010 for the IRS.  T-tests are significant for the difference in the means for pre- and post- Schedule UTP tax fees paid to the auditor, analyst following, business segments and geographic segments.  The increase to auditor provided tax services suggests that firms incurred increased costs to comply with Schedule UTP.  An increase in analyst following suggests that analysts were also interested in how FIN 48 disclosure quality would change surrounding Schedule UTP adoption.  Disclosing more geographic segments may be an indication of the extent of foreign uncertain tax positions included in the aggregated FIN 48 reserves.  Disclosing more geographic segments potentially signals a smaller “slice of the pie” related to federal uncertain tax positions disclosed in IRS Schedule UTP and thus lowers the proprietary costs associated with higher disclosure quality.</w:t>
      </w:r>
    </w:p>
    <w:p w14:paraId="14985191" w14:textId="77777777" w:rsidR="00340A0A" w:rsidRDefault="00340A0A">
      <w:pPr>
        <w:rPr>
          <w:rFonts w:ascii="Times New Roman" w:hAnsi="Times New Roman" w:cs="Times New Roman"/>
          <w:b/>
          <w:sz w:val="24"/>
          <w:szCs w:val="24"/>
        </w:rPr>
      </w:pPr>
      <w:r>
        <w:rPr>
          <w:rFonts w:ascii="Times New Roman" w:hAnsi="Times New Roman" w:cs="Times New Roman"/>
          <w:b/>
          <w:sz w:val="24"/>
          <w:szCs w:val="24"/>
        </w:rPr>
        <w:br w:type="page"/>
      </w:r>
    </w:p>
    <w:p w14:paraId="1CFBD2D6" w14:textId="54066688" w:rsidR="00340A0A" w:rsidRPr="00383E5D" w:rsidRDefault="00340A0A" w:rsidP="00340A0A">
      <w:pPr>
        <w:spacing w:after="0" w:line="480" w:lineRule="auto"/>
        <w:jc w:val="both"/>
        <w:rPr>
          <w:rFonts w:ascii="Times New Roman" w:hAnsi="Times New Roman" w:cs="Times New Roman"/>
          <w:b/>
          <w:szCs w:val="24"/>
        </w:rPr>
      </w:pPr>
      <w:r w:rsidRPr="00383E5D">
        <w:rPr>
          <w:rFonts w:ascii="Times New Roman" w:hAnsi="Times New Roman" w:cs="Times New Roman"/>
          <w:b/>
          <w:sz w:val="24"/>
          <w:szCs w:val="24"/>
        </w:rPr>
        <w:t>Test of Hypothesis</w:t>
      </w:r>
    </w:p>
    <w:p w14:paraId="03D429E5" w14:textId="77777777" w:rsidR="00340A0A" w:rsidRPr="00383E5D" w:rsidRDefault="00340A0A" w:rsidP="00340A0A">
      <w:pPr>
        <w:tabs>
          <w:tab w:val="left" w:pos="720"/>
        </w:tabs>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Table 5 presents the results of tests of my hypothesis that firms do not change their FIN 48 disclosure quality in response to IRS Schedule UTP.  The variable of interest, is indicator variable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sz w:val="24"/>
          <w:szCs w:val="24"/>
        </w:rPr>
        <w:t xml:space="preserve">.  In column 1, the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regression, the variable of interest is positive but not significant.  This finding is consistent with firms maintaining compliance with mandatory components of disclosure in the face of potential IRS scrutiny following the adoption of IRS Schedule UTP.  As firms likely anticipate increased IRS attention, they are motivated to comply with the “letter of the law.”  However, in column 2, the negative and highly significant result for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shows that firms respond to IRS Schedule UTP by reducing their discretionary disclosure of precise elements of FIN 48 disclosure that provide clarifying information needed to better understand and interpret the disclosure.</w:t>
      </w:r>
      <w:r w:rsidRPr="00383E5D">
        <w:rPr>
          <w:rStyle w:val="FootnoteReference"/>
          <w:rFonts w:ascii="Times New Roman" w:hAnsi="Times New Roman" w:cs="Times New Roman"/>
          <w:sz w:val="24"/>
          <w:szCs w:val="24"/>
        </w:rPr>
        <w:footnoteReference w:id="19"/>
      </w:r>
      <w:r w:rsidRPr="00383E5D">
        <w:rPr>
          <w:rFonts w:ascii="Times New Roman" w:hAnsi="Times New Roman" w:cs="Times New Roman"/>
          <w:sz w:val="24"/>
          <w:szCs w:val="24"/>
        </w:rPr>
        <w:t xml:space="preserve">  The economic significance of the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i/>
          <w:sz w:val="24"/>
          <w:szCs w:val="24"/>
        </w:rPr>
        <w:t xml:space="preserve"> </w:t>
      </w:r>
      <w:r w:rsidRPr="00383E5D">
        <w:rPr>
          <w:rFonts w:ascii="Times New Roman" w:hAnsi="Times New Roman" w:cs="Times New Roman"/>
          <w:sz w:val="24"/>
          <w:szCs w:val="24"/>
        </w:rPr>
        <w:t>coefficient for the</w:t>
      </w:r>
      <w:r w:rsidRPr="00383E5D">
        <w:rPr>
          <w:rFonts w:ascii="Times New Roman" w:hAnsi="Times New Roman" w:cs="Times New Roman"/>
          <w:i/>
          <w:sz w:val="24"/>
          <w:szCs w:val="24"/>
        </w:rPr>
        <w:t xml:space="preserve"> CLARITY</w:t>
      </w:r>
      <w:r w:rsidRPr="00383E5D">
        <w:rPr>
          <w:rFonts w:ascii="Times New Roman" w:hAnsi="Times New Roman" w:cs="Times New Roman"/>
          <w:sz w:val="24"/>
          <w:szCs w:val="24"/>
        </w:rPr>
        <w:t xml:space="preserve"> disclosure score is an on average decrease of 8.</w:t>
      </w:r>
      <w:r>
        <w:rPr>
          <w:rFonts w:ascii="Times New Roman" w:hAnsi="Times New Roman" w:cs="Times New Roman"/>
          <w:sz w:val="24"/>
          <w:szCs w:val="24"/>
        </w:rPr>
        <w:t>4</w:t>
      </w:r>
      <w:r w:rsidRPr="00383E5D">
        <w:rPr>
          <w:rFonts w:ascii="Times New Roman" w:hAnsi="Times New Roman" w:cs="Times New Roman"/>
          <w:sz w:val="24"/>
          <w:szCs w:val="24"/>
        </w:rPr>
        <w:t xml:space="preserve"> percent.  This is calculated as the </w:t>
      </w:r>
      <w:proofErr w:type="spellStart"/>
      <w:r w:rsidRPr="00383E5D">
        <w:rPr>
          <w:rFonts w:ascii="Times New Roman" w:hAnsi="Times New Roman" w:cs="Times New Roman"/>
          <w:i/>
          <w:sz w:val="24"/>
          <w:szCs w:val="24"/>
        </w:rPr>
        <w:t>SchUTP</w:t>
      </w:r>
      <w:proofErr w:type="spellEnd"/>
      <w:r>
        <w:rPr>
          <w:rFonts w:ascii="Times New Roman" w:hAnsi="Times New Roman" w:cs="Times New Roman"/>
          <w:sz w:val="24"/>
          <w:szCs w:val="24"/>
        </w:rPr>
        <w:t xml:space="preserve"> coefficient -.090</w:t>
      </w:r>
      <w:r w:rsidRPr="00383E5D">
        <w:rPr>
          <w:rFonts w:ascii="Times New Roman" w:hAnsi="Times New Roman" w:cs="Times New Roman"/>
          <w:sz w:val="24"/>
          <w:szCs w:val="24"/>
        </w:rPr>
        <w:t xml:space="preserve"> multiplied by the standard deviation of the </w:t>
      </w:r>
      <w:r w:rsidRPr="00383E5D">
        <w:rPr>
          <w:rFonts w:ascii="Times New Roman" w:hAnsi="Times New Roman" w:cs="Times New Roman"/>
          <w:i/>
          <w:sz w:val="24"/>
          <w:szCs w:val="24"/>
        </w:rPr>
        <w:t>CLARITY</w:t>
      </w:r>
      <w:r>
        <w:rPr>
          <w:rFonts w:ascii="Times New Roman" w:hAnsi="Times New Roman" w:cs="Times New Roman"/>
          <w:sz w:val="24"/>
          <w:szCs w:val="24"/>
        </w:rPr>
        <w:t xml:space="preserve"> sample .93 from Panel A of Table 3</w:t>
      </w:r>
      <w:r w:rsidRPr="00383E5D">
        <w:rPr>
          <w:rFonts w:ascii="Times New Roman" w:hAnsi="Times New Roman" w:cs="Times New Roman"/>
          <w:sz w:val="24"/>
          <w:szCs w:val="24"/>
        </w:rPr>
        <w:t xml:space="preserve">. Thus, following the adoption of IRS Schedule UTP, firms </w:t>
      </w:r>
      <w:r>
        <w:rPr>
          <w:rFonts w:ascii="Times New Roman" w:hAnsi="Times New Roman" w:cs="Times New Roman"/>
          <w:sz w:val="24"/>
          <w:szCs w:val="24"/>
        </w:rPr>
        <w:t xml:space="preserve">on average </w:t>
      </w:r>
      <w:r w:rsidRPr="00383E5D">
        <w:rPr>
          <w:rFonts w:ascii="Times New Roman" w:hAnsi="Times New Roman" w:cs="Times New Roman"/>
          <w:sz w:val="24"/>
          <w:szCs w:val="24"/>
        </w:rPr>
        <w:t>reduce discretionary FIN 48 disclosures by 8.</w:t>
      </w:r>
      <w:r>
        <w:rPr>
          <w:rFonts w:ascii="Times New Roman" w:hAnsi="Times New Roman" w:cs="Times New Roman"/>
          <w:sz w:val="24"/>
          <w:szCs w:val="24"/>
        </w:rPr>
        <w:t>4</w:t>
      </w:r>
      <w:r w:rsidRPr="00383E5D">
        <w:rPr>
          <w:rFonts w:ascii="Times New Roman" w:hAnsi="Times New Roman" w:cs="Times New Roman"/>
          <w:sz w:val="24"/>
          <w:szCs w:val="24"/>
        </w:rPr>
        <w:t xml:space="preserve"> percent.  </w:t>
      </w:r>
    </w:p>
    <w:p w14:paraId="7D57FAF9"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Because I find that firms reduce their discretionary disclosures to reduce the transparency of FIN 48 disclosures but find no evidence that firms reduce disclosure of mandatory items from the FIN 48 reporting guidelines, I further examine a mandatory component of the </w:t>
      </w:r>
      <w:r w:rsidRPr="00383E5D">
        <w:rPr>
          <w:rFonts w:ascii="Times New Roman" w:hAnsi="Times New Roman" w:cs="Times New Roman"/>
          <w:i/>
          <w:sz w:val="24"/>
          <w:szCs w:val="24"/>
        </w:rPr>
        <w:t>COMPLETE</w:t>
      </w:r>
      <w:r w:rsidRPr="00383E5D">
        <w:rPr>
          <w:rFonts w:ascii="Times New Roman" w:hAnsi="Times New Roman" w:cs="Times New Roman"/>
          <w:sz w:val="24"/>
          <w:szCs w:val="24"/>
        </w:rPr>
        <w:t xml:space="preserve"> measure to determine if firms comply with the disclosure but provide less information.  Table 6 presents the results of an examination of how firms alter the information contained in the forward-looking statement estimating the potential change to the UTB reserve balance in the next twelve months (</w:t>
      </w:r>
      <w:r w:rsidRPr="00383E5D">
        <w:rPr>
          <w:rFonts w:ascii="Times New Roman" w:hAnsi="Times New Roman" w:cs="Times New Roman"/>
          <w:i/>
          <w:sz w:val="24"/>
          <w:szCs w:val="24"/>
        </w:rPr>
        <w:t>7C_FWD</w:t>
      </w:r>
      <w:r w:rsidRPr="00383E5D">
        <w:rPr>
          <w:rFonts w:ascii="Times New Roman" w:hAnsi="Times New Roman" w:cs="Times New Roman"/>
          <w:sz w:val="24"/>
          <w:szCs w:val="24"/>
        </w:rPr>
        <w:t>).  The forward-looking statement is an important component of FIN 48 disclosure because it can assist or hinder the ability of investors to determine the related impact on a firm’s cash flows (Dunbar et al. 2010).  Column 1 indicates that firms do not change their compliance with providing the required forward-looking statement.  However, the negative and significan</w:t>
      </w:r>
      <w:r>
        <w:rPr>
          <w:rFonts w:ascii="Times New Roman" w:hAnsi="Times New Roman" w:cs="Times New Roman"/>
          <w:sz w:val="24"/>
          <w:szCs w:val="24"/>
        </w:rPr>
        <w:t>t column 3</w:t>
      </w:r>
      <w:r w:rsidRPr="00383E5D">
        <w:rPr>
          <w:rFonts w:ascii="Times New Roman" w:hAnsi="Times New Roman" w:cs="Times New Roman"/>
          <w:sz w:val="24"/>
          <w:szCs w:val="24"/>
        </w:rPr>
        <w:t xml:space="preserve">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i/>
          <w:sz w:val="24"/>
          <w:szCs w:val="24"/>
        </w:rPr>
        <w:t xml:space="preserve"> </w:t>
      </w:r>
      <w:r w:rsidRPr="00383E5D">
        <w:rPr>
          <w:rFonts w:ascii="Times New Roman" w:hAnsi="Times New Roman" w:cs="Times New Roman"/>
          <w:sz w:val="24"/>
          <w:szCs w:val="24"/>
        </w:rPr>
        <w:t xml:space="preserve">result indicates that following the adoption of IRS Schedule UTP firms are less likely to provide a numerical estimate of the anticipated change to their UTB reserve balance.  </w:t>
      </w:r>
    </w:p>
    <w:p w14:paraId="334418EB"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Prior to Schedule UTP, firms disclosed a numerical point estimate or potential range for how UTB reserve balances may change in the next year.  Subsequent to Schedule UTP adoption, firms with non-zero UTB reserve balances are more likely to comply with the forward-looking statement requirement by describing a potential UTB reserve change as “possible,” “uncertain,” “immaterial,” or “not significant.”</w:t>
      </w:r>
      <w:r w:rsidRPr="00383E5D">
        <w:rPr>
          <w:rStyle w:val="FootnoteReference"/>
          <w:rFonts w:ascii="Times New Roman" w:hAnsi="Times New Roman" w:cs="Times New Roman"/>
          <w:sz w:val="24"/>
          <w:szCs w:val="24"/>
        </w:rPr>
        <w:footnoteReference w:id="20"/>
      </w:r>
      <w:r w:rsidRPr="00383E5D">
        <w:rPr>
          <w:rFonts w:ascii="Times New Roman" w:hAnsi="Times New Roman" w:cs="Times New Roman"/>
          <w:sz w:val="24"/>
          <w:szCs w:val="24"/>
        </w:rPr>
        <w:t xml:space="preserve">  This change is an important loss of information to investors concerned with future after-tax cash flow.  This finding is consistent with recent SEC comment letters that describe FIN 48 disclosures as not providing enough early warning about how FIN 48 reserves could potentially change in the near term (PwC 2015).  It is a strategic decision for a firm to not provide a value for estimated changes to UTB reserve balances due to settlement or expiration of statute of limitation.  The IRS only has descriptions of uncertain tax positions from Schedule UTP.  Any incremental information gained from FIN 48 disclosures about expected changes in the next year can help the IRS to triangulate to relevant uncertain tax positions from Schedule UTP that are close to settlement or expiration to obtain an idea of potential magnitude for the uncertain tax position.  </w:t>
      </w:r>
      <w:r>
        <w:rPr>
          <w:rFonts w:ascii="Times New Roman" w:hAnsi="Times New Roman" w:cs="Times New Roman"/>
          <w:sz w:val="24"/>
          <w:szCs w:val="24"/>
        </w:rPr>
        <w:t>The c</w:t>
      </w:r>
      <w:r w:rsidRPr="00383E5D">
        <w:rPr>
          <w:rFonts w:ascii="Times New Roman" w:hAnsi="Times New Roman" w:cs="Times New Roman"/>
          <w:sz w:val="24"/>
          <w:szCs w:val="24"/>
        </w:rPr>
        <w:t>olumn 2 result support</w:t>
      </w:r>
      <w:r>
        <w:rPr>
          <w:rFonts w:ascii="Times New Roman" w:hAnsi="Times New Roman" w:cs="Times New Roman"/>
          <w:sz w:val="24"/>
          <w:szCs w:val="24"/>
        </w:rPr>
        <w:t>s</w:t>
      </w:r>
      <w:r w:rsidRPr="00383E5D">
        <w:rPr>
          <w:rFonts w:ascii="Times New Roman" w:hAnsi="Times New Roman" w:cs="Times New Roman"/>
          <w:sz w:val="24"/>
          <w:szCs w:val="24"/>
        </w:rPr>
        <w:t xml:space="preserve"> the assertion that firms reduce the quality of FIN 48 disclosures while continuing to comply with the mandatory components of the disclosure.</w:t>
      </w:r>
    </w:p>
    <w:p w14:paraId="567CCFF4"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Table 7 presents results for the individual components of 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discretionary disclosure score.  This breakdown provides insight into the specific mechanisms for decreased disclosure quality.  Each of the components has a negative coefficient for the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sz w:val="24"/>
          <w:szCs w:val="24"/>
        </w:rPr>
        <w:t xml:space="preserve"> variable of interest.  However, the result is negative and significant for </w:t>
      </w:r>
      <w:r w:rsidRPr="00383E5D">
        <w:rPr>
          <w:rFonts w:ascii="Times New Roman" w:hAnsi="Times New Roman" w:cs="Times New Roman"/>
          <w:i/>
          <w:sz w:val="24"/>
          <w:szCs w:val="24"/>
        </w:rPr>
        <w:t>1CL_NONETR</w:t>
      </w:r>
      <w:r w:rsidRPr="00383E5D">
        <w:rPr>
          <w:rFonts w:ascii="Times New Roman" w:hAnsi="Times New Roman" w:cs="Times New Roman"/>
          <w:sz w:val="24"/>
          <w:szCs w:val="24"/>
        </w:rPr>
        <w:t xml:space="preserve">, indicating that firms are less likely to provide an explanation for the portion of UTB balances that do not impact ETR.  For instance, if UTB reserve balances do not impact ETR, it would be useful for an investor to know if that is due to goodwill from an acquisition or timing differences that impact deferred tax accounts.  Reducing aspects of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makes FIN 48 disclosures more opaque and potentially less useful to the IRS to identify relevant amounts to be able to determine the magnitude of the uncertain tax positions described in Schedule UTP.  An unintended outcome is that this change also reduces the usefulness of FIN 48 disclosures to investors and other stakeholders.  My findings are consistent with the rise in SEC comment letters surrounding the lack of clarity of FIN 48 disclosures.</w:t>
      </w:r>
    </w:p>
    <w:p w14:paraId="62D7BE92"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1567D8E9" w14:textId="2BB985FD" w:rsidR="00D44AFB" w:rsidRDefault="00D44AFB" w:rsidP="0017501A">
      <w:pPr>
        <w:spacing w:after="0" w:line="480" w:lineRule="auto"/>
        <w:jc w:val="both"/>
        <w:rPr>
          <w:rFonts w:ascii="Times New Roman" w:hAnsi="Times New Roman" w:cs="Times New Roman"/>
          <w:b/>
          <w:sz w:val="24"/>
          <w:szCs w:val="24"/>
        </w:rPr>
      </w:pPr>
      <w:r w:rsidRPr="009A14DA">
        <w:rPr>
          <w:rFonts w:ascii="Times New Roman" w:hAnsi="Times New Roman" w:cs="Times New Roman"/>
          <w:b/>
          <w:sz w:val="24"/>
          <w:szCs w:val="24"/>
        </w:rPr>
        <w:t>V</w:t>
      </w:r>
      <w:r w:rsidR="005A4998">
        <w:rPr>
          <w:rFonts w:ascii="Times New Roman" w:hAnsi="Times New Roman" w:cs="Times New Roman"/>
          <w:b/>
          <w:sz w:val="24"/>
          <w:szCs w:val="24"/>
        </w:rPr>
        <w:t>I</w:t>
      </w:r>
      <w:r w:rsidRPr="009A14DA">
        <w:rPr>
          <w:rFonts w:ascii="Times New Roman" w:hAnsi="Times New Roman" w:cs="Times New Roman"/>
          <w:b/>
          <w:sz w:val="24"/>
          <w:szCs w:val="24"/>
        </w:rPr>
        <w:t xml:space="preserve">. Additional Analysis </w:t>
      </w:r>
    </w:p>
    <w:p w14:paraId="75435B91" w14:textId="77777777" w:rsidR="00340A0A" w:rsidRDefault="00340A0A" w:rsidP="00340A0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further examine the firms that experience a decline in their overall discretionary disclosure, I create an indicator variable that captures whether a firm has a decline in their </w:t>
      </w:r>
      <w:r w:rsidRPr="00074362">
        <w:rPr>
          <w:rFonts w:ascii="Times New Roman" w:hAnsi="Times New Roman" w:cs="Times New Roman"/>
          <w:i/>
          <w:sz w:val="24"/>
          <w:szCs w:val="24"/>
        </w:rPr>
        <w:t>CLARITY</w:t>
      </w:r>
      <w:r>
        <w:rPr>
          <w:rFonts w:ascii="Times New Roman" w:hAnsi="Times New Roman" w:cs="Times New Roman"/>
          <w:sz w:val="24"/>
          <w:szCs w:val="24"/>
        </w:rPr>
        <w:t xml:space="preserve"> score following the adoption of IRS Schedule UTP.  This methodology allows me to focus on firms that experience a decline in their discretionary disclosure, rather than Table 4 primary results which examine the level of firms’ </w:t>
      </w:r>
      <w:r w:rsidRPr="00074362">
        <w:rPr>
          <w:rFonts w:ascii="Times New Roman" w:hAnsi="Times New Roman" w:cs="Times New Roman"/>
          <w:sz w:val="24"/>
          <w:szCs w:val="24"/>
        </w:rPr>
        <w:t>discretionary disclosure</w:t>
      </w:r>
      <w:r>
        <w:rPr>
          <w:rFonts w:ascii="Times New Roman" w:hAnsi="Times New Roman" w:cs="Times New Roman"/>
          <w:sz w:val="24"/>
          <w:szCs w:val="24"/>
        </w:rPr>
        <w:t xml:space="preserve">.  Additionally, I include measures for components of the tabular reconciliation of the FIN 48 reserve balance.  </w:t>
      </w:r>
      <w:proofErr w:type="spellStart"/>
      <w:r>
        <w:rPr>
          <w:rFonts w:ascii="Times New Roman" w:hAnsi="Times New Roman" w:cs="Times New Roman"/>
          <w:sz w:val="24"/>
          <w:szCs w:val="24"/>
        </w:rPr>
        <w:t>Untabulated</w:t>
      </w:r>
      <w:proofErr w:type="spellEnd"/>
      <w:r>
        <w:rPr>
          <w:rFonts w:ascii="Times New Roman" w:hAnsi="Times New Roman" w:cs="Times New Roman"/>
          <w:sz w:val="24"/>
          <w:szCs w:val="24"/>
        </w:rPr>
        <w:t xml:space="preserve"> results show that firms with the largest net reductions to FIN 48 reserves balances are more likely to reduce discretionary FIN 48 disclosure quality following the adoption of IRS Schedule UTP.  </w:t>
      </w:r>
      <w:r w:rsidRPr="00DA7423">
        <w:rPr>
          <w:rFonts w:ascii="Times New Roman" w:hAnsi="Times New Roman" w:cs="Times New Roman"/>
          <w:sz w:val="24"/>
          <w:szCs w:val="24"/>
        </w:rPr>
        <w:t xml:space="preserve">This finding is consistent with </w:t>
      </w:r>
      <w:r>
        <w:rPr>
          <w:rFonts w:ascii="Times New Roman" w:hAnsi="Times New Roman" w:cs="Times New Roman"/>
          <w:sz w:val="24"/>
          <w:szCs w:val="24"/>
        </w:rPr>
        <w:t xml:space="preserve">the </w:t>
      </w:r>
      <w:r w:rsidRPr="00DA7423">
        <w:rPr>
          <w:rFonts w:ascii="Times New Roman" w:hAnsi="Times New Roman" w:cs="Times New Roman"/>
          <w:sz w:val="24"/>
          <w:szCs w:val="24"/>
        </w:rPr>
        <w:t xml:space="preserve">Towery </w:t>
      </w:r>
      <w:r>
        <w:rPr>
          <w:rFonts w:ascii="Times New Roman" w:hAnsi="Times New Roman" w:cs="Times New Roman"/>
          <w:sz w:val="24"/>
          <w:szCs w:val="24"/>
        </w:rPr>
        <w:t>(</w:t>
      </w:r>
      <w:r w:rsidRPr="00DA7423">
        <w:rPr>
          <w:rFonts w:ascii="Times New Roman" w:hAnsi="Times New Roman" w:cs="Times New Roman"/>
          <w:sz w:val="24"/>
          <w:szCs w:val="24"/>
        </w:rPr>
        <w:t>2017</w:t>
      </w:r>
      <w:r>
        <w:rPr>
          <w:rFonts w:ascii="Times New Roman" w:hAnsi="Times New Roman" w:cs="Times New Roman"/>
          <w:sz w:val="24"/>
          <w:szCs w:val="24"/>
        </w:rPr>
        <w:t>)</w:t>
      </w:r>
      <w:r w:rsidRPr="00DA7423">
        <w:rPr>
          <w:rFonts w:ascii="Times New Roman" w:hAnsi="Times New Roman" w:cs="Times New Roman"/>
          <w:sz w:val="24"/>
          <w:szCs w:val="24"/>
        </w:rPr>
        <w:t xml:space="preserve"> result that firms subject to IRS Schedule UTP reduce their FIN 48 reserves.  My result </w:t>
      </w:r>
      <w:r>
        <w:rPr>
          <w:rFonts w:ascii="Times New Roman" w:hAnsi="Times New Roman" w:cs="Times New Roman"/>
          <w:sz w:val="24"/>
          <w:szCs w:val="24"/>
        </w:rPr>
        <w:t>supports</w:t>
      </w:r>
      <w:r w:rsidRPr="00DA7423">
        <w:rPr>
          <w:rFonts w:ascii="Times New Roman" w:hAnsi="Times New Roman" w:cs="Times New Roman"/>
          <w:sz w:val="24"/>
          <w:szCs w:val="24"/>
        </w:rPr>
        <w:t xml:space="preserve"> that </w:t>
      </w:r>
      <w:r>
        <w:rPr>
          <w:rFonts w:ascii="Times New Roman" w:hAnsi="Times New Roman" w:cs="Times New Roman"/>
          <w:sz w:val="24"/>
          <w:szCs w:val="24"/>
        </w:rPr>
        <w:t xml:space="preserve">discretionary </w:t>
      </w:r>
      <w:r w:rsidRPr="00DA7423">
        <w:rPr>
          <w:rFonts w:ascii="Times New Roman" w:hAnsi="Times New Roman" w:cs="Times New Roman"/>
          <w:sz w:val="24"/>
          <w:szCs w:val="24"/>
        </w:rPr>
        <w:t>disclosure quality is a complementary lever that firms manipulate in addition to</w:t>
      </w:r>
      <w:r>
        <w:rPr>
          <w:rFonts w:ascii="Times New Roman" w:hAnsi="Times New Roman" w:cs="Times New Roman"/>
          <w:sz w:val="24"/>
          <w:szCs w:val="24"/>
        </w:rPr>
        <w:t xml:space="preserve"> changing their financial reporting by</w:t>
      </w:r>
      <w:r w:rsidRPr="00DA7423">
        <w:rPr>
          <w:rFonts w:ascii="Times New Roman" w:hAnsi="Times New Roman" w:cs="Times New Roman"/>
          <w:sz w:val="24"/>
          <w:szCs w:val="24"/>
        </w:rPr>
        <w:t xml:space="preserve"> reducing their FIN 48 reserve balance</w:t>
      </w:r>
      <w:r>
        <w:rPr>
          <w:rFonts w:ascii="Times New Roman" w:hAnsi="Times New Roman" w:cs="Times New Roman"/>
          <w:sz w:val="24"/>
          <w:szCs w:val="24"/>
        </w:rPr>
        <w:t xml:space="preserve"> in response to IRS Schedule UTP</w:t>
      </w:r>
      <w:r w:rsidRPr="00DA7423">
        <w:rPr>
          <w:rFonts w:ascii="Times New Roman" w:hAnsi="Times New Roman" w:cs="Times New Roman"/>
          <w:sz w:val="24"/>
          <w:szCs w:val="24"/>
        </w:rPr>
        <w:t>.</w:t>
      </w:r>
    </w:p>
    <w:p w14:paraId="341CBC3E" w14:textId="77777777" w:rsidR="00340A0A" w:rsidRPr="00074362" w:rsidRDefault="00340A0A" w:rsidP="00340A0A">
      <w:pPr>
        <w:spacing w:after="0" w:line="480" w:lineRule="auto"/>
        <w:jc w:val="both"/>
        <w:rPr>
          <w:rFonts w:ascii="Times New Roman" w:hAnsi="Times New Roman" w:cs="Times New Roman"/>
          <w:sz w:val="24"/>
          <w:szCs w:val="24"/>
        </w:rPr>
      </w:pPr>
      <w:r w:rsidRPr="00074362">
        <w:rPr>
          <w:rFonts w:ascii="Times New Roman" w:hAnsi="Times New Roman" w:cs="Times New Roman"/>
          <w:sz w:val="24"/>
          <w:szCs w:val="24"/>
        </w:rPr>
        <w:tab/>
        <w:t xml:space="preserve">In additional analysis, I convert the dependent variable </w:t>
      </w:r>
      <w:r>
        <w:rPr>
          <w:rFonts w:ascii="Times New Roman" w:hAnsi="Times New Roman" w:cs="Times New Roman"/>
          <w:sz w:val="24"/>
          <w:szCs w:val="24"/>
        </w:rPr>
        <w:t xml:space="preserve">from the Table 7 model </w:t>
      </w:r>
      <w:r w:rsidRPr="00074362">
        <w:rPr>
          <w:rFonts w:ascii="Times New Roman" w:hAnsi="Times New Roman" w:cs="Times New Roman"/>
          <w:sz w:val="24"/>
          <w:szCs w:val="24"/>
        </w:rPr>
        <w:t xml:space="preserve">to an indicator variable that captures the change from a firm providing a discretionary disclosure in 2009 and no longer providing the discretionary disclosure in 2010 </w:t>
      </w:r>
      <w:r>
        <w:rPr>
          <w:rFonts w:ascii="Times New Roman" w:hAnsi="Times New Roman" w:cs="Times New Roman"/>
          <w:sz w:val="24"/>
          <w:szCs w:val="24"/>
        </w:rPr>
        <w:t xml:space="preserve">following the adoption of IRS Schedule UTP </w:t>
      </w:r>
      <w:r w:rsidRPr="00074362">
        <w:rPr>
          <w:rFonts w:ascii="Times New Roman" w:hAnsi="Times New Roman" w:cs="Times New Roman"/>
          <w:sz w:val="24"/>
          <w:szCs w:val="24"/>
        </w:rPr>
        <w:t xml:space="preserve">for each component of the </w:t>
      </w:r>
      <w:r w:rsidRPr="00074362">
        <w:rPr>
          <w:rFonts w:ascii="Times New Roman" w:hAnsi="Times New Roman" w:cs="Times New Roman"/>
          <w:i/>
          <w:sz w:val="24"/>
          <w:szCs w:val="24"/>
        </w:rPr>
        <w:t xml:space="preserve">CLARITY </w:t>
      </w:r>
      <w:r w:rsidRPr="00074362">
        <w:rPr>
          <w:rFonts w:ascii="Times New Roman" w:hAnsi="Times New Roman" w:cs="Times New Roman"/>
          <w:sz w:val="24"/>
          <w:szCs w:val="24"/>
        </w:rPr>
        <w:t xml:space="preserve">discretionary disclosure measure.  </w:t>
      </w:r>
      <w:proofErr w:type="spellStart"/>
      <w:r>
        <w:rPr>
          <w:rFonts w:ascii="Times New Roman" w:hAnsi="Times New Roman" w:cs="Times New Roman"/>
          <w:sz w:val="24"/>
          <w:szCs w:val="24"/>
        </w:rPr>
        <w:t>Descriptives</w:t>
      </w:r>
      <w:proofErr w:type="spellEnd"/>
      <w:r>
        <w:rPr>
          <w:rFonts w:ascii="Times New Roman" w:hAnsi="Times New Roman" w:cs="Times New Roman"/>
          <w:sz w:val="24"/>
          <w:szCs w:val="24"/>
        </w:rPr>
        <w:t xml:space="preserve"> </w:t>
      </w:r>
      <w:r w:rsidRPr="00074362">
        <w:rPr>
          <w:rFonts w:ascii="Times New Roman" w:hAnsi="Times New Roman" w:cs="Times New Roman"/>
          <w:sz w:val="24"/>
          <w:szCs w:val="24"/>
        </w:rPr>
        <w:t xml:space="preserve">reveal that the most reduction in discretionary disclosure occurs with the </w:t>
      </w:r>
      <w:r w:rsidRPr="00074362">
        <w:rPr>
          <w:rFonts w:ascii="Times New Roman" w:hAnsi="Times New Roman" w:cs="Times New Roman"/>
          <w:i/>
          <w:sz w:val="24"/>
          <w:szCs w:val="24"/>
        </w:rPr>
        <w:t>CL1_NONETR</w:t>
      </w:r>
      <w:r w:rsidRPr="00074362">
        <w:rPr>
          <w:rFonts w:ascii="Times New Roman" w:hAnsi="Times New Roman" w:cs="Times New Roman"/>
          <w:sz w:val="24"/>
          <w:szCs w:val="24"/>
        </w:rPr>
        <w:t xml:space="preserve"> and </w:t>
      </w:r>
      <w:r w:rsidRPr="00074362">
        <w:rPr>
          <w:rFonts w:ascii="Times New Roman" w:hAnsi="Times New Roman" w:cs="Times New Roman"/>
          <w:i/>
          <w:sz w:val="24"/>
          <w:szCs w:val="24"/>
        </w:rPr>
        <w:t>CL3_INCLUDE</w:t>
      </w:r>
      <w:r w:rsidRPr="00074362">
        <w:rPr>
          <w:rFonts w:ascii="Times New Roman" w:hAnsi="Times New Roman" w:cs="Times New Roman"/>
          <w:sz w:val="24"/>
          <w:szCs w:val="24"/>
        </w:rPr>
        <w:t xml:space="preserve"> </w:t>
      </w:r>
      <w:r w:rsidRPr="000B6169">
        <w:rPr>
          <w:rFonts w:ascii="Times New Roman" w:hAnsi="Times New Roman" w:cs="Times New Roman"/>
          <w:sz w:val="24"/>
          <w:szCs w:val="24"/>
        </w:rPr>
        <w:t xml:space="preserve">measures.  </w:t>
      </w:r>
      <w:r>
        <w:rPr>
          <w:rFonts w:ascii="Times New Roman" w:hAnsi="Times New Roman" w:cs="Times New Roman"/>
          <w:sz w:val="24"/>
          <w:szCs w:val="24"/>
        </w:rPr>
        <w:t xml:space="preserve">For the firms that provide these discretionary disclosures in 2009, respectively there </w:t>
      </w:r>
      <w:r w:rsidRPr="000B6169">
        <w:rPr>
          <w:rFonts w:ascii="Times New Roman" w:hAnsi="Times New Roman" w:cs="Times New Roman"/>
          <w:sz w:val="24"/>
          <w:szCs w:val="24"/>
        </w:rPr>
        <w:t>is</w:t>
      </w:r>
      <w:r w:rsidRPr="00074362">
        <w:rPr>
          <w:rFonts w:ascii="Times New Roman" w:hAnsi="Times New Roman" w:cs="Times New Roman"/>
          <w:sz w:val="24"/>
          <w:szCs w:val="24"/>
        </w:rPr>
        <w:t xml:space="preserve"> a 26% and 20% decline in 2010 following the adoption of IRS Schedule UTP.</w:t>
      </w:r>
      <w:r>
        <w:rPr>
          <w:rFonts w:ascii="Times New Roman" w:hAnsi="Times New Roman" w:cs="Times New Roman"/>
          <w:sz w:val="24"/>
          <w:szCs w:val="24"/>
        </w:rPr>
        <w:t xml:space="preserve">  Rerunning Table 7 analysis, shows that analyst following (</w:t>
      </w:r>
      <w:r w:rsidRPr="00074362">
        <w:rPr>
          <w:rFonts w:ascii="Times New Roman" w:hAnsi="Times New Roman" w:cs="Times New Roman"/>
          <w:i/>
          <w:sz w:val="24"/>
          <w:szCs w:val="24"/>
        </w:rPr>
        <w:t>ANALYSTS</w:t>
      </w:r>
      <w:r>
        <w:rPr>
          <w:rFonts w:ascii="Times New Roman" w:hAnsi="Times New Roman" w:cs="Times New Roman"/>
          <w:i/>
          <w:sz w:val="24"/>
          <w:szCs w:val="24"/>
        </w:rPr>
        <w:t xml:space="preserve">) is </w:t>
      </w:r>
      <w:r w:rsidRPr="00074362">
        <w:rPr>
          <w:rFonts w:ascii="Times New Roman" w:hAnsi="Times New Roman" w:cs="Times New Roman"/>
          <w:sz w:val="24"/>
          <w:szCs w:val="24"/>
        </w:rPr>
        <w:t>a negative and highly significant</w:t>
      </w:r>
      <w:r>
        <w:rPr>
          <w:rFonts w:ascii="Times New Roman" w:hAnsi="Times New Roman" w:cs="Times New Roman"/>
          <w:i/>
          <w:sz w:val="24"/>
          <w:szCs w:val="24"/>
        </w:rPr>
        <w:t xml:space="preserve"> </w:t>
      </w:r>
      <w:r>
        <w:rPr>
          <w:rFonts w:ascii="Times New Roman" w:hAnsi="Times New Roman" w:cs="Times New Roman"/>
          <w:sz w:val="24"/>
          <w:szCs w:val="24"/>
        </w:rPr>
        <w:t xml:space="preserve">determinant for the decline in disclosure for the </w:t>
      </w:r>
      <w:r w:rsidRPr="00252DE5">
        <w:rPr>
          <w:rFonts w:ascii="Times New Roman" w:hAnsi="Times New Roman" w:cs="Times New Roman"/>
          <w:i/>
          <w:sz w:val="24"/>
          <w:szCs w:val="24"/>
        </w:rPr>
        <w:t>CL1_NONETR</w:t>
      </w:r>
      <w:r w:rsidRPr="00252DE5">
        <w:rPr>
          <w:rFonts w:ascii="Times New Roman" w:hAnsi="Times New Roman" w:cs="Times New Roman"/>
          <w:sz w:val="24"/>
          <w:szCs w:val="24"/>
        </w:rPr>
        <w:t xml:space="preserve"> and </w:t>
      </w:r>
      <w:r w:rsidRPr="00252DE5">
        <w:rPr>
          <w:rFonts w:ascii="Times New Roman" w:hAnsi="Times New Roman" w:cs="Times New Roman"/>
          <w:i/>
          <w:sz w:val="24"/>
          <w:szCs w:val="24"/>
        </w:rPr>
        <w:t>CL3_INCLUDE</w:t>
      </w:r>
      <w:r w:rsidRPr="00252DE5">
        <w:rPr>
          <w:rFonts w:ascii="Times New Roman" w:hAnsi="Times New Roman" w:cs="Times New Roman"/>
          <w:sz w:val="24"/>
          <w:szCs w:val="24"/>
        </w:rPr>
        <w:t xml:space="preserve"> </w:t>
      </w:r>
      <w:r w:rsidRPr="000B6169">
        <w:rPr>
          <w:rFonts w:ascii="Times New Roman" w:hAnsi="Times New Roman" w:cs="Times New Roman"/>
          <w:sz w:val="24"/>
          <w:szCs w:val="24"/>
        </w:rPr>
        <w:t>measures</w:t>
      </w:r>
      <w:r>
        <w:rPr>
          <w:rFonts w:ascii="Times New Roman" w:hAnsi="Times New Roman" w:cs="Times New Roman"/>
          <w:sz w:val="24"/>
          <w:szCs w:val="24"/>
        </w:rPr>
        <w:t>.  This suggests that when analyst following is low, firms are more likely to reduce their discretionary disclosures.</w:t>
      </w:r>
    </w:p>
    <w:p w14:paraId="7B62921B" w14:textId="77777777" w:rsidR="00E118B3" w:rsidRPr="00383E5D" w:rsidRDefault="00E118B3" w:rsidP="00E118B3">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Demand for Information</w:t>
      </w:r>
    </w:p>
    <w:p w14:paraId="74EE8C29"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additional analysis above is consistent with </w:t>
      </w:r>
      <w:r w:rsidRPr="00383E5D">
        <w:rPr>
          <w:rFonts w:ascii="Times New Roman" w:hAnsi="Times New Roman" w:cs="Times New Roman"/>
          <w:sz w:val="24"/>
          <w:szCs w:val="24"/>
        </w:rPr>
        <w:t xml:space="preserve">firms </w:t>
      </w:r>
      <w:r>
        <w:rPr>
          <w:rFonts w:ascii="Times New Roman" w:hAnsi="Times New Roman" w:cs="Times New Roman"/>
          <w:sz w:val="24"/>
          <w:szCs w:val="24"/>
        </w:rPr>
        <w:t xml:space="preserve">being </w:t>
      </w:r>
      <w:r w:rsidRPr="00383E5D">
        <w:rPr>
          <w:rFonts w:ascii="Times New Roman" w:hAnsi="Times New Roman" w:cs="Times New Roman"/>
          <w:sz w:val="24"/>
          <w:szCs w:val="24"/>
        </w:rPr>
        <w:t>accountable to other stakeholders and fac</w:t>
      </w:r>
      <w:r>
        <w:rPr>
          <w:rFonts w:ascii="Times New Roman" w:hAnsi="Times New Roman" w:cs="Times New Roman"/>
          <w:sz w:val="24"/>
          <w:szCs w:val="24"/>
        </w:rPr>
        <w:t>ing</w:t>
      </w:r>
      <w:r w:rsidRPr="00383E5D">
        <w:rPr>
          <w:rFonts w:ascii="Times New Roman" w:hAnsi="Times New Roman" w:cs="Times New Roman"/>
          <w:sz w:val="24"/>
          <w:szCs w:val="24"/>
        </w:rPr>
        <w:t xml:space="preserve"> a “multi-audience problem” </w:t>
      </w:r>
      <w:r w:rsidRPr="00383E5D">
        <w:rPr>
          <w:rFonts w:ascii="Times New Roman" w:hAnsi="Times New Roman" w:cs="Times New Roman"/>
          <w:sz w:val="24"/>
          <w:szCs w:val="24"/>
        </w:rPr>
        <w:fldChar w:fldCharType="begin"/>
      </w:r>
      <w:r w:rsidRPr="00383E5D">
        <w:rPr>
          <w:rFonts w:ascii="Times New Roman" w:hAnsi="Times New Roman" w:cs="Times New Roman"/>
          <w:sz w:val="24"/>
          <w:szCs w:val="24"/>
        </w:rPr>
        <w:instrText xml:space="preserve"> ADDIN EN.CITE &lt;EndNote&gt;&lt;Cite&gt;&lt;Author&gt;Bhorjraj&lt;/Author&gt;&lt;Year&gt;2004&lt;/Year&gt;&lt;RecNum&gt;782&lt;/RecNum&gt;&lt;DisplayText&gt;(Bhorjraj et al. 2004)&lt;/DisplayText&gt;&lt;record&gt;&lt;rec-number&gt;782&lt;/rec-number&gt;&lt;foreign-keys&gt;&lt;key app="EN" db-id="0epr20wz6v0vdyes25e5vdd8ssfd2e0srwex" timestamp="1474179824"&gt;782&lt;/key&gt;&lt;/foreign-keys&gt;&lt;ref-type name="Journal Article"&gt;17&lt;/ref-type&gt;&lt;contributors&gt;&lt;authors&gt;&lt;author&gt;Bhorjraj, S.&lt;/author&gt;&lt;author&gt;Blacconiere, W.G.&lt;/author&gt;&lt;author&gt;D&amp;apos;sOUZa, J.D.&lt;/author&gt;&lt;/authors&gt;&lt;/contributors&gt;&lt;titles&gt;&lt;title&gt;Voluntary Disclosure in a Multi-Audience Setting: An Empirical Investigation&lt;/title&gt;&lt;secondary-title&gt;The Accounting Review &lt;/secondary-title&gt;&lt;/titles&gt;&lt;periodical&gt;&lt;full-title&gt;The Accounting Review&lt;/full-title&gt;&lt;/periodical&gt;&lt;pages&gt;921-947&lt;/pages&gt;&lt;volume&gt;79&lt;/volume&gt;&lt;number&gt;4&lt;/number&gt;&lt;dates&gt;&lt;year&gt;2004&lt;/year&gt;&lt;/dates&gt;&lt;urls&gt;&lt;/urls&gt;&lt;/record&gt;&lt;/Cite&gt;&lt;/EndNote&gt;</w:instrText>
      </w:r>
      <w:r w:rsidRPr="00383E5D">
        <w:rPr>
          <w:rFonts w:ascii="Times New Roman" w:hAnsi="Times New Roman" w:cs="Times New Roman"/>
          <w:sz w:val="24"/>
          <w:szCs w:val="24"/>
        </w:rPr>
        <w:fldChar w:fldCharType="separate"/>
      </w:r>
      <w:r w:rsidRPr="00383E5D">
        <w:rPr>
          <w:rFonts w:ascii="Times New Roman" w:hAnsi="Times New Roman" w:cs="Times New Roman"/>
          <w:sz w:val="24"/>
          <w:szCs w:val="24"/>
        </w:rPr>
        <w:t>(</w:t>
      </w:r>
      <w:proofErr w:type="spellStart"/>
      <w:r w:rsidRPr="00383E5D">
        <w:rPr>
          <w:rFonts w:ascii="Times New Roman" w:hAnsi="Times New Roman" w:cs="Times New Roman"/>
          <w:sz w:val="24"/>
          <w:szCs w:val="24"/>
        </w:rPr>
        <w:t>Bhorjraj</w:t>
      </w:r>
      <w:proofErr w:type="spellEnd"/>
      <w:r w:rsidRPr="00383E5D">
        <w:rPr>
          <w:rFonts w:ascii="Times New Roman" w:hAnsi="Times New Roman" w:cs="Times New Roman"/>
          <w:sz w:val="24"/>
          <w:szCs w:val="24"/>
        </w:rPr>
        <w:t xml:space="preserve">, </w:t>
      </w:r>
      <w:proofErr w:type="spellStart"/>
      <w:r w:rsidRPr="00383E5D">
        <w:rPr>
          <w:rFonts w:ascii="Times New Roman" w:hAnsi="Times New Roman" w:cs="Times New Roman"/>
          <w:sz w:val="24"/>
          <w:szCs w:val="24"/>
        </w:rPr>
        <w:t>Blacconiere</w:t>
      </w:r>
      <w:proofErr w:type="spellEnd"/>
      <w:r w:rsidRPr="00383E5D">
        <w:rPr>
          <w:rFonts w:ascii="Times New Roman" w:hAnsi="Times New Roman" w:cs="Times New Roman"/>
          <w:sz w:val="24"/>
          <w:szCs w:val="24"/>
        </w:rPr>
        <w:t xml:space="preserve">, and </w:t>
      </w:r>
      <w:proofErr w:type="spellStart"/>
      <w:r w:rsidRPr="00383E5D">
        <w:rPr>
          <w:rFonts w:ascii="Times New Roman" w:hAnsi="Times New Roman" w:cs="Times New Roman"/>
          <w:sz w:val="24"/>
          <w:szCs w:val="24"/>
        </w:rPr>
        <w:t>D'souza</w:t>
      </w:r>
      <w:proofErr w:type="spellEnd"/>
      <w:r w:rsidRPr="00383E5D">
        <w:rPr>
          <w:rFonts w:ascii="Times New Roman" w:hAnsi="Times New Roman" w:cs="Times New Roman"/>
          <w:sz w:val="24"/>
          <w:szCs w:val="24"/>
        </w:rPr>
        <w:t xml:space="preserve"> 2004)</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Firms may face the dilemma of not wanting to reveal tax information that can be used against them by the tax authority and wanting to be as transparent as possible to outside stakeholders (Mills et al. 2010).  Given this competing motivation for higher quality disclosure, I examine cross sections </w:t>
      </w:r>
      <w:r>
        <w:rPr>
          <w:rFonts w:ascii="Times New Roman" w:hAnsi="Times New Roman" w:cs="Times New Roman"/>
          <w:sz w:val="24"/>
          <w:szCs w:val="24"/>
        </w:rPr>
        <w:t xml:space="preserve">for the </w:t>
      </w:r>
      <w:r w:rsidRPr="00074362">
        <w:rPr>
          <w:rFonts w:ascii="Times New Roman" w:hAnsi="Times New Roman" w:cs="Times New Roman"/>
          <w:i/>
          <w:sz w:val="24"/>
          <w:szCs w:val="24"/>
        </w:rPr>
        <w:t>CLARITY</w:t>
      </w:r>
      <w:r>
        <w:rPr>
          <w:rFonts w:ascii="Times New Roman" w:hAnsi="Times New Roman" w:cs="Times New Roman"/>
          <w:sz w:val="24"/>
          <w:szCs w:val="24"/>
        </w:rPr>
        <w:t xml:space="preserve"> composite discretionary disclosure measure </w:t>
      </w:r>
      <w:r w:rsidRPr="00383E5D">
        <w:rPr>
          <w:rFonts w:ascii="Times New Roman" w:hAnsi="Times New Roman" w:cs="Times New Roman"/>
          <w:sz w:val="24"/>
          <w:szCs w:val="24"/>
        </w:rPr>
        <w:t xml:space="preserve">where firms may </w:t>
      </w:r>
      <w:r>
        <w:rPr>
          <w:rFonts w:ascii="Times New Roman" w:hAnsi="Times New Roman" w:cs="Times New Roman"/>
          <w:sz w:val="24"/>
          <w:szCs w:val="24"/>
        </w:rPr>
        <w:t>face</w:t>
      </w:r>
      <w:r w:rsidRPr="00383E5D">
        <w:rPr>
          <w:rFonts w:ascii="Times New Roman" w:hAnsi="Times New Roman" w:cs="Times New Roman"/>
          <w:sz w:val="24"/>
          <w:szCs w:val="24"/>
        </w:rPr>
        <w:t xml:space="preserve"> demand for higher quality information.  Table 8 reports the cross section  for firms with above the median and below the median analyst following.  Firms with high analyst following likely face a stronger demand for information.  Firms with low analyst following may face less scrutiny.  Consistent with these expectations, </w:t>
      </w:r>
      <w:r>
        <w:rPr>
          <w:rFonts w:ascii="Times New Roman" w:hAnsi="Times New Roman" w:cs="Times New Roman"/>
          <w:sz w:val="24"/>
          <w:szCs w:val="24"/>
        </w:rPr>
        <w:t xml:space="preserve">in column 2 </w:t>
      </w:r>
      <w:r w:rsidRPr="00383E5D">
        <w:rPr>
          <w:rFonts w:ascii="Times New Roman" w:hAnsi="Times New Roman" w:cs="Times New Roman"/>
          <w:sz w:val="24"/>
          <w:szCs w:val="24"/>
        </w:rPr>
        <w:t xml:space="preserve">firms with high analyst following do not reduce their </w:t>
      </w:r>
      <w:r>
        <w:rPr>
          <w:rFonts w:ascii="Times New Roman" w:hAnsi="Times New Roman" w:cs="Times New Roman"/>
          <w:sz w:val="24"/>
          <w:szCs w:val="24"/>
        </w:rPr>
        <w:t xml:space="preserve">FIN 48 </w:t>
      </w:r>
      <w:r w:rsidRPr="00383E5D">
        <w:rPr>
          <w:rFonts w:ascii="Times New Roman" w:hAnsi="Times New Roman" w:cs="Times New Roman"/>
          <w:sz w:val="24"/>
          <w:szCs w:val="24"/>
        </w:rPr>
        <w:t xml:space="preserve">discretionary disclosures.  However, the negative and highly significant </w:t>
      </w:r>
      <w:proofErr w:type="spellStart"/>
      <w:r w:rsidRPr="00ED0D7B">
        <w:rPr>
          <w:rFonts w:ascii="Times New Roman" w:hAnsi="Times New Roman" w:cs="Times New Roman"/>
          <w:i/>
          <w:sz w:val="24"/>
          <w:szCs w:val="24"/>
        </w:rPr>
        <w:t>SchUTP</w:t>
      </w:r>
      <w:proofErr w:type="spellEnd"/>
      <w:r>
        <w:rPr>
          <w:rFonts w:ascii="Times New Roman" w:hAnsi="Times New Roman" w:cs="Times New Roman"/>
          <w:sz w:val="24"/>
          <w:szCs w:val="24"/>
        </w:rPr>
        <w:t xml:space="preserve"> coefficient </w:t>
      </w:r>
      <w:r w:rsidRPr="00383E5D">
        <w:rPr>
          <w:rFonts w:ascii="Times New Roman" w:hAnsi="Times New Roman" w:cs="Times New Roman"/>
          <w:sz w:val="24"/>
          <w:szCs w:val="24"/>
        </w:rPr>
        <w:t xml:space="preserve">in column </w:t>
      </w:r>
      <w:r>
        <w:rPr>
          <w:rFonts w:ascii="Times New Roman" w:hAnsi="Times New Roman" w:cs="Times New Roman"/>
          <w:sz w:val="24"/>
          <w:szCs w:val="24"/>
        </w:rPr>
        <w:t>3</w:t>
      </w:r>
      <w:r w:rsidRPr="00383E5D">
        <w:rPr>
          <w:rFonts w:ascii="Times New Roman" w:hAnsi="Times New Roman" w:cs="Times New Roman"/>
          <w:sz w:val="24"/>
          <w:szCs w:val="24"/>
        </w:rPr>
        <w:t xml:space="preserve"> shows that firms with low analyst following reduce their </w:t>
      </w:r>
      <w:r>
        <w:rPr>
          <w:rFonts w:ascii="Times New Roman" w:hAnsi="Times New Roman" w:cs="Times New Roman"/>
          <w:sz w:val="24"/>
          <w:szCs w:val="24"/>
        </w:rPr>
        <w:t xml:space="preserve">FIN 48 </w:t>
      </w:r>
      <w:r w:rsidRPr="00383E5D">
        <w:rPr>
          <w:rFonts w:ascii="Times New Roman" w:hAnsi="Times New Roman" w:cs="Times New Roman"/>
          <w:sz w:val="24"/>
          <w:szCs w:val="24"/>
        </w:rPr>
        <w:t>disclosure quality by reducing the clarity of their FIN 48 disclosures.</w:t>
      </w:r>
    </w:p>
    <w:p w14:paraId="7E8408E3"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color w:val="000000" w:themeColor="text1"/>
          <w:sz w:val="24"/>
          <w:szCs w:val="24"/>
        </w:rPr>
        <w:t xml:space="preserve">Balakrishnan, </w:t>
      </w:r>
      <w:proofErr w:type="spellStart"/>
      <w:r w:rsidRPr="00383E5D">
        <w:rPr>
          <w:rFonts w:ascii="Times New Roman" w:hAnsi="Times New Roman" w:cs="Times New Roman"/>
          <w:color w:val="000000" w:themeColor="text1"/>
          <w:sz w:val="24"/>
          <w:szCs w:val="24"/>
        </w:rPr>
        <w:t>Blouin</w:t>
      </w:r>
      <w:proofErr w:type="spellEnd"/>
      <w:r w:rsidRPr="00383E5D">
        <w:rPr>
          <w:rFonts w:ascii="Times New Roman" w:hAnsi="Times New Roman" w:cs="Times New Roman"/>
          <w:color w:val="000000" w:themeColor="text1"/>
          <w:sz w:val="24"/>
          <w:szCs w:val="24"/>
        </w:rPr>
        <w:t xml:space="preserve">, and </w:t>
      </w:r>
      <w:proofErr w:type="spellStart"/>
      <w:r w:rsidRPr="00383E5D">
        <w:rPr>
          <w:rFonts w:ascii="Times New Roman" w:hAnsi="Times New Roman" w:cs="Times New Roman"/>
          <w:color w:val="000000" w:themeColor="text1"/>
          <w:sz w:val="24"/>
          <w:szCs w:val="24"/>
        </w:rPr>
        <w:t>Guay</w:t>
      </w:r>
      <w:proofErr w:type="spellEnd"/>
      <w:r w:rsidRPr="00383E5D">
        <w:rPr>
          <w:rFonts w:ascii="Times New Roman" w:hAnsi="Times New Roman" w:cs="Times New Roman"/>
          <w:color w:val="000000" w:themeColor="text1"/>
          <w:sz w:val="24"/>
          <w:szCs w:val="24"/>
        </w:rPr>
        <w:t xml:space="preserve"> (2014) find that firms with greater tax complexity increase disclosure to reduce information asymmetry.  </w:t>
      </w:r>
      <w:r w:rsidRPr="00383E5D">
        <w:rPr>
          <w:rFonts w:ascii="Times New Roman" w:hAnsi="Times New Roman" w:cs="Times New Roman"/>
          <w:sz w:val="24"/>
          <w:szCs w:val="24"/>
        </w:rPr>
        <w:t xml:space="preserve">Guenther, Matsunaga, and Williams (2016) assert that the volatility of effective tax rates captures whether tax strategies increase the overall level of uncertainty regarding future tax payments.  Drake, Lusch, and </w:t>
      </w:r>
      <w:proofErr w:type="spellStart"/>
      <w:r w:rsidRPr="00383E5D">
        <w:rPr>
          <w:rFonts w:ascii="Times New Roman" w:hAnsi="Times New Roman" w:cs="Times New Roman"/>
          <w:sz w:val="24"/>
          <w:szCs w:val="24"/>
        </w:rPr>
        <w:t>Stekelberg</w:t>
      </w:r>
      <w:proofErr w:type="spellEnd"/>
      <w:r w:rsidRPr="00383E5D">
        <w:rPr>
          <w:rFonts w:ascii="Times New Roman" w:hAnsi="Times New Roman" w:cs="Times New Roman"/>
          <w:sz w:val="24"/>
          <w:szCs w:val="24"/>
        </w:rPr>
        <w:t xml:space="preserve"> (2016) operationalize the construct of tax risk using the Guenther et al. (2016) measure of volatility of effective tax rates and find that investors negatively value tax risk.  This aversion to tax risk is consistent with tax professionals shifting focus from traditional tax compliance and planning to the promulgation of tax risk management surveys and services </w:t>
      </w:r>
      <w:r w:rsidRPr="00383E5D">
        <w:rPr>
          <w:rFonts w:ascii="Times New Roman" w:hAnsi="Times New Roman" w:cs="Times New Roman"/>
          <w:sz w:val="24"/>
          <w:szCs w:val="24"/>
        </w:rPr>
        <w:fldChar w:fldCharType="begin">
          <w:fldData xml:space="preserve">PEVuZE5vdGU+PENpdGU+PEF1dGhvcj5IdXRjaGVuczwvQXV0aG9yPjxZZWFyPjIwMTU8L1llYXI+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</w:fldData>
        </w:fldChar>
      </w:r>
      <w:r w:rsidRPr="00383E5D">
        <w:rPr>
          <w:rFonts w:ascii="Times New Roman" w:hAnsi="Times New Roman" w:cs="Times New Roman"/>
          <w:sz w:val="24"/>
          <w:szCs w:val="24"/>
        </w:rPr>
        <w:instrText xml:space="preserve"> ADDIN EN.CITE </w:instrText>
      </w:r>
      <w:r w:rsidRPr="00383E5D">
        <w:rPr>
          <w:rFonts w:ascii="Times New Roman" w:hAnsi="Times New Roman" w:cs="Times New Roman"/>
          <w:sz w:val="24"/>
          <w:szCs w:val="24"/>
        </w:rPr>
        <w:fldChar w:fldCharType="begin">
          <w:fldData xml:space="preserve">PEVuZE5vdGU+PENpdGU+PEF1dGhvcj5IdXRjaGVuczwvQXV0aG9yPjxZZWFyPjIwMTU8L1llYXI+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</w:fldData>
        </w:fldChar>
      </w:r>
      <w:r w:rsidRPr="00383E5D">
        <w:rPr>
          <w:rFonts w:ascii="Times New Roman" w:hAnsi="Times New Roman" w:cs="Times New Roman"/>
          <w:sz w:val="24"/>
          <w:szCs w:val="24"/>
        </w:rPr>
        <w:instrText xml:space="preserve"> ADDIN EN.CITE.DATA </w:instrText>
      </w:r>
      <w:r w:rsidRPr="00383E5D">
        <w:rPr>
          <w:rFonts w:ascii="Times New Roman" w:hAnsi="Times New Roman" w:cs="Times New Roman"/>
          <w:sz w:val="24"/>
          <w:szCs w:val="24"/>
        </w:rPr>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r>
      <w:r w:rsidRPr="00383E5D">
        <w:rPr>
          <w:rFonts w:ascii="Times New Roman" w:hAnsi="Times New Roman" w:cs="Times New Roman"/>
          <w:sz w:val="24"/>
          <w:szCs w:val="24"/>
        </w:rPr>
        <w:fldChar w:fldCharType="separate"/>
      </w:r>
      <w:r w:rsidRPr="00383E5D">
        <w:rPr>
          <w:rFonts w:ascii="Times New Roman" w:hAnsi="Times New Roman" w:cs="Times New Roman"/>
          <w:noProof/>
          <w:sz w:val="24"/>
          <w:szCs w:val="24"/>
        </w:rPr>
        <w:t>(Hutchens and Rego 2015; PwC 2015; EY 2014; Deloitte 2014; KPMG 2011)</w:t>
      </w:r>
      <w:r w:rsidRPr="00383E5D">
        <w:rPr>
          <w:rFonts w:ascii="Times New Roman" w:hAnsi="Times New Roman" w:cs="Times New Roman"/>
          <w:sz w:val="24"/>
          <w:szCs w:val="24"/>
        </w:rPr>
        <w:fldChar w:fldCharType="end"/>
      </w:r>
      <w:r w:rsidRPr="00383E5D">
        <w:rPr>
          <w:rFonts w:ascii="Times New Roman" w:hAnsi="Times New Roman" w:cs="Times New Roman"/>
          <w:sz w:val="24"/>
          <w:szCs w:val="24"/>
        </w:rPr>
        <w:t xml:space="preserve">.  Given the increased focus on tax risk and investor demand to reduce tax uncertainty, in additional cross-sectional analysis, I examine whether Schedule UTP impacts FIN 48 disclosure quality differently for high tax-risk firms </w:t>
      </w:r>
      <w:r>
        <w:rPr>
          <w:rFonts w:ascii="Times New Roman" w:hAnsi="Times New Roman" w:cs="Times New Roman"/>
          <w:sz w:val="24"/>
          <w:szCs w:val="24"/>
        </w:rPr>
        <w:t xml:space="preserve">and </w:t>
      </w:r>
      <w:r w:rsidRPr="00383E5D">
        <w:rPr>
          <w:rFonts w:ascii="Times New Roman" w:hAnsi="Times New Roman" w:cs="Times New Roman"/>
          <w:sz w:val="24"/>
          <w:szCs w:val="24"/>
        </w:rPr>
        <w:t xml:space="preserve">low tax-risk firms.  </w:t>
      </w:r>
    </w:p>
    <w:p w14:paraId="2A55E061"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Because investors negatively value tax risk, I expect that high task-risk firms to be more sensitive to changes in information asymmetry and as a consequence, would be less likely to decrease their disclosure quality following the adoption of Schedule UTP.  Thus, I expect that high tax-risk firms will maintain or increase disclosure quality in response to Schedule UTP.  However, I expect low tax-risk firms to face lower trade-off costs between reducing transparency to the IRS and increasing information asymmetry to investors.  </w:t>
      </w:r>
    </w:p>
    <w:p w14:paraId="3B8DC314"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Table 8, column 4 examines 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disclosure quality dependent variable while including a</w:t>
      </w:r>
      <w:r w:rsidRPr="00383E5D">
        <w:rPr>
          <w:rFonts w:ascii="Times New Roman" w:hAnsi="Times New Roman" w:cs="Times New Roman"/>
          <w:i/>
          <w:sz w:val="24"/>
          <w:szCs w:val="24"/>
        </w:rPr>
        <w:t xml:space="preserve"> TAX RISK</w:t>
      </w:r>
      <w:r w:rsidRPr="00383E5D">
        <w:rPr>
          <w:rFonts w:ascii="Times New Roman" w:hAnsi="Times New Roman" w:cs="Times New Roman"/>
          <w:sz w:val="24"/>
          <w:szCs w:val="24"/>
        </w:rPr>
        <w:t xml:space="preserve"> variable and an interaction of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and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sz w:val="24"/>
          <w:szCs w:val="24"/>
        </w:rPr>
        <w:t xml:space="preserve">.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is measured using the Guenther et al. (2016) measure of the standard deviation of annual cash ETRs measured over a five-year period (</w:t>
      </w:r>
      <w:r w:rsidRPr="00383E5D">
        <w:rPr>
          <w:rFonts w:ascii="Times New Roman" w:hAnsi="Times New Roman" w:cs="Times New Roman"/>
          <w:i/>
          <w:sz w:val="24"/>
          <w:szCs w:val="24"/>
        </w:rPr>
        <w:t>t</w:t>
      </w:r>
      <w:r w:rsidRPr="00383E5D">
        <w:rPr>
          <w:rFonts w:ascii="Times New Roman" w:hAnsi="Times New Roman" w:cs="Times New Roman"/>
          <w:sz w:val="24"/>
          <w:szCs w:val="24"/>
        </w:rPr>
        <w:t xml:space="preserve">-4 to </w:t>
      </w:r>
      <w:r w:rsidRPr="00383E5D">
        <w:rPr>
          <w:rFonts w:ascii="Times New Roman" w:hAnsi="Times New Roman" w:cs="Times New Roman"/>
          <w:i/>
          <w:sz w:val="24"/>
          <w:szCs w:val="24"/>
        </w:rPr>
        <w:t>t</w:t>
      </w:r>
      <w:r w:rsidRPr="00383E5D">
        <w:rPr>
          <w:rFonts w:ascii="Times New Roman" w:hAnsi="Times New Roman" w:cs="Times New Roman"/>
          <w:sz w:val="24"/>
          <w:szCs w:val="24"/>
        </w:rPr>
        <w:t xml:space="preserve">).  The finding that firms provide lower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of FIN 48 disclosures following IRS Schedule UTP adoption is consistent with Table 4 for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sz w:val="24"/>
          <w:szCs w:val="24"/>
        </w:rPr>
        <w:t xml:space="preserve">.  The TAX RISK variable is negative and marginally significant.  However, the interaction of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and </w:t>
      </w:r>
      <w:proofErr w:type="spellStart"/>
      <w:r w:rsidRPr="00383E5D">
        <w:rPr>
          <w:rFonts w:ascii="Times New Roman" w:hAnsi="Times New Roman" w:cs="Times New Roman"/>
          <w:i/>
          <w:sz w:val="24"/>
          <w:szCs w:val="24"/>
        </w:rPr>
        <w:t>SchUTP</w:t>
      </w:r>
      <w:proofErr w:type="spellEnd"/>
      <w:r w:rsidRPr="00383E5D">
        <w:rPr>
          <w:rFonts w:ascii="Times New Roman" w:hAnsi="Times New Roman" w:cs="Times New Roman"/>
          <w:sz w:val="24"/>
          <w:szCs w:val="24"/>
        </w:rPr>
        <w:t xml:space="preserve"> is positive and insignificant.  In columns 5 and 6, I bifurcate the sample into above-the-median and below-the-median measures of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It would be most detrimental to high TAX RISK firms to increase information asymmetry by not providing necessary information to reduce investor uncertainty surrounding the magnitude and sustainability of uncertain tax positions and future tax cash flow.  Column </w:t>
      </w:r>
      <w:r>
        <w:rPr>
          <w:rFonts w:ascii="Times New Roman" w:hAnsi="Times New Roman" w:cs="Times New Roman"/>
          <w:sz w:val="24"/>
          <w:szCs w:val="24"/>
        </w:rPr>
        <w:t>5</w:t>
      </w:r>
      <w:r w:rsidRPr="00383E5D">
        <w:rPr>
          <w:rFonts w:ascii="Times New Roman" w:hAnsi="Times New Roman" w:cs="Times New Roman"/>
          <w:sz w:val="24"/>
          <w:szCs w:val="24"/>
        </w:rPr>
        <w:t xml:space="preserve"> results suggest that high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firms do not change the </w:t>
      </w:r>
      <w:r w:rsidRPr="00383E5D">
        <w:rPr>
          <w:rFonts w:ascii="Times New Roman" w:hAnsi="Times New Roman" w:cs="Times New Roman"/>
          <w:i/>
          <w:sz w:val="24"/>
          <w:szCs w:val="24"/>
        </w:rPr>
        <w:t>CLARITY</w:t>
      </w:r>
      <w:r w:rsidRPr="00383E5D">
        <w:rPr>
          <w:rFonts w:ascii="Times New Roman" w:hAnsi="Times New Roman" w:cs="Times New Roman"/>
          <w:sz w:val="24"/>
          <w:szCs w:val="24"/>
        </w:rPr>
        <w:t xml:space="preserve"> of FIN 48 disclosures following Schedule UTP adoption.  In contrast, the column </w:t>
      </w:r>
      <w:r>
        <w:rPr>
          <w:rFonts w:ascii="Times New Roman" w:hAnsi="Times New Roman" w:cs="Times New Roman"/>
          <w:sz w:val="24"/>
          <w:szCs w:val="24"/>
        </w:rPr>
        <w:t>6</w:t>
      </w:r>
      <w:r w:rsidRPr="00383E5D">
        <w:rPr>
          <w:rFonts w:ascii="Times New Roman" w:hAnsi="Times New Roman" w:cs="Times New Roman"/>
          <w:sz w:val="24"/>
          <w:szCs w:val="24"/>
        </w:rPr>
        <w:t xml:space="preserve"> results are negative and highly significant for below-the-median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firms.  This suggests that low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firms are less concerned with reducing investor information asymmetry and more concerned with reducing transparency to the IRS.  This finding is interesting considering recent literature that examines the implications of </w:t>
      </w:r>
      <w:r w:rsidRPr="00383E5D">
        <w:rPr>
          <w:rFonts w:ascii="Times New Roman" w:hAnsi="Times New Roman" w:cs="Times New Roman"/>
          <w:i/>
          <w:sz w:val="24"/>
          <w:szCs w:val="24"/>
        </w:rPr>
        <w:t>TAX RISK</w:t>
      </w:r>
      <w:r w:rsidRPr="00383E5D">
        <w:rPr>
          <w:rFonts w:ascii="Times New Roman" w:hAnsi="Times New Roman" w:cs="Times New Roman"/>
          <w:sz w:val="24"/>
          <w:szCs w:val="24"/>
        </w:rPr>
        <w:t xml:space="preserve">.  It also indicates that certain firms are more inclined to reduce tax disclosure quality in response to increased tax return reporting requirements.  Multiplying the </w:t>
      </w:r>
      <w:proofErr w:type="spellStart"/>
      <w:r w:rsidRPr="00ED0D7B">
        <w:rPr>
          <w:rFonts w:ascii="Times New Roman" w:hAnsi="Times New Roman" w:cs="Times New Roman"/>
          <w:i/>
          <w:sz w:val="24"/>
          <w:szCs w:val="24"/>
        </w:rPr>
        <w:t>SchUTP</w:t>
      </w:r>
      <w:proofErr w:type="spellEnd"/>
      <w:r>
        <w:rPr>
          <w:rFonts w:ascii="Times New Roman" w:hAnsi="Times New Roman" w:cs="Times New Roman"/>
          <w:sz w:val="24"/>
          <w:szCs w:val="24"/>
        </w:rPr>
        <w:t xml:space="preserve"> </w:t>
      </w:r>
      <w:r w:rsidRPr="00383E5D">
        <w:rPr>
          <w:rFonts w:ascii="Times New Roman" w:hAnsi="Times New Roman" w:cs="Times New Roman"/>
          <w:sz w:val="24"/>
          <w:szCs w:val="24"/>
        </w:rPr>
        <w:t>coefficient -.164 by the standard deviation of .73 provides an economic significance of twelve percent.  Firms with low tax risk have twelve percent lower discretionary FIN 48 disclosure quality following the adoption of IRS Schedule UTP.</w:t>
      </w:r>
    </w:p>
    <w:p w14:paraId="4881A7F0" w14:textId="77777777" w:rsidR="00340A0A" w:rsidRPr="00383E5D" w:rsidRDefault="00340A0A" w:rsidP="00340A0A">
      <w:pPr>
        <w:spacing w:after="0" w:line="480" w:lineRule="auto"/>
        <w:jc w:val="both"/>
        <w:rPr>
          <w:rFonts w:ascii="Times New Roman" w:hAnsi="Times New Roman" w:cs="Times New Roman"/>
          <w:sz w:val="24"/>
          <w:szCs w:val="24"/>
        </w:rPr>
      </w:pPr>
      <w:r w:rsidRPr="00383E5D">
        <w:rPr>
          <w:rFonts w:ascii="Times New Roman" w:hAnsi="Times New Roman" w:cs="Times New Roman"/>
          <w:b/>
          <w:sz w:val="24"/>
          <w:szCs w:val="24"/>
        </w:rPr>
        <w:tab/>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find that firms increase their volume of tax footnote disclosure following the adoption of IRS Schedule UTP.  To test whether my results are consistent with the findings </w:t>
      </w:r>
      <w:r>
        <w:rPr>
          <w:rFonts w:ascii="Times New Roman" w:hAnsi="Times New Roman" w:cs="Times New Roman"/>
          <w:sz w:val="24"/>
          <w:szCs w:val="24"/>
        </w:rPr>
        <w:t>from</w:t>
      </w:r>
      <w:r w:rsidRPr="00383E5D">
        <w:rPr>
          <w:rFonts w:ascii="Times New Roman" w:hAnsi="Times New Roman" w:cs="Times New Roman"/>
          <w:sz w:val="24"/>
          <w:szCs w:val="24"/>
        </w:rPr>
        <w:t xml:space="preserve"> prior literature, I test whether firms disclose more years in their tabular reconciliations following Schedule UTP adoption using an ordered logit regression with where the dependent variable is the number of years that a firm includes in its tabular reconciliation of FIN 48 reserves.  In </w:t>
      </w:r>
      <w:proofErr w:type="spellStart"/>
      <w:r w:rsidRPr="00383E5D">
        <w:rPr>
          <w:rFonts w:ascii="Times New Roman" w:hAnsi="Times New Roman" w:cs="Times New Roman"/>
          <w:sz w:val="24"/>
          <w:szCs w:val="24"/>
        </w:rPr>
        <w:t>untabulated</w:t>
      </w:r>
      <w:proofErr w:type="spellEnd"/>
      <w:r w:rsidRPr="00383E5D">
        <w:rPr>
          <w:rFonts w:ascii="Times New Roman" w:hAnsi="Times New Roman" w:cs="Times New Roman"/>
          <w:sz w:val="24"/>
          <w:szCs w:val="24"/>
        </w:rPr>
        <w:t xml:space="preserve"> results, I that firms are more likely to disclose more prior years of data following the adoption of Schedule UTP.  The economic significance of the coefficient on the indicator variable for Schedule UTP shows that firms are 10% more likely to include disclose an extra year following the adoption of Schedule UTP.  Review of data shows that the firms that started disclosing an extra year of data in 2010 could have also disclosed three years in 2009, but did not.  </w:t>
      </w:r>
      <w:r>
        <w:rPr>
          <w:rFonts w:ascii="Times New Roman" w:hAnsi="Times New Roman" w:cs="Times New Roman"/>
          <w:sz w:val="24"/>
          <w:szCs w:val="24"/>
        </w:rPr>
        <w:t>Furthermore</w:t>
      </w:r>
      <w:r w:rsidRPr="00383E5D">
        <w:rPr>
          <w:rFonts w:ascii="Times New Roman" w:hAnsi="Times New Roman" w:cs="Times New Roman"/>
          <w:sz w:val="24"/>
          <w:szCs w:val="24"/>
        </w:rPr>
        <w:t>, in preliminary data collection for a sample of firms with less than $100 million in assets and thus not subject to Schedule UT</w:t>
      </w:r>
      <w:r>
        <w:rPr>
          <w:rFonts w:ascii="Times New Roman" w:hAnsi="Times New Roman" w:cs="Times New Roman"/>
          <w:sz w:val="24"/>
          <w:szCs w:val="24"/>
        </w:rPr>
        <w:t>P</w:t>
      </w:r>
      <w:r w:rsidRPr="00383E5D">
        <w:rPr>
          <w:rFonts w:ascii="Times New Roman" w:hAnsi="Times New Roman" w:cs="Times New Roman"/>
          <w:sz w:val="24"/>
          <w:szCs w:val="24"/>
        </w:rPr>
        <w:t xml:space="preserve"> in 2010, I find zero observations of firms increasing the number of prior </w:t>
      </w:r>
      <w:proofErr w:type="spellStart"/>
      <w:r w:rsidRPr="00383E5D">
        <w:rPr>
          <w:rFonts w:ascii="Times New Roman" w:hAnsi="Times New Roman" w:cs="Times New Roman"/>
          <w:sz w:val="24"/>
          <w:szCs w:val="24"/>
        </w:rPr>
        <w:t>years</w:t>
      </w:r>
      <w:proofErr w:type="spellEnd"/>
      <w:r w:rsidRPr="00383E5D">
        <w:rPr>
          <w:rFonts w:ascii="Times New Roman" w:hAnsi="Times New Roman" w:cs="Times New Roman"/>
          <w:sz w:val="24"/>
          <w:szCs w:val="24"/>
        </w:rPr>
        <w:t xml:space="preserve"> included in their FIN 48 tabular reconciliation and disclosure discussion.  This finding gives me reasonable comfort that my results are consistent with the measures of disclosure volume captured in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My results do not contradict </w:t>
      </w:r>
      <w:proofErr w:type="spellStart"/>
      <w:r w:rsidRPr="00383E5D">
        <w:rPr>
          <w:rFonts w:ascii="Times New Roman" w:hAnsi="Times New Roman" w:cs="Times New Roman"/>
          <w:sz w:val="24"/>
          <w:szCs w:val="24"/>
        </w:rPr>
        <w:t>Bozanic</w:t>
      </w:r>
      <w:proofErr w:type="spellEnd"/>
      <w:r w:rsidRPr="00383E5D">
        <w:rPr>
          <w:rFonts w:ascii="Times New Roman" w:hAnsi="Times New Roman" w:cs="Times New Roman"/>
          <w:sz w:val="24"/>
          <w:szCs w:val="24"/>
        </w:rPr>
        <w:t xml:space="preserve"> et al. (2017), but rather provide additional insight into the findings of that study.  </w:t>
      </w:r>
    </w:p>
    <w:p w14:paraId="79D5AAFD" w14:textId="77777777" w:rsidR="00340A0A" w:rsidRPr="00383E5D" w:rsidRDefault="00340A0A" w:rsidP="00340A0A">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Robustness</w:t>
      </w:r>
    </w:p>
    <w:p w14:paraId="150D9E07"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It is also possible that my results are driven by overall disclosure quality.  To address this concern, I include the Chen, Miao and Shevlin (2015) measure to conduct additional analyses to control for the firm’s overall disclosure quality.  This measure captures the ‘fineness’ of financial information, as reflected in the level of disaggregation of accounting data items in the financial statements.  This measure of disclosure quality is appropriate because it captures a firm’s propensity to disclose more detailed financial information.  Table 9 reports the results of the model presented in Table 5 when including the Chen et al. 2015 disclosure quality variable. My main results are unaffected.  Thus, it appears that the FIN 48 disclosure quality that I examine in this study is distinct from overall disclosure quality.</w:t>
      </w:r>
    </w:p>
    <w:p w14:paraId="57F5C50C" w14:textId="77777777" w:rsidR="005E2686" w:rsidRDefault="005E2686">
      <w:pPr>
        <w:rPr>
          <w:rFonts w:ascii="Times New Roman" w:hAnsi="Times New Roman" w:cs="Times New Roman"/>
          <w:b/>
          <w:sz w:val="24"/>
          <w:szCs w:val="24"/>
        </w:rPr>
      </w:pPr>
      <w:r>
        <w:rPr>
          <w:rFonts w:ascii="Times New Roman" w:hAnsi="Times New Roman" w:cs="Times New Roman"/>
          <w:b/>
          <w:sz w:val="24"/>
          <w:szCs w:val="24"/>
        </w:rPr>
        <w:br w:type="page"/>
      </w:r>
    </w:p>
    <w:p w14:paraId="76318852" w14:textId="2CDDE70E" w:rsidR="00E118B3" w:rsidRPr="00383E5D" w:rsidRDefault="00E118B3" w:rsidP="00E118B3">
      <w:pPr>
        <w:spacing w:after="0" w:line="480" w:lineRule="auto"/>
        <w:jc w:val="both"/>
        <w:rPr>
          <w:rFonts w:ascii="Times New Roman" w:hAnsi="Times New Roman" w:cs="Times New Roman"/>
          <w:b/>
          <w:sz w:val="24"/>
          <w:szCs w:val="24"/>
        </w:rPr>
      </w:pPr>
      <w:r w:rsidRPr="00383E5D">
        <w:rPr>
          <w:rFonts w:ascii="Times New Roman" w:hAnsi="Times New Roman" w:cs="Times New Roman"/>
          <w:b/>
          <w:sz w:val="24"/>
          <w:szCs w:val="24"/>
        </w:rPr>
        <w:t>VII. Conclusion</w:t>
      </w:r>
    </w:p>
    <w:p w14:paraId="2FDFA683"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 xml:space="preserve">Using the 2010 introduction of IRS Schedule UTP, I provide evidence of an association between increased tax return reporting requirements and reduced FIN 48 disclosure quality.  I find that firms respond to heightened proprietary costs of increased tax return reporting by reducing discretionary FIN 48 disclosures to provide less incremental information.  </w:t>
      </w:r>
      <w:r>
        <w:rPr>
          <w:rFonts w:ascii="Times New Roman" w:hAnsi="Times New Roman" w:cs="Times New Roman"/>
          <w:sz w:val="24"/>
          <w:szCs w:val="24"/>
        </w:rPr>
        <w:t>Additionally</w:t>
      </w:r>
      <w:r w:rsidRPr="00383E5D">
        <w:rPr>
          <w:rFonts w:ascii="Times New Roman" w:hAnsi="Times New Roman" w:cs="Times New Roman"/>
          <w:sz w:val="24"/>
          <w:szCs w:val="24"/>
        </w:rPr>
        <w:t xml:space="preserve">, my hand-collected sample enables me to identify the individual components of FIN 48 disclosures that change in response to Schedule UTP.  In addition to finding that firms reduce the information content of public tax disclosures in response to increased private tax disclosure to the IRS, I identify the mechanisms by which firms reduce disclosure quality.  </w:t>
      </w:r>
      <w:r>
        <w:rPr>
          <w:rFonts w:ascii="Times New Roman" w:hAnsi="Times New Roman" w:cs="Times New Roman"/>
          <w:sz w:val="24"/>
          <w:szCs w:val="24"/>
        </w:rPr>
        <w:t>Furthermore, my study provides insight that reconciles findings from prior literature examining the impact of IRS Schedule UTP documenting increased FIN 48 reserves and increased FIN 48 disclosure volume.</w:t>
      </w:r>
    </w:p>
    <w:p w14:paraId="3203C29D" w14:textId="77777777" w:rsidR="00340A0A" w:rsidRPr="00383E5D" w:rsidRDefault="00340A0A" w:rsidP="00340A0A">
      <w:pPr>
        <w:spacing w:after="0" w:line="480" w:lineRule="auto"/>
        <w:ind w:firstLine="720"/>
        <w:jc w:val="both"/>
        <w:rPr>
          <w:rFonts w:ascii="Times New Roman" w:hAnsi="Times New Roman" w:cs="Times New Roman"/>
          <w:sz w:val="24"/>
          <w:szCs w:val="24"/>
        </w:rPr>
      </w:pPr>
      <w:r w:rsidRPr="00383E5D">
        <w:rPr>
          <w:rFonts w:ascii="Times New Roman" w:hAnsi="Times New Roman" w:cs="Times New Roman"/>
          <w:sz w:val="24"/>
          <w:szCs w:val="24"/>
        </w:rPr>
        <w:t>Whether FIN 48 disclosures are ultimately useful to the IRS in its audit process is uncertain.  However, my results indicate that there is less information available to users of the financial statements because of the way firms respond to increased tax reporting requirements in Schedule UTP.  Thus, I contribute to the literature on the consequences of changes in tax reporting requirements by identifying the unintended consequence of firms providing reduced financial statement tax disclosure quality in response to increased tax return reporting.  My findings indicate that it is necessary to consider that increased tax return reporting, in addition to affecting financial reporting decisions, is also associated with a contemporaneous change in the disclosure quality related to those financial reporting items.  In addition to being concerned with whether the financial reporting numbers change, my study highlights that regulators, practitioners, and other stakeholders should also be concerned with how disclosure about the numbers changes in response to increased tax return reporting.  This implication is important as the FASB and IASB are currently considering international standards for tax contingency reporting.  My results suggest that it is necessary to further consider how increased private tax disclosure and firm discretion in public tax disclosure have the potential to reduce public tax disclosure quality.</w:t>
      </w:r>
    </w:p>
    <w:p w14:paraId="3C652723" w14:textId="6E4E3325" w:rsidR="00C03A46" w:rsidRPr="009A14DA" w:rsidRDefault="00E118B3" w:rsidP="00E118B3">
      <w:pPr>
        <w:pStyle w:val="BodyText"/>
        <w:spacing w:before="68" w:line="480" w:lineRule="auto"/>
        <w:ind w:left="90" w:firstLine="475"/>
        <w:rPr>
          <w:rFonts w:cs="Times New Roman"/>
          <w:b/>
          <w:i/>
          <w:sz w:val="24"/>
          <w:szCs w:val="24"/>
        </w:rPr>
      </w:pPr>
      <w:r w:rsidRPr="00331E66">
        <w:rPr>
          <w:rFonts w:cs="Times New Roman"/>
          <w:b/>
          <w:sz w:val="24"/>
          <w:szCs w:val="24"/>
        </w:rPr>
        <w:br w:type="page"/>
      </w:r>
    </w:p>
    <w:p w14:paraId="11EA9E9C" w14:textId="77777777" w:rsidR="00624EE6" w:rsidRPr="00331E66" w:rsidRDefault="00624EE6" w:rsidP="00624EE6">
      <w:pPr>
        <w:pStyle w:val="EndNoteBibliography"/>
        <w:spacing w:after="0"/>
        <w:ind w:left="720" w:hanging="720"/>
        <w:jc w:val="center"/>
        <w:rPr>
          <w:b/>
          <w:szCs w:val="24"/>
        </w:rPr>
      </w:pPr>
      <w:r w:rsidRPr="00331E66">
        <w:rPr>
          <w:b/>
          <w:szCs w:val="24"/>
        </w:rPr>
        <w:t>References</w:t>
      </w:r>
    </w:p>
    <w:p w14:paraId="3691E45B" w14:textId="77777777" w:rsidR="00624EE6" w:rsidRDefault="00624EE6" w:rsidP="00624EE6">
      <w:pPr>
        <w:jc w:val="center"/>
        <w:rPr>
          <w:rFonts w:ascii="Times New Roman" w:hAnsi="Times New Roman" w:cs="Times New Roman"/>
          <w:noProof/>
          <w:sz w:val="24"/>
          <w:szCs w:val="24"/>
        </w:rPr>
      </w:pPr>
      <w:r>
        <w:rPr>
          <w:szCs w:val="24"/>
        </w:rPr>
        <w:br w:type="page"/>
      </w:r>
    </w:p>
    <w:p w14:paraId="54DF5E1A" w14:textId="5AC79AFE" w:rsidR="00C00E52" w:rsidRPr="00331E66" w:rsidRDefault="00C00E52" w:rsidP="00C00E52">
      <w:pPr>
        <w:pStyle w:val="EndNoteBibliography"/>
        <w:spacing w:after="0"/>
        <w:ind w:left="720" w:hanging="720"/>
        <w:jc w:val="both"/>
      </w:pPr>
      <w:r w:rsidRPr="00331E66">
        <w:rPr>
          <w:szCs w:val="24"/>
        </w:rPr>
        <w:fldChar w:fldCharType="begin"/>
      </w:r>
      <w:r w:rsidRPr="00331E66">
        <w:rPr>
          <w:szCs w:val="24"/>
        </w:rPr>
        <w:instrText xml:space="preserve"> ADDIN EN.REFLIST </w:instrText>
      </w:r>
      <w:r w:rsidRPr="00331E66">
        <w:rPr>
          <w:szCs w:val="24"/>
        </w:rPr>
        <w:fldChar w:fldCharType="separate"/>
      </w:r>
      <w:r w:rsidRPr="00331E66">
        <w:t>Abernathy, J. L., B. Beyer, A. Gross, and E. T. Rapley. 2014. Income Statement Reporting Discretion Allowed by FIN 48: Interest and Penalty Expense Classification. Kennesaw State University, Virginia Tech, Southern Illinois University, and University of North Texas working paper.</w:t>
      </w:r>
    </w:p>
    <w:p w14:paraId="1829F46C" w14:textId="77777777" w:rsidR="00C00E52" w:rsidRPr="00331E66" w:rsidRDefault="00C00E52" w:rsidP="00C00E52">
      <w:pPr>
        <w:pStyle w:val="EndNoteBibliography"/>
        <w:spacing w:after="0"/>
        <w:ind w:left="720" w:hanging="720"/>
        <w:jc w:val="both"/>
      </w:pPr>
      <w:r w:rsidRPr="00331E66">
        <w:t xml:space="preserve">Abernathy, J. L., S. A. Davenport, and E. T. Rapley. 2013. Schedule UTP: Stock price reaction and economic consequences. </w:t>
      </w:r>
      <w:r w:rsidRPr="00331E66">
        <w:rPr>
          <w:i/>
        </w:rPr>
        <w:t>The Journal of the American Taxation Association</w:t>
      </w:r>
      <w:r w:rsidRPr="00331E66">
        <w:t xml:space="preserve"> 35 (1):25-48.</w:t>
      </w:r>
    </w:p>
    <w:p w14:paraId="1C929912" w14:textId="77777777" w:rsidR="00C00E52" w:rsidRPr="00331E66" w:rsidRDefault="00C00E52" w:rsidP="00C00E52">
      <w:pPr>
        <w:pStyle w:val="EndNoteBibliography"/>
        <w:spacing w:after="0"/>
        <w:ind w:left="720" w:hanging="720"/>
        <w:jc w:val="both"/>
      </w:pPr>
      <w:r w:rsidRPr="00331E66">
        <w:t>Akamah, H., O.K. Hope, and W. B. Thomas. 2014. Tax Havens and Disclosure Aggregation.  University of Nebraska at Lincoln, University of Toronto, and University of Oklahoma working paper.</w:t>
      </w:r>
    </w:p>
    <w:p w14:paraId="3F07061B" w14:textId="77777777" w:rsidR="00C00E52" w:rsidRPr="00331E66" w:rsidRDefault="00C00E52" w:rsidP="00C00E52">
      <w:pPr>
        <w:pStyle w:val="EndNoteBibliography"/>
        <w:spacing w:after="0"/>
        <w:ind w:left="720" w:hanging="720"/>
        <w:jc w:val="both"/>
      </w:pPr>
      <w:r w:rsidRPr="00331E66">
        <w:t>Balakrishnan, K., J. Blouin, and W. Guay. 2014. Does tax aggressiveness reduce financial reporting transparency. London Business School and  University of Pennsylvania working paper.</w:t>
      </w:r>
    </w:p>
    <w:p w14:paraId="0B8206FD" w14:textId="77777777" w:rsidR="00C00E52" w:rsidRPr="00331E66" w:rsidRDefault="00C00E52" w:rsidP="00C00E52">
      <w:pPr>
        <w:pStyle w:val="EndNoteBibliography"/>
        <w:spacing w:after="0"/>
        <w:ind w:left="720" w:hanging="720"/>
        <w:jc w:val="both"/>
      </w:pPr>
      <w:r w:rsidRPr="00331E66">
        <w:t xml:space="preserve">Banker, R. and Datar, Srikant. 1989. Sensitivity, Precision, and Linear Aggregation of Signals for Performance Evaluation. </w:t>
      </w:r>
      <w:r w:rsidRPr="00331E66">
        <w:rPr>
          <w:i/>
        </w:rPr>
        <w:t>Journal of Accounting Research</w:t>
      </w:r>
      <w:r w:rsidRPr="00331E66">
        <w:t xml:space="preserve"> 27 (1):21-39.</w:t>
      </w:r>
    </w:p>
    <w:p w14:paraId="1652CED6" w14:textId="77777777" w:rsidR="00C00E52" w:rsidRPr="00331E66" w:rsidRDefault="00C00E52" w:rsidP="00C00E52">
      <w:pPr>
        <w:pStyle w:val="EndNoteBibliography"/>
        <w:spacing w:after="0"/>
        <w:ind w:left="720" w:hanging="720"/>
        <w:jc w:val="both"/>
      </w:pPr>
      <w:r w:rsidRPr="00331E66">
        <w:t>Bauer, A. M., and K. J. Klassen. 2014. Tax Risk as the Likelihood of an Unfavorable Settlement with Tax Authorities. University of Illinois and The University of Waterloo working paper.</w:t>
      </w:r>
    </w:p>
    <w:p w14:paraId="01D5A0B1" w14:textId="77777777" w:rsidR="00C00E52" w:rsidRPr="00331E66" w:rsidRDefault="00C00E52" w:rsidP="00C00E52">
      <w:pPr>
        <w:pStyle w:val="EndNoteBibliography"/>
        <w:spacing w:after="0"/>
        <w:ind w:left="720" w:hanging="720"/>
        <w:jc w:val="both"/>
      </w:pPr>
      <w:r w:rsidRPr="00331E66">
        <w:t xml:space="preserve">Beyer, A., D. A. Cohen, T. Z. Lys, and B. R. Walther. 2010. The financial reporting environment: Review of the recent literature. </w:t>
      </w:r>
      <w:r w:rsidRPr="00331E66">
        <w:rPr>
          <w:i/>
        </w:rPr>
        <w:t>Journal of Accounting &amp; Economics</w:t>
      </w:r>
      <w:r w:rsidRPr="00331E66">
        <w:t xml:space="preserve"> 50 (2-3):296-343.</w:t>
      </w:r>
    </w:p>
    <w:p w14:paraId="7B825B92" w14:textId="77777777" w:rsidR="00C00E52" w:rsidRPr="00331E66" w:rsidRDefault="00C00E52" w:rsidP="00C00E52">
      <w:pPr>
        <w:pStyle w:val="EndNoteBibliography"/>
        <w:spacing w:after="0"/>
        <w:ind w:left="720" w:hanging="720"/>
        <w:jc w:val="both"/>
      </w:pPr>
      <w:r w:rsidRPr="00331E66">
        <w:t xml:space="preserve">Bhorjraj, S., W. G. Blacconiere, and J. D. D'souza. 2004. Voluntary Disclosure in a Multi-Audience Setting: An Empirical Investigation. </w:t>
      </w:r>
      <w:r w:rsidRPr="00331E66">
        <w:rPr>
          <w:i/>
        </w:rPr>
        <w:t>The Accounting Review</w:t>
      </w:r>
      <w:r w:rsidRPr="00331E66">
        <w:t xml:space="preserve"> 79 (4):921-947.</w:t>
      </w:r>
    </w:p>
    <w:p w14:paraId="52FFF5DD" w14:textId="77777777" w:rsidR="00C00E52" w:rsidRPr="00331E66" w:rsidRDefault="00C00E52" w:rsidP="00C00E52">
      <w:pPr>
        <w:pStyle w:val="EndNoteBibliography"/>
        <w:spacing w:after="0"/>
        <w:ind w:left="720" w:hanging="720"/>
        <w:jc w:val="both"/>
      </w:pPr>
      <w:r w:rsidRPr="00331E66">
        <w:t xml:space="preserve">Bhushan, R. 1989. Firm characteristics and analyst following. </w:t>
      </w:r>
      <w:r w:rsidRPr="00331E66">
        <w:rPr>
          <w:i/>
        </w:rPr>
        <w:t>Journal of Accounting and Economics</w:t>
      </w:r>
      <w:r w:rsidRPr="00331E66">
        <w:t xml:space="preserve"> 11 (2/ 3): 255–274.</w:t>
      </w:r>
    </w:p>
    <w:p w14:paraId="4087F993" w14:textId="77777777" w:rsidR="00C00E52" w:rsidRPr="00331E66" w:rsidRDefault="00C00E52" w:rsidP="00C00E52">
      <w:pPr>
        <w:pStyle w:val="EndNoteBibliography"/>
        <w:spacing w:after="0"/>
        <w:ind w:left="720" w:hanging="720"/>
        <w:jc w:val="both"/>
      </w:pPr>
      <w:r w:rsidRPr="00331E66">
        <w:t xml:space="preserve">Blouin, J., Gleason, C., Mills, L. and Sikes, S., 2007. What can we learn about uncertain tax benefits from FIN 48?. </w:t>
      </w:r>
      <w:r w:rsidRPr="00331E66">
        <w:rPr>
          <w:i/>
        </w:rPr>
        <w:t>National Tax Journal</w:t>
      </w:r>
      <w:r w:rsidRPr="00331E66">
        <w:t>, pp.521-535</w:t>
      </w:r>
    </w:p>
    <w:p w14:paraId="3B7E5186" w14:textId="77777777" w:rsidR="00C00E52" w:rsidRPr="00331E66" w:rsidRDefault="00C00E52" w:rsidP="00C00E52">
      <w:pPr>
        <w:pStyle w:val="EndNoteBibliography"/>
        <w:spacing w:after="0"/>
        <w:ind w:left="720" w:hanging="720"/>
        <w:jc w:val="both"/>
      </w:pPr>
      <w:r w:rsidRPr="00331E66">
        <w:t xml:space="preserve">Blouin, J. L., and L. A. Robinson. 2011. Academic Research on FIN 48: What Have We Learned? </w:t>
      </w:r>
      <w:r w:rsidRPr="00331E66">
        <w:rPr>
          <w:i/>
        </w:rPr>
        <w:t>Prepared for the Financial Accounting Foundations’ Post-Implementation Review of Financial Accounting Standards Board Interpretation</w:t>
      </w:r>
      <w:r w:rsidRPr="00331E66">
        <w:t xml:space="preserve"> (48).</w:t>
      </w:r>
    </w:p>
    <w:p w14:paraId="780A4257" w14:textId="77777777" w:rsidR="00C00E52" w:rsidRPr="00331E66" w:rsidRDefault="00C00E52" w:rsidP="00C00E52">
      <w:pPr>
        <w:pStyle w:val="EndNoteBibliography"/>
        <w:spacing w:after="0"/>
        <w:ind w:left="720" w:hanging="720"/>
        <w:jc w:val="both"/>
      </w:pPr>
      <w:r w:rsidRPr="00331E66">
        <w:t xml:space="preserve">———. 2014. Insights from Academic Participation in the FAF's Initial PIR: The PIR of FIN 48. </w:t>
      </w:r>
      <w:r w:rsidRPr="00331E66">
        <w:rPr>
          <w:i/>
        </w:rPr>
        <w:t>Accounting Horizons</w:t>
      </w:r>
      <w:r w:rsidRPr="00331E66">
        <w:t xml:space="preserve"> 28 (3):479-500.</w:t>
      </w:r>
    </w:p>
    <w:p w14:paraId="3C9FFA71" w14:textId="77777777" w:rsidR="00C00E52" w:rsidRPr="00331E66" w:rsidRDefault="00C00E52" w:rsidP="00C00E52">
      <w:pPr>
        <w:pStyle w:val="EndNoteBibliography"/>
        <w:spacing w:after="0"/>
        <w:ind w:left="720" w:hanging="720"/>
        <w:jc w:val="both"/>
      </w:pPr>
      <w:r w:rsidRPr="00331E66">
        <w:t xml:space="preserve">Botosan, C. A. 1997. Disclosure level and the cost of equity capital. </w:t>
      </w:r>
      <w:r w:rsidRPr="00331E66">
        <w:rPr>
          <w:i/>
        </w:rPr>
        <w:t>The Accounting Review 72 (3)</w:t>
      </w:r>
      <w:r w:rsidRPr="00331E66">
        <w:t>:323-349.</w:t>
      </w:r>
    </w:p>
    <w:p w14:paraId="60579E2F" w14:textId="77777777" w:rsidR="00C00E52" w:rsidRPr="00331E66" w:rsidRDefault="00C00E52" w:rsidP="00C00E52">
      <w:pPr>
        <w:pStyle w:val="EndNoteBibliography"/>
        <w:spacing w:after="0"/>
        <w:ind w:left="720" w:hanging="720"/>
        <w:jc w:val="both"/>
      </w:pPr>
      <w:r w:rsidRPr="00331E66">
        <w:t xml:space="preserve">Botosan, C. A., and M. A. Plumlee. 2002. A re‐examination of disclosure level and the expected cost of equity capital. </w:t>
      </w:r>
      <w:r w:rsidRPr="00331E66">
        <w:rPr>
          <w:i/>
        </w:rPr>
        <w:t>Journal of Accounting Research</w:t>
      </w:r>
      <w:r w:rsidRPr="00331E66">
        <w:t xml:space="preserve"> 40 (1):21-40.</w:t>
      </w:r>
    </w:p>
    <w:p w14:paraId="1C5C68D0" w14:textId="77777777" w:rsidR="00C00E52" w:rsidRPr="00331E66" w:rsidRDefault="00C00E52" w:rsidP="00C00E52">
      <w:pPr>
        <w:pStyle w:val="EndNoteBibliography"/>
        <w:spacing w:after="0"/>
        <w:ind w:left="720" w:hanging="720"/>
        <w:jc w:val="both"/>
      </w:pPr>
      <w:r w:rsidRPr="00331E66">
        <w:t xml:space="preserve">Boynton, C. E., P. S. Dobbins, and G. A. Plesko. 1992. Earnings management and the corporate alternative minimum tax. </w:t>
      </w:r>
      <w:r w:rsidRPr="00331E66">
        <w:rPr>
          <w:i/>
        </w:rPr>
        <w:t>Journal of Accounting Research</w:t>
      </w:r>
      <w:r w:rsidRPr="00331E66">
        <w:t>:131-153.</w:t>
      </w:r>
    </w:p>
    <w:p w14:paraId="202DB115" w14:textId="77777777" w:rsidR="00C00E52" w:rsidRPr="00331E66" w:rsidRDefault="00C00E52" w:rsidP="00C00E52">
      <w:pPr>
        <w:pStyle w:val="EndNoteBibliography"/>
        <w:spacing w:after="0"/>
        <w:ind w:left="720" w:hanging="720"/>
        <w:jc w:val="both"/>
      </w:pPr>
      <w:r w:rsidRPr="00331E66">
        <w:t>Bozanic, Z., J. Hoopes, J. Thornock, and B. Williams. 2015. IRS Attention.</w:t>
      </w:r>
      <w:r w:rsidRPr="00331E66">
        <w:rPr>
          <w:i/>
        </w:rPr>
        <w:t xml:space="preserve"> </w:t>
      </w:r>
      <w:r w:rsidRPr="00331E66">
        <w:t>Ohio State University, University of North Carolina, Brigham Young University, and University of Texas at Austin working paper.</w:t>
      </w:r>
    </w:p>
    <w:p w14:paraId="13EF2AFA" w14:textId="77777777" w:rsidR="00C00E52" w:rsidRPr="00331E66" w:rsidRDefault="00C00E52" w:rsidP="00C00E52">
      <w:pPr>
        <w:pStyle w:val="EndNoteBibliography"/>
        <w:spacing w:after="0"/>
        <w:ind w:left="720" w:hanging="720"/>
        <w:jc w:val="both"/>
      </w:pPr>
      <w:r w:rsidRPr="00331E66">
        <w:t xml:space="preserve">Calegari, M. J. 2000. The effect of tax accounting rules on capital structure and discretionary accruals. </w:t>
      </w:r>
      <w:r w:rsidRPr="00331E66">
        <w:rPr>
          <w:i/>
        </w:rPr>
        <w:t>Journal of Accounting and Economics</w:t>
      </w:r>
      <w:r w:rsidRPr="00331E66">
        <w:t xml:space="preserve"> 30 (1):1-31.</w:t>
      </w:r>
    </w:p>
    <w:p w14:paraId="59508313" w14:textId="77777777" w:rsidR="00C00E52" w:rsidRPr="00331E66" w:rsidRDefault="00C00E52" w:rsidP="00C00E52">
      <w:pPr>
        <w:pStyle w:val="EndNoteBibliography"/>
        <w:spacing w:after="0"/>
        <w:ind w:left="720" w:hanging="720"/>
        <w:jc w:val="both"/>
      </w:pPr>
      <w:r w:rsidRPr="00331E66">
        <w:t xml:space="preserve">Chung, H., W. Q. Judge, and Y.H. Li. 2015. Voluntary disclosure, excess executive compensation, and firm value. </w:t>
      </w:r>
      <w:r w:rsidRPr="00331E66">
        <w:rPr>
          <w:i/>
        </w:rPr>
        <w:t>Journal of Corporate Finance</w:t>
      </w:r>
      <w:r w:rsidRPr="00331E66">
        <w:t xml:space="preserve"> 32:64-90.</w:t>
      </w:r>
    </w:p>
    <w:p w14:paraId="00C149F8" w14:textId="77777777" w:rsidR="00C00E52" w:rsidRPr="00331E66" w:rsidRDefault="00C00E52" w:rsidP="00C00E52">
      <w:pPr>
        <w:pStyle w:val="EndNoteBibliography"/>
        <w:spacing w:after="0"/>
        <w:ind w:left="720" w:hanging="720"/>
        <w:jc w:val="both"/>
      </w:pPr>
      <w:r w:rsidRPr="00331E66">
        <w:t>Cohen, D. 2003. Quality of financial reporting choice: Determinants and economic consequences.  Unpublished dissertation, Northwestern University.</w:t>
      </w:r>
    </w:p>
    <w:p w14:paraId="123F6F4F" w14:textId="77777777" w:rsidR="00C00E52" w:rsidRPr="00331E66" w:rsidRDefault="00C00E52" w:rsidP="00C00E52">
      <w:pPr>
        <w:pStyle w:val="EndNoteBibliography"/>
        <w:spacing w:after="0"/>
        <w:ind w:left="720" w:hanging="720"/>
        <w:jc w:val="both"/>
      </w:pPr>
      <w:r w:rsidRPr="00331E66">
        <w:t xml:space="preserve">Deloitte. 2014. Risk Transformation and Tax: Securing the Benefits of Enhanced Tax-Risk Management. </w:t>
      </w:r>
      <w:hyperlink r:id="rId10" w:history="1">
        <w:r w:rsidRPr="00331E66">
          <w:rPr>
            <w:rStyle w:val="Hyperlink"/>
            <w:i/>
          </w:rPr>
          <w:t>http://www2.deloitte.com/content/dam/Deloitte/ie/Documents/Tax/2015-deloitte-ireland-risk-transformation-and-tax-deloitte-ireland.pdf</w:t>
        </w:r>
      </w:hyperlink>
      <w:r w:rsidRPr="00331E66">
        <w:t>.</w:t>
      </w:r>
    </w:p>
    <w:p w14:paraId="269DF6BB" w14:textId="77777777" w:rsidR="00C00E52" w:rsidRPr="00331E66" w:rsidRDefault="00C00E52" w:rsidP="00C00E52">
      <w:pPr>
        <w:pStyle w:val="EndNoteBibliography"/>
        <w:spacing w:after="0"/>
        <w:ind w:left="720" w:hanging="720"/>
        <w:jc w:val="both"/>
      </w:pPr>
      <w:r w:rsidRPr="00331E66">
        <w:t xml:space="preserve">DeSimone, L., M. Ege, and B. Stomberg. 2012. Tax Internal Control Quality: The Role of Auditor-Provided Tax Services. </w:t>
      </w:r>
      <w:r w:rsidRPr="00331E66">
        <w:rPr>
          <w:i/>
        </w:rPr>
        <w:t>The Accounting Review</w:t>
      </w:r>
      <w:r w:rsidRPr="00331E66">
        <w:t xml:space="preserve"> 90 (4):</w:t>
      </w:r>
      <w:r w:rsidRPr="00331E66">
        <w:rPr>
          <w:color w:val="222222"/>
          <w:sz w:val="20"/>
          <w:szCs w:val="20"/>
          <w:shd w:val="clear" w:color="auto" w:fill="FFFFFF"/>
        </w:rPr>
        <w:t xml:space="preserve"> 1469-1496</w:t>
      </w:r>
      <w:r w:rsidRPr="00331E66">
        <w:t>.</w:t>
      </w:r>
    </w:p>
    <w:p w14:paraId="150F186C" w14:textId="77777777" w:rsidR="00C00E52" w:rsidRPr="00331E66" w:rsidRDefault="00C00E52" w:rsidP="00C00E52">
      <w:pPr>
        <w:pStyle w:val="EndNoteBibliography"/>
        <w:spacing w:after="0"/>
        <w:ind w:left="720" w:hanging="720"/>
        <w:jc w:val="both"/>
      </w:pPr>
      <w:r w:rsidRPr="00331E66">
        <w:t xml:space="preserve">Dhaliwal, D., and S.W. Wang. 1992. The effect of book income adjustment in the 1986 alternative minimum tax on corporate financial reporting. </w:t>
      </w:r>
      <w:r w:rsidRPr="00331E66">
        <w:rPr>
          <w:i/>
        </w:rPr>
        <w:t>Journal of Accounting and Economics</w:t>
      </w:r>
      <w:r w:rsidRPr="00331E66">
        <w:t xml:space="preserve"> 15 (1):7-26.</w:t>
      </w:r>
    </w:p>
    <w:p w14:paraId="7F28B711" w14:textId="77777777" w:rsidR="00C00E52" w:rsidRPr="00331E66" w:rsidRDefault="00C00E52" w:rsidP="00C00E52">
      <w:pPr>
        <w:pStyle w:val="EndNoteBibliography"/>
        <w:spacing w:after="0"/>
        <w:ind w:left="720" w:hanging="720"/>
        <w:jc w:val="both"/>
      </w:pPr>
      <w:r w:rsidRPr="00331E66">
        <w:t xml:space="preserve">Diamond, D. W. 1985. Optimal release of information by firms. </w:t>
      </w:r>
      <w:r w:rsidRPr="00331E66">
        <w:rPr>
          <w:i/>
        </w:rPr>
        <w:t>Journal of Finance</w:t>
      </w:r>
      <w:r w:rsidRPr="00331E66">
        <w:t xml:space="preserve"> 40:1071-1094.</w:t>
      </w:r>
    </w:p>
    <w:p w14:paraId="580408D7" w14:textId="77777777" w:rsidR="00C00E52" w:rsidRPr="00331E66" w:rsidRDefault="00C00E52" w:rsidP="00C00E52">
      <w:pPr>
        <w:pStyle w:val="EndNoteBibliography"/>
        <w:spacing w:after="0"/>
        <w:ind w:left="720" w:hanging="720"/>
        <w:jc w:val="both"/>
      </w:pPr>
      <w:r w:rsidRPr="00331E66">
        <w:t xml:space="preserve">Diamond, D. W., and R. E. Verrecchia. 1991. Disclosure, liquidity, and the cost of capital. </w:t>
      </w:r>
      <w:r w:rsidRPr="00331E66">
        <w:rPr>
          <w:i/>
        </w:rPr>
        <w:t>Journal of Finance</w:t>
      </w:r>
      <w:r w:rsidRPr="00331E66">
        <w:t xml:space="preserve"> 46:1325-1359.</w:t>
      </w:r>
    </w:p>
    <w:p w14:paraId="2DD3F381" w14:textId="77777777" w:rsidR="00C00E52" w:rsidRPr="00331E66" w:rsidRDefault="00C00E52" w:rsidP="00C00E52">
      <w:pPr>
        <w:pStyle w:val="EndNoteBibliography"/>
        <w:spacing w:after="0"/>
        <w:ind w:left="720" w:hanging="720"/>
        <w:jc w:val="both"/>
      </w:pPr>
      <w:r w:rsidRPr="00331E66">
        <w:t xml:space="preserve">Donohoe, M. P., and G. A. McGill. 2011. The effects of increased book-tax difference tax return disclosures on firm valuation and behavior. </w:t>
      </w:r>
      <w:r w:rsidRPr="00331E66">
        <w:rPr>
          <w:i/>
        </w:rPr>
        <w:t>Journal of the American Taxation Association</w:t>
      </w:r>
      <w:r w:rsidRPr="00331E66">
        <w:t xml:space="preserve"> 33 (2):35-65.</w:t>
      </w:r>
    </w:p>
    <w:p w14:paraId="373155B5" w14:textId="77777777" w:rsidR="00C00E52" w:rsidRPr="00331E66" w:rsidRDefault="00C00E52" w:rsidP="00C00E52">
      <w:pPr>
        <w:pStyle w:val="EndNoteBibliography"/>
        <w:spacing w:after="0"/>
        <w:ind w:left="720" w:hanging="720"/>
        <w:jc w:val="both"/>
      </w:pPr>
      <w:r w:rsidRPr="00331E66">
        <w:t>Drake, K., S. Lusch, and J. Stekelberg. 2016. Investor Valuation of Tax Avoidance and Tax Risk. University of Arizona and University of Kansas working paper.</w:t>
      </w:r>
    </w:p>
    <w:p w14:paraId="7AB1E348" w14:textId="77777777" w:rsidR="00C00E52" w:rsidRPr="00331E66" w:rsidRDefault="00C00E52" w:rsidP="00C00E52">
      <w:pPr>
        <w:pStyle w:val="EndNoteBibliography"/>
        <w:spacing w:after="0"/>
        <w:ind w:left="720" w:hanging="720"/>
        <w:jc w:val="both"/>
      </w:pPr>
      <w:r w:rsidRPr="00331E66">
        <w:t>Dunbar, A. E., T. C. Omer, and T. D. Schultz. 2010. The informativeness of FIN 48 ‘Look-Forward’Disclosures. University of Connecticut, University of Nebraska at Lincoln, and Western Michigan University working paper.</w:t>
      </w:r>
    </w:p>
    <w:p w14:paraId="15693BE4" w14:textId="77777777" w:rsidR="00C00E52" w:rsidRDefault="00C00E52" w:rsidP="00C00E52">
      <w:pPr>
        <w:pStyle w:val="EndNoteBibliography"/>
        <w:spacing w:after="0"/>
        <w:ind w:left="720" w:hanging="720"/>
        <w:jc w:val="both"/>
      </w:pPr>
      <w:r w:rsidRPr="00ED3533">
        <w:t>Dye, R. A. 2001. An evaluation of “essays on disclosure” and the disclosure literature in</w:t>
      </w:r>
      <w:r>
        <w:t xml:space="preserve"> </w:t>
      </w:r>
      <w:r w:rsidRPr="00ED3533">
        <w:t xml:space="preserve">accounting. </w:t>
      </w:r>
      <w:r w:rsidRPr="00ED3533">
        <w:rPr>
          <w:i/>
        </w:rPr>
        <w:t>Journal of Accounting and Economics</w:t>
      </w:r>
      <w:r w:rsidRPr="00ED3533">
        <w:t xml:space="preserve"> 32 (1–3): 181–235.</w:t>
      </w:r>
    </w:p>
    <w:p w14:paraId="012B61B0" w14:textId="77777777" w:rsidR="00C00E52" w:rsidRPr="00331E66" w:rsidRDefault="00C00E52" w:rsidP="00C00E52">
      <w:pPr>
        <w:pStyle w:val="EndNoteBibliography"/>
        <w:spacing w:after="0"/>
        <w:ind w:left="720" w:hanging="720"/>
        <w:jc w:val="both"/>
      </w:pPr>
      <w:r w:rsidRPr="00331E66">
        <w:t xml:space="preserve">Dyreng, S., M. Hanlon, and E. Maydew. 2008. Long-run corporate tax avoidance. </w:t>
      </w:r>
      <w:r w:rsidRPr="00331E66">
        <w:rPr>
          <w:i/>
        </w:rPr>
        <w:t>The Accounting Review</w:t>
      </w:r>
      <w:r w:rsidRPr="00331E66">
        <w:t xml:space="preserve"> 83 (1): 61–82.</w:t>
      </w:r>
    </w:p>
    <w:p w14:paraId="784F57D4" w14:textId="77777777" w:rsidR="00C00E52" w:rsidRPr="00331E66" w:rsidRDefault="00C00E52" w:rsidP="00C00E52">
      <w:pPr>
        <w:pStyle w:val="EndNoteBibliography"/>
        <w:spacing w:after="0"/>
        <w:ind w:left="720" w:hanging="720"/>
        <w:jc w:val="both"/>
      </w:pPr>
      <w:r w:rsidRPr="00331E66">
        <w:t xml:space="preserve">Dyreng, S., Hanlon, M. and Maydew, E. 2016. When Does Tax Avoidance Result in Tax Uncertainty? </w:t>
      </w:r>
      <w:r w:rsidRPr="00331E66">
        <w:rPr>
          <w:color w:val="000000"/>
          <w:shd w:val="clear" w:color="auto" w:fill="FFFFFF"/>
        </w:rPr>
        <w:t>Duke University, Massachusetts Institute of Technology and University of North Carolina at Chapel Hill working paper.</w:t>
      </w:r>
    </w:p>
    <w:p w14:paraId="16E95761" w14:textId="77777777" w:rsidR="00C00E52" w:rsidRPr="00331E66" w:rsidRDefault="00C00E52" w:rsidP="00C00E52">
      <w:pPr>
        <w:pStyle w:val="EndNoteBibliography"/>
        <w:spacing w:after="0"/>
        <w:ind w:left="720" w:hanging="720"/>
        <w:jc w:val="both"/>
      </w:pPr>
      <w:r w:rsidRPr="00331E66">
        <w:t xml:space="preserve">EY. 2014. Managing operational tax risk: survey highlights. </w:t>
      </w:r>
      <w:hyperlink r:id="rId11" w:history="1">
        <w:r w:rsidRPr="00331E66">
          <w:rPr>
            <w:rStyle w:val="Hyperlink"/>
            <w:i/>
          </w:rPr>
          <w:t>http://www.ey.com/GL/en/Services/Tax/Tax-policy-and-controversy/EY-2014-Managing-operational-tax-risk-survey-highlights</w:t>
        </w:r>
      </w:hyperlink>
      <w:r w:rsidRPr="00331E66">
        <w:t>.</w:t>
      </w:r>
    </w:p>
    <w:p w14:paraId="10C9F0E5" w14:textId="77777777" w:rsidR="00C00E52" w:rsidRPr="00331E66" w:rsidRDefault="00C00E52" w:rsidP="00C00E52">
      <w:pPr>
        <w:pStyle w:val="EndNoteBibliography"/>
        <w:spacing w:after="0"/>
        <w:ind w:left="720" w:hanging="720"/>
        <w:jc w:val="both"/>
      </w:pPr>
      <w:r w:rsidRPr="00331E66">
        <w:t>FAF. 2012. Financial Accounting Foundation. Post-Implementation Review Report on FASB Interpretation No. 48, Accounting for Uncertainty in Income Taxes. January 2012.</w:t>
      </w:r>
    </w:p>
    <w:p w14:paraId="2E2B2DB3" w14:textId="77777777" w:rsidR="00C00E52" w:rsidRPr="00331E66" w:rsidRDefault="00C00E52" w:rsidP="00C00E52">
      <w:pPr>
        <w:pStyle w:val="EndNoteBibliography"/>
        <w:spacing w:after="0"/>
        <w:ind w:left="720" w:hanging="720"/>
        <w:jc w:val="both"/>
      </w:pPr>
      <w:r w:rsidRPr="00331E66">
        <w:t>FASB. 2006. Financial Accounting Standards Board Interpretation No. 48 (FIN 48), Accounting for Uncertainty in Income Taxes: an Interpretation of FASB Statement No. 109. Norwalk, CT.</w:t>
      </w:r>
    </w:p>
    <w:p w14:paraId="498501D2" w14:textId="77777777" w:rsidR="00C00E52" w:rsidRPr="00331E66" w:rsidRDefault="00C00E52" w:rsidP="00C00E52">
      <w:pPr>
        <w:pStyle w:val="EndNoteBibliography"/>
        <w:spacing w:after="0"/>
        <w:ind w:left="720" w:hanging="720"/>
        <w:jc w:val="both"/>
      </w:pPr>
      <w:r w:rsidRPr="00331E66">
        <w:t>FASB. 2016. Exposure Draft Proposed Accounting Standards Update Income Taxes (Topic 740).  2016 Disclosure Framework – Changes to the Disclosure Requirements for Income Taxes. Financial Accounting Standards Board July 26, 2016.</w:t>
      </w:r>
    </w:p>
    <w:p w14:paraId="0EA3AE4F" w14:textId="77777777" w:rsidR="00C00E52" w:rsidRPr="00331E66" w:rsidRDefault="00C00E52" w:rsidP="00C00E52">
      <w:pPr>
        <w:pStyle w:val="EndNoteBibliography"/>
        <w:spacing w:after="0"/>
        <w:ind w:left="720" w:hanging="720"/>
        <w:jc w:val="both"/>
      </w:pPr>
      <w:r w:rsidRPr="00331E66">
        <w:t xml:space="preserve">Field, L., M. Lowry, and S. Shu. 2005. Does disclosure deter or trigger litigation? </w:t>
      </w:r>
      <w:r w:rsidRPr="00331E66">
        <w:rPr>
          <w:i/>
        </w:rPr>
        <w:t>Journal of Accounting and Economics</w:t>
      </w:r>
      <w:r w:rsidRPr="00331E66">
        <w:t xml:space="preserve"> 39 (3):487-507.</w:t>
      </w:r>
    </w:p>
    <w:p w14:paraId="3862B815" w14:textId="77777777" w:rsidR="00C00E52" w:rsidRPr="00331E66" w:rsidRDefault="00C00E52" w:rsidP="00C00E52">
      <w:pPr>
        <w:pStyle w:val="EndNoteBibliography"/>
        <w:spacing w:after="0"/>
        <w:ind w:left="720" w:hanging="720"/>
        <w:jc w:val="both"/>
      </w:pPr>
      <w:r w:rsidRPr="00331E66">
        <w:t xml:space="preserve">Francis, J., D. Nanda, and P. Olsson. 2008. Voluntary disclosure, earnings quality, and cost of capital. </w:t>
      </w:r>
      <w:r w:rsidRPr="00331E66">
        <w:rPr>
          <w:i/>
        </w:rPr>
        <w:t>Journal of Accounting Research</w:t>
      </w:r>
      <w:r w:rsidRPr="00331E66">
        <w:t xml:space="preserve"> 46 (1):53-99.</w:t>
      </w:r>
    </w:p>
    <w:p w14:paraId="3E3CDDFD" w14:textId="77777777" w:rsidR="00C00E52" w:rsidRPr="00331E66" w:rsidRDefault="00C00E52" w:rsidP="00C00E52">
      <w:pPr>
        <w:pStyle w:val="EndNoteBibliography"/>
        <w:spacing w:after="0"/>
        <w:ind w:left="720" w:hanging="720"/>
        <w:jc w:val="both"/>
      </w:pPr>
      <w:r w:rsidRPr="00331E66">
        <w:t xml:space="preserve">Francis, J., D. Philbrick, and K. Schipper. 1994. Shareholder litigation and corporate disclosures. </w:t>
      </w:r>
      <w:r w:rsidRPr="00331E66">
        <w:rPr>
          <w:i/>
        </w:rPr>
        <w:t>Journal of Accounting Research</w:t>
      </w:r>
      <w:r w:rsidRPr="00331E66">
        <w:t>:137-164.</w:t>
      </w:r>
    </w:p>
    <w:p w14:paraId="401CFD04" w14:textId="77777777" w:rsidR="00C00E52" w:rsidRPr="00331E66" w:rsidRDefault="00C00E52" w:rsidP="00C00E52">
      <w:pPr>
        <w:pStyle w:val="EndNoteBibliography"/>
        <w:spacing w:after="0"/>
        <w:ind w:left="720" w:hanging="720"/>
        <w:jc w:val="both"/>
      </w:pPr>
      <w:r w:rsidRPr="00331E66">
        <w:t xml:space="preserve">Frischmann, P. J., T. Shevlin, and R. Wilson. 2008. Economic consequences of increasing the conformity in accounting for uncertain tax benefits. </w:t>
      </w:r>
      <w:r w:rsidRPr="00331E66">
        <w:rPr>
          <w:i/>
        </w:rPr>
        <w:t>Journal of Accounting and Economics</w:t>
      </w:r>
      <w:r w:rsidRPr="00331E66">
        <w:t xml:space="preserve"> 46 (2):261-278.</w:t>
      </w:r>
    </w:p>
    <w:p w14:paraId="33234E95" w14:textId="77777777" w:rsidR="00C00E52" w:rsidRPr="00331E66" w:rsidRDefault="00C00E52" w:rsidP="00C00E52">
      <w:pPr>
        <w:pStyle w:val="EndNoteBibliography"/>
        <w:spacing w:after="0"/>
        <w:ind w:left="720" w:hanging="720"/>
        <w:jc w:val="both"/>
      </w:pPr>
      <w:r w:rsidRPr="00331E66">
        <w:t xml:space="preserve">Gleason, C. A., and L. F. Mills. 2002. Materiality and contingent tax liability reporting. </w:t>
      </w:r>
      <w:r w:rsidRPr="00331E66">
        <w:rPr>
          <w:i/>
        </w:rPr>
        <w:t>The Accounting Review</w:t>
      </w:r>
      <w:r w:rsidRPr="00331E66">
        <w:t xml:space="preserve"> 77 (2):317-342.</w:t>
      </w:r>
    </w:p>
    <w:p w14:paraId="6C8A7295" w14:textId="77777777" w:rsidR="00C00E52" w:rsidRPr="00331E66" w:rsidRDefault="00C00E52" w:rsidP="00C00E52">
      <w:pPr>
        <w:pStyle w:val="EndNoteBibliography"/>
        <w:spacing w:after="0"/>
        <w:ind w:left="720" w:hanging="720"/>
        <w:jc w:val="both"/>
      </w:pPr>
      <w:r w:rsidRPr="00331E66">
        <w:t xml:space="preserve">Gleason, C., and L. Mills. 2011. Do auditor-provided tax services improve the estimate of tax reserves? </w:t>
      </w:r>
      <w:r w:rsidRPr="00331E66">
        <w:rPr>
          <w:i/>
        </w:rPr>
        <w:t>Contemporary Accounting Research</w:t>
      </w:r>
      <w:r w:rsidRPr="00331E66">
        <w:t xml:space="preserve"> 28 (5): 1484–1509.</w:t>
      </w:r>
    </w:p>
    <w:p w14:paraId="165AB0C6" w14:textId="77777777" w:rsidR="00C00E52" w:rsidRPr="00331E66" w:rsidRDefault="00C00E52" w:rsidP="00C00E52">
      <w:pPr>
        <w:pStyle w:val="EndNoteBibliography"/>
        <w:spacing w:after="0"/>
        <w:ind w:left="720" w:hanging="720"/>
        <w:jc w:val="both"/>
      </w:pPr>
      <w:r w:rsidRPr="00331E66">
        <w:t xml:space="preserve">Graham, J. R., C. R. Harvey, and S. Rajgopal. 2005. The economic implications of corporate financial reporting. </w:t>
      </w:r>
      <w:r w:rsidRPr="00331E66">
        <w:rPr>
          <w:i/>
        </w:rPr>
        <w:t>Journal of Accounting &amp; Economics</w:t>
      </w:r>
      <w:r w:rsidRPr="00331E66">
        <w:t xml:space="preserve"> 40 (1-3):3-73.</w:t>
      </w:r>
    </w:p>
    <w:p w14:paraId="303C4C1C" w14:textId="77777777" w:rsidR="00C00E52" w:rsidRPr="00331E66" w:rsidRDefault="00C00E52" w:rsidP="00C00E52">
      <w:pPr>
        <w:pStyle w:val="EndNoteBibliography"/>
        <w:spacing w:after="0"/>
        <w:ind w:left="720" w:hanging="720"/>
        <w:jc w:val="both"/>
      </w:pPr>
      <w:r w:rsidRPr="00331E66">
        <w:t xml:space="preserve">Gramlich, J. 1991. The effect of the alternative minimum tax book income adjustment on accrual decisions. </w:t>
      </w:r>
      <w:r w:rsidRPr="00331E66">
        <w:rPr>
          <w:i/>
        </w:rPr>
        <w:t>Journal of the American Taxation Association</w:t>
      </w:r>
      <w:r w:rsidRPr="00331E66">
        <w:t xml:space="preserve"> 13 (1):36-56.</w:t>
      </w:r>
    </w:p>
    <w:p w14:paraId="1440A025" w14:textId="77777777" w:rsidR="00C00E52" w:rsidRPr="00331E66" w:rsidRDefault="00C00E52" w:rsidP="00C00E52">
      <w:pPr>
        <w:pStyle w:val="EndNoteBibliography"/>
        <w:spacing w:after="0"/>
        <w:ind w:left="720" w:hanging="720"/>
        <w:jc w:val="both"/>
      </w:pPr>
      <w:r w:rsidRPr="00331E66">
        <w:t xml:space="preserve">Grossman, S. J., and O. D. Hart. 1980. Disclosure laws and takeover bids. </w:t>
      </w:r>
      <w:r w:rsidRPr="00331E66">
        <w:rPr>
          <w:i/>
        </w:rPr>
        <w:t>The Journal of Finance</w:t>
      </w:r>
      <w:r w:rsidRPr="00331E66">
        <w:t xml:space="preserve"> 35 (2):323-334.</w:t>
      </w:r>
    </w:p>
    <w:p w14:paraId="0E4C7A58" w14:textId="77777777" w:rsidR="00C00E52" w:rsidRPr="00331E66" w:rsidRDefault="00C00E52" w:rsidP="00C00E52">
      <w:pPr>
        <w:pStyle w:val="EndNoteBibliography"/>
        <w:spacing w:after="0"/>
        <w:ind w:left="720" w:hanging="720"/>
        <w:jc w:val="both"/>
      </w:pPr>
      <w:r w:rsidRPr="00331E66">
        <w:t xml:space="preserve">Guenther, D. A., E. L. Maydew, and S. E. Nutter. 1997. Financial reporting, tax costs, and book-tax conformity. </w:t>
      </w:r>
      <w:r w:rsidRPr="00331E66">
        <w:rPr>
          <w:i/>
        </w:rPr>
        <w:t>Journal of Accounting and Economics</w:t>
      </w:r>
      <w:r w:rsidRPr="00331E66">
        <w:t xml:space="preserve"> 23 (3):225-248.</w:t>
      </w:r>
    </w:p>
    <w:p w14:paraId="26FE3FB6" w14:textId="77777777" w:rsidR="00C00E52" w:rsidRPr="00331E66" w:rsidRDefault="00C00E52" w:rsidP="00C00E52">
      <w:pPr>
        <w:pStyle w:val="EndNoteBibliography"/>
        <w:spacing w:after="0"/>
        <w:ind w:left="720" w:hanging="720"/>
        <w:jc w:val="both"/>
      </w:pPr>
      <w:r w:rsidRPr="00331E66">
        <w:t xml:space="preserve">Guenther, D.A., Matsunaga, S.R. and Williams, B.M., 2016. Is Tax Avoidance Related to Firm Risk?. </w:t>
      </w:r>
      <w:r w:rsidRPr="00331E66">
        <w:rPr>
          <w:i/>
        </w:rPr>
        <w:t>The Accounting Review</w:t>
      </w:r>
      <w:r w:rsidRPr="00331E66">
        <w:t>.</w:t>
      </w:r>
    </w:p>
    <w:p w14:paraId="02DEF65F" w14:textId="77777777" w:rsidR="00C00E52" w:rsidRPr="00331E66" w:rsidRDefault="00C00E52" w:rsidP="00C00E52">
      <w:pPr>
        <w:pStyle w:val="EndNoteBibliography"/>
        <w:spacing w:after="0"/>
        <w:ind w:left="720" w:hanging="720"/>
        <w:jc w:val="both"/>
      </w:pPr>
      <w:r w:rsidRPr="00331E66">
        <w:t xml:space="preserve">Gupta, S., L. F. Mills, and E. M. Towery. 2014. The Effect of Mandatory Financial Statement Disclosures of Tax Uncertainty on Tax Reporting and Collections: The Case of FIN 48 and Multistate Tax Avoidance. </w:t>
      </w:r>
      <w:r w:rsidRPr="00331E66">
        <w:rPr>
          <w:i/>
        </w:rPr>
        <w:t>The Journal of the American Taxation Association</w:t>
      </w:r>
      <w:r w:rsidRPr="00331E66">
        <w:t xml:space="preserve"> 36 (2):203-229.</w:t>
      </w:r>
    </w:p>
    <w:p w14:paraId="3E9E5867" w14:textId="77777777" w:rsidR="00C00E52" w:rsidRPr="00331E66" w:rsidRDefault="00C00E52" w:rsidP="00C00E52">
      <w:pPr>
        <w:pStyle w:val="EndNoteBibliography"/>
        <w:spacing w:after="0"/>
        <w:ind w:left="720" w:hanging="720"/>
        <w:jc w:val="both"/>
      </w:pPr>
      <w:r w:rsidRPr="00331E66">
        <w:t xml:space="preserve">Hanlon, M., E. L. Maydew, and T. Shevlin. 2008. An unintended consequence of book-tax conformity: A loss of earnings informativeness. </w:t>
      </w:r>
      <w:r w:rsidRPr="00331E66">
        <w:rPr>
          <w:i/>
        </w:rPr>
        <w:t>Journal of Accounting and Economics</w:t>
      </w:r>
      <w:r w:rsidRPr="00331E66">
        <w:t xml:space="preserve"> 46 (2):294-311.</w:t>
      </w:r>
    </w:p>
    <w:p w14:paraId="5BB2429B" w14:textId="77777777" w:rsidR="00C00E52" w:rsidRPr="00331E66" w:rsidRDefault="00C00E52" w:rsidP="00C00E52">
      <w:pPr>
        <w:pStyle w:val="EndNoteBibliography"/>
        <w:spacing w:after="0"/>
        <w:ind w:left="720" w:hanging="720"/>
        <w:jc w:val="both"/>
      </w:pPr>
      <w:r w:rsidRPr="00331E66">
        <w:t xml:space="preserve">Harvey, J. R. 2010. Schedule UTP: Views of a former tax adviser and administrator. </w:t>
      </w:r>
      <w:r w:rsidRPr="00331E66">
        <w:rPr>
          <w:i/>
        </w:rPr>
        <w:t>Tax Notes</w:t>
      </w:r>
      <w:r w:rsidRPr="00331E66">
        <w:t>: 1259.</w:t>
      </w:r>
    </w:p>
    <w:p w14:paraId="60B22752" w14:textId="77777777" w:rsidR="00C00E52" w:rsidRPr="00331E66" w:rsidRDefault="00C00E52" w:rsidP="00C00E52">
      <w:pPr>
        <w:pStyle w:val="EndNoteBibliography"/>
        <w:spacing w:after="0"/>
        <w:ind w:left="720" w:hanging="720"/>
        <w:jc w:val="both"/>
      </w:pPr>
      <w:r w:rsidRPr="00331E66">
        <w:t>Henry, E., N. Massel, and E. Towery. 2016 Increased Tax Disclosures and Corporate Tax Avoidance. University of Tennessee, Louisiana State University, and University of Georgia working paper.</w:t>
      </w:r>
    </w:p>
    <w:p w14:paraId="2D9B6E06" w14:textId="77777777" w:rsidR="00C00E52" w:rsidRPr="00331E66" w:rsidRDefault="00C00E52" w:rsidP="00C00E52">
      <w:pPr>
        <w:pStyle w:val="EndNoteBibliography"/>
        <w:spacing w:after="0"/>
        <w:ind w:left="720" w:hanging="720"/>
        <w:jc w:val="both"/>
      </w:pPr>
      <w:r w:rsidRPr="00331E66">
        <w:t xml:space="preserve">Hope, O. K., M. Ma, and W. B. Thomas. 2013. Tax avoidance and geographic earnings disclosure. </w:t>
      </w:r>
      <w:r w:rsidRPr="00331E66">
        <w:rPr>
          <w:i/>
        </w:rPr>
        <w:t>Journal of Accounting &amp; Economics</w:t>
      </w:r>
      <w:r w:rsidRPr="00331E66">
        <w:t xml:space="preserve"> 56 (2-3):170-189.</w:t>
      </w:r>
    </w:p>
    <w:p w14:paraId="3ED8B1F9" w14:textId="77777777" w:rsidR="00C00E52" w:rsidRPr="00331E66" w:rsidRDefault="00C00E52" w:rsidP="00C00E52">
      <w:pPr>
        <w:pStyle w:val="EndNoteBibliography"/>
        <w:spacing w:after="0"/>
        <w:ind w:left="720" w:hanging="720"/>
        <w:jc w:val="both"/>
      </w:pPr>
      <w:r w:rsidRPr="00331E66">
        <w:t>Hutchens, M., and S. O. Rego. 2015. Does Greater Tax Risk Lead to Increased Firm Risk? University of Illinois and Indiana University working paper.</w:t>
      </w:r>
    </w:p>
    <w:p w14:paraId="1A307679" w14:textId="77777777" w:rsidR="00C00E52" w:rsidRPr="00331E66" w:rsidRDefault="00C00E52" w:rsidP="00C00E52">
      <w:pPr>
        <w:pStyle w:val="EndNoteBibliography"/>
        <w:spacing w:after="0"/>
        <w:ind w:left="720" w:hanging="720"/>
        <w:jc w:val="both"/>
      </w:pPr>
      <w:r w:rsidRPr="00331E66">
        <w:t xml:space="preserve">Iivari, J., and M. Janson. 2003. Analysis of Electronic Commerce Adopter Categories in Retailing: The Case of Automobile Dealerships. </w:t>
      </w:r>
      <w:r w:rsidRPr="00331E66">
        <w:rPr>
          <w:i/>
        </w:rPr>
        <w:t>Journal of Organizational Computing &amp; Electronic Commerce</w:t>
      </w:r>
      <w:r w:rsidRPr="00331E66">
        <w:t xml:space="preserve"> 13 (1):25.</w:t>
      </w:r>
    </w:p>
    <w:p w14:paraId="503DD1B4" w14:textId="77777777" w:rsidR="00C00E52" w:rsidRPr="00331E66" w:rsidRDefault="00C00E52" w:rsidP="00C00E52">
      <w:pPr>
        <w:pStyle w:val="EndNoteBibliography"/>
        <w:spacing w:after="0"/>
        <w:ind w:left="720" w:hanging="720"/>
        <w:jc w:val="both"/>
      </w:pPr>
      <w:r w:rsidRPr="00331E66">
        <w:t xml:space="preserve">Jorgensen, B. N., and M. T. Kirschenheiter. 2003. Discretionary risk disclosures. </w:t>
      </w:r>
      <w:r w:rsidRPr="00331E66">
        <w:rPr>
          <w:i/>
        </w:rPr>
        <w:t>Accounting Review</w:t>
      </w:r>
      <w:r w:rsidRPr="00331E66">
        <w:t xml:space="preserve"> 78 (2):449-469.</w:t>
      </w:r>
    </w:p>
    <w:p w14:paraId="6EA2C6BF" w14:textId="77777777" w:rsidR="00C00E52" w:rsidRPr="00331E66" w:rsidRDefault="00C00E52" w:rsidP="00C00E52">
      <w:pPr>
        <w:pStyle w:val="EndNoteBibliography"/>
        <w:spacing w:after="0"/>
        <w:ind w:left="720" w:hanging="720"/>
        <w:jc w:val="both"/>
      </w:pPr>
      <w:r w:rsidRPr="00331E66">
        <w:t xml:space="preserve">Kasznik, R., and B. Lev. 1995. To warn or not to warn: Management disclosures in the face of an earnings surprise. </w:t>
      </w:r>
      <w:r w:rsidRPr="00331E66">
        <w:rPr>
          <w:i/>
        </w:rPr>
        <w:t>The Accounting Review</w:t>
      </w:r>
      <w:r w:rsidRPr="00331E66">
        <w:t xml:space="preserve"> 70 (1): 113–134.</w:t>
      </w:r>
    </w:p>
    <w:p w14:paraId="75AF7DDA" w14:textId="77777777" w:rsidR="00C00E52" w:rsidRPr="00331E66" w:rsidRDefault="00C00E52" w:rsidP="00C00E52">
      <w:pPr>
        <w:pStyle w:val="EndNoteBibliography"/>
        <w:spacing w:after="0"/>
        <w:ind w:left="720" w:hanging="720"/>
        <w:jc w:val="both"/>
      </w:pPr>
      <w:r w:rsidRPr="00331E66">
        <w:t xml:space="preserve">Keating, A. S., and J. L. Zimmerman. 1999. Depreciation-policy changes: tax, earnings management, and investment opportunity incentives. </w:t>
      </w:r>
      <w:r w:rsidRPr="00331E66">
        <w:rPr>
          <w:i/>
        </w:rPr>
        <w:t>Journal of Accounting and Economics</w:t>
      </w:r>
      <w:r w:rsidRPr="00331E66">
        <w:t xml:space="preserve"> 28 (3):359-389.</w:t>
      </w:r>
    </w:p>
    <w:p w14:paraId="687C06C2" w14:textId="77777777" w:rsidR="00C00E52" w:rsidRPr="00331E66" w:rsidRDefault="00C00E52" w:rsidP="00C00E52">
      <w:pPr>
        <w:pStyle w:val="EndNoteBibliography"/>
        <w:spacing w:after="0"/>
        <w:ind w:left="720" w:hanging="720"/>
        <w:jc w:val="both"/>
      </w:pPr>
      <w:r w:rsidRPr="00331E66">
        <w:t xml:space="preserve">KPMG. 2011. Tax Risk Management E-survey. </w:t>
      </w:r>
      <w:hyperlink r:id="rId12" w:history="1">
        <w:r w:rsidRPr="00331E66">
          <w:rPr>
            <w:rStyle w:val="Hyperlink"/>
            <w:i/>
          </w:rPr>
          <w:t>https://www.kpmg.com/RU/ru/IssuesAndInsights/ArticlesPublications/Risk-and-Complience-Newsletter/Documents/%D0%92%D1%8B%D0%BF%D1%83%D1%81%D0%BA%207/tax-risk-management-survey-report.pdf</w:t>
        </w:r>
      </w:hyperlink>
      <w:r w:rsidRPr="00331E66">
        <w:t>.</w:t>
      </w:r>
    </w:p>
    <w:p w14:paraId="791C3656" w14:textId="77777777" w:rsidR="00C00E52" w:rsidRPr="00331E66" w:rsidRDefault="00C00E52" w:rsidP="00C00E52">
      <w:pPr>
        <w:pStyle w:val="EndNoteBibliography"/>
        <w:spacing w:after="0"/>
        <w:ind w:left="720" w:hanging="720"/>
        <w:jc w:val="both"/>
      </w:pPr>
      <w:r w:rsidRPr="00331E66">
        <w:t xml:space="preserve">Lambert, R., C. Leuz, and R. E. Verrecchia. 2007. Accounting information, disclosure, and the cost of capital. </w:t>
      </w:r>
      <w:r w:rsidRPr="00331E66">
        <w:rPr>
          <w:i/>
        </w:rPr>
        <w:t>Journal of Accounting Research</w:t>
      </w:r>
      <w:r w:rsidRPr="00331E66">
        <w:t xml:space="preserve"> 42 (2):385-420.</w:t>
      </w:r>
    </w:p>
    <w:p w14:paraId="4A5D76BB" w14:textId="77777777" w:rsidR="00C00E52" w:rsidRPr="00331E66" w:rsidRDefault="00C00E52" w:rsidP="00C00E52">
      <w:pPr>
        <w:pStyle w:val="EndNoteBibliography"/>
        <w:spacing w:after="0"/>
        <w:ind w:left="720" w:hanging="720"/>
        <w:jc w:val="both"/>
      </w:pPr>
      <w:r w:rsidRPr="00331E66">
        <w:t xml:space="preserve">Lang, Mark and R. Lundholm. 1993. Cross-.sectional determinants of analyst ratings of corporate disclosures. </w:t>
      </w:r>
      <w:r w:rsidRPr="00331E66">
        <w:rPr>
          <w:i/>
        </w:rPr>
        <w:t>Journal of Accounting Research</w:t>
      </w:r>
      <w:r w:rsidRPr="00331E66">
        <w:t xml:space="preserve"> (31):246-271.</w:t>
      </w:r>
    </w:p>
    <w:p w14:paraId="7EA0B693" w14:textId="77777777" w:rsidR="00C00E52" w:rsidRPr="00331E66" w:rsidRDefault="00C00E52" w:rsidP="00C00E52">
      <w:pPr>
        <w:pStyle w:val="EndNoteBibliography"/>
        <w:spacing w:after="0"/>
        <w:ind w:left="720" w:hanging="720"/>
        <w:jc w:val="both"/>
      </w:pPr>
      <w:r w:rsidRPr="00331E66">
        <w:t xml:space="preserve">Leone, M. 2007. FIN 48: Standing Naked Before the IRS. </w:t>
      </w:r>
      <w:r w:rsidRPr="00331E66">
        <w:rPr>
          <w:i/>
        </w:rPr>
        <w:t>CFO</w:t>
      </w:r>
      <w:r w:rsidRPr="00331E66">
        <w:t>.</w:t>
      </w:r>
    </w:p>
    <w:p w14:paraId="76893304" w14:textId="77777777" w:rsidR="00C00E52" w:rsidRPr="00331E66" w:rsidRDefault="00C00E52" w:rsidP="00C00E52">
      <w:pPr>
        <w:pStyle w:val="EndNoteBibliography"/>
        <w:spacing w:after="0"/>
        <w:ind w:left="720" w:hanging="720"/>
        <w:jc w:val="both"/>
      </w:pPr>
      <w:r w:rsidRPr="00331E66">
        <w:t xml:space="preserve">Leuz, C., and R. E. Verrecchia. 2000. The Economic Consequences of Increased Disclosure (Digest Summary). </w:t>
      </w:r>
      <w:r w:rsidRPr="00331E66">
        <w:rPr>
          <w:i/>
        </w:rPr>
        <w:t>Journal of Accounting Research</w:t>
      </w:r>
      <w:r w:rsidRPr="00331E66">
        <w:t xml:space="preserve"> 38:91-124.</w:t>
      </w:r>
    </w:p>
    <w:p w14:paraId="087705FC" w14:textId="77777777" w:rsidR="00C00E52" w:rsidRPr="00331E66" w:rsidRDefault="00C00E52" w:rsidP="00C00E52">
      <w:pPr>
        <w:pStyle w:val="EndNoteBibliography"/>
        <w:spacing w:after="0"/>
        <w:ind w:left="720" w:hanging="720"/>
        <w:jc w:val="both"/>
      </w:pPr>
      <w:r w:rsidRPr="00331E66">
        <w:t xml:space="preserve">Li. F. 2008. Annual report readability, current earnings, and earnings persistence. </w:t>
      </w:r>
      <w:r w:rsidRPr="00331E66">
        <w:rPr>
          <w:i/>
        </w:rPr>
        <w:t>Journal of Accounting and Economics</w:t>
      </w:r>
      <w:r w:rsidRPr="00331E66">
        <w:t xml:space="preserve"> 45:221-247.</w:t>
      </w:r>
    </w:p>
    <w:p w14:paraId="592D4CD1" w14:textId="77777777" w:rsidR="00C00E52" w:rsidRPr="00331E66" w:rsidRDefault="00C00E52" w:rsidP="00C00E52">
      <w:pPr>
        <w:pStyle w:val="EndNoteBibliography"/>
        <w:spacing w:after="0"/>
        <w:ind w:left="720" w:hanging="720"/>
        <w:jc w:val="both"/>
      </w:pPr>
      <w:r w:rsidRPr="00331E66">
        <w:t xml:space="preserve">Li. F. 2010. The information content of forward-looking statements in corporate filings – A naïve Bayesian machine learning approach. </w:t>
      </w:r>
      <w:r w:rsidRPr="00331E66">
        <w:rPr>
          <w:i/>
        </w:rPr>
        <w:t>Journal of Accounting Research</w:t>
      </w:r>
      <w:r w:rsidRPr="00331E66">
        <w:t xml:space="preserve"> 48(5):1049-1102.</w:t>
      </w:r>
    </w:p>
    <w:p w14:paraId="39E8D793" w14:textId="77777777" w:rsidR="00C00E52" w:rsidRPr="00331E66" w:rsidRDefault="00C00E52" w:rsidP="00C00E52">
      <w:pPr>
        <w:pStyle w:val="EndNoteBibliography"/>
        <w:spacing w:after="0"/>
        <w:ind w:left="720" w:hanging="720"/>
        <w:jc w:val="both"/>
      </w:pPr>
      <w:r w:rsidRPr="00331E66">
        <w:t xml:space="preserve">Lisowsky, P., Robinson, L., and Schmidt, A. 2012. Do Publicly Disclosed Tax Reserves Tell Us About Privately Disclosed Tax Shelter Activity? </w:t>
      </w:r>
      <w:r w:rsidRPr="00331E66">
        <w:rPr>
          <w:i/>
        </w:rPr>
        <w:t xml:space="preserve">Journal of Accounting Research </w:t>
      </w:r>
      <w:r w:rsidRPr="00331E66">
        <w:t>50(3): 583-629.</w:t>
      </w:r>
    </w:p>
    <w:p w14:paraId="34A30097" w14:textId="77777777" w:rsidR="00C00E52" w:rsidRPr="00331E66" w:rsidRDefault="00C00E52" w:rsidP="00C00E52">
      <w:pPr>
        <w:pStyle w:val="EndNoteBibliography"/>
        <w:spacing w:after="0"/>
        <w:ind w:left="720" w:hanging="720"/>
        <w:jc w:val="both"/>
      </w:pPr>
      <w:r w:rsidRPr="00331E66">
        <w:t xml:space="preserve">Manzon Jr, G. B. 1992. Earnings management of firms subject to the alternative minimum tax. </w:t>
      </w:r>
      <w:r w:rsidRPr="00331E66">
        <w:rPr>
          <w:i/>
        </w:rPr>
        <w:t>The Journal of the American Taxation Association</w:t>
      </w:r>
      <w:r w:rsidRPr="00331E66">
        <w:t xml:space="preserve"> 14 (2):88.</w:t>
      </w:r>
    </w:p>
    <w:p w14:paraId="6C5A60B1" w14:textId="77777777" w:rsidR="00C00E52" w:rsidRPr="00331E66" w:rsidRDefault="00C00E52" w:rsidP="00C00E52">
      <w:pPr>
        <w:pStyle w:val="EndNoteBibliography"/>
        <w:spacing w:after="0"/>
        <w:ind w:left="720" w:hanging="720"/>
        <w:jc w:val="both"/>
      </w:pPr>
      <w:r w:rsidRPr="00331E66">
        <w:t>Marr, C., J. Friedman and B. DeBot, 2015. IRS funding cuts continue to compromise taxpayer.</w:t>
      </w:r>
    </w:p>
    <w:p w14:paraId="623C5D36" w14:textId="77777777" w:rsidR="00C00E52" w:rsidRPr="00331E66" w:rsidRDefault="00C00E52" w:rsidP="00C00E52">
      <w:pPr>
        <w:pStyle w:val="EndNoteBibliography"/>
        <w:spacing w:after="0"/>
        <w:ind w:left="720"/>
        <w:jc w:val="both"/>
      </w:pPr>
      <w:r w:rsidRPr="00331E66">
        <w:t>http://www.cbpp.org/sites/default/files/atoms/files/6-25-14tax.pdf.f</w:t>
      </w:r>
    </w:p>
    <w:p w14:paraId="40D0C4A6" w14:textId="77777777" w:rsidR="00C00E52" w:rsidRPr="00331E66" w:rsidRDefault="00C00E52" w:rsidP="00C00E52">
      <w:pPr>
        <w:pStyle w:val="EndNoteBibliography"/>
        <w:spacing w:after="0"/>
        <w:ind w:left="720" w:hanging="720"/>
        <w:jc w:val="both"/>
      </w:pPr>
      <w:r w:rsidRPr="00331E66">
        <w:t>Mathers, R., and M. Kmiecik, 2015. "Tax practice responsibilities involved in Schedule UTP."</w:t>
      </w:r>
    </w:p>
    <w:p w14:paraId="2414DA97" w14:textId="77777777" w:rsidR="00C00E52" w:rsidRPr="00331E66" w:rsidRDefault="00C00E52" w:rsidP="00C00E52">
      <w:pPr>
        <w:pStyle w:val="EndNoteBibliography"/>
        <w:spacing w:after="0"/>
        <w:ind w:left="720" w:hanging="720"/>
        <w:jc w:val="both"/>
      </w:pPr>
      <w:r w:rsidRPr="00331E66">
        <w:tab/>
      </w:r>
      <w:r w:rsidRPr="00331E66">
        <w:rPr>
          <w:i/>
        </w:rPr>
        <w:t>Journal of Accountancy</w:t>
      </w:r>
      <w:r w:rsidRPr="00331E66">
        <w:t>, April 13.</w:t>
      </w:r>
    </w:p>
    <w:p w14:paraId="4F1294DE" w14:textId="77777777" w:rsidR="00C00E52" w:rsidRPr="00331E66" w:rsidRDefault="00C00E52" w:rsidP="00C00E52">
      <w:pPr>
        <w:pStyle w:val="EndNoteBibliography"/>
        <w:spacing w:after="0"/>
        <w:ind w:left="720" w:hanging="720"/>
        <w:jc w:val="both"/>
      </w:pPr>
      <w:r w:rsidRPr="00331E66">
        <w:t>McGuire, S. T., S. S. Neuman, and T. C. Omer. 2013. Sustainable tax strategies and earnings persistence. Texas A&amp;M University, University of Missouri, and University of Nebraska at Lincoln working paper.</w:t>
      </w:r>
    </w:p>
    <w:p w14:paraId="16E5E377" w14:textId="77777777" w:rsidR="00C00E52" w:rsidRPr="00331E66" w:rsidRDefault="00C00E52" w:rsidP="00C00E52">
      <w:pPr>
        <w:pStyle w:val="EndNoteBibliography"/>
        <w:spacing w:after="0"/>
        <w:ind w:left="720" w:hanging="720"/>
        <w:jc w:val="both"/>
      </w:pPr>
      <w:r w:rsidRPr="00331E66">
        <w:t xml:space="preserve">Mills, L. F., L. A. Robinson, and R. C. Sansing. 2010. FIN 48 and tax compliance. </w:t>
      </w:r>
      <w:r w:rsidRPr="00331E66">
        <w:rPr>
          <w:i/>
        </w:rPr>
        <w:t>The Accounting Review</w:t>
      </w:r>
      <w:r w:rsidRPr="00331E66">
        <w:t xml:space="preserve"> 85 (5):1721-1742.</w:t>
      </w:r>
    </w:p>
    <w:p w14:paraId="0C540567" w14:textId="77777777" w:rsidR="00C00E52" w:rsidRPr="00331E66" w:rsidRDefault="00C00E52" w:rsidP="00C00E52">
      <w:pPr>
        <w:pStyle w:val="EndNoteBibliography"/>
        <w:spacing w:after="0"/>
        <w:ind w:left="720" w:hanging="720"/>
        <w:jc w:val="both"/>
      </w:pPr>
      <w:r w:rsidRPr="00331E66">
        <w:t>Nessa, M., C. Schwab, B. Stomberg, and E. Towery. 2016 How do resource constraints affect the tax enforcement process? Michigan State University, Indiana University, and University of Georgia working paper.</w:t>
      </w:r>
    </w:p>
    <w:p w14:paraId="0E600A9A" w14:textId="77777777" w:rsidR="00C00E52" w:rsidRPr="00331E66" w:rsidRDefault="00C00E52" w:rsidP="00C00E52">
      <w:pPr>
        <w:pStyle w:val="EndNoteBibliography"/>
        <w:spacing w:after="0"/>
        <w:ind w:left="720" w:hanging="720"/>
        <w:jc w:val="both"/>
      </w:pPr>
      <w:r w:rsidRPr="00331E66">
        <w:t>PwC.</w:t>
      </w:r>
      <w:r>
        <w:t xml:space="preserve"> </w:t>
      </w:r>
      <w:r w:rsidRPr="00331E66">
        <w:t xml:space="preserve">2015. Pricewaterhouse Coopers: Global tax transparency and risk management. </w:t>
      </w:r>
      <w:hyperlink r:id="rId13" w:history="1">
        <w:r w:rsidRPr="00331E66">
          <w:rPr>
            <w:rStyle w:val="Hyperlink"/>
            <w:i/>
          </w:rPr>
          <w:t>https://www.pwc.com/gx/en/tax/publications/assets/tax-transparency-and-risk-management.pdf</w:t>
        </w:r>
      </w:hyperlink>
      <w:r w:rsidRPr="00331E66">
        <w:t>.</w:t>
      </w:r>
    </w:p>
    <w:p w14:paraId="158362AE" w14:textId="77777777" w:rsidR="00C00E52" w:rsidRPr="00D756BB" w:rsidRDefault="00C00E52" w:rsidP="00C00E52">
      <w:pPr>
        <w:pStyle w:val="EndNoteBibliography"/>
        <w:spacing w:after="0"/>
        <w:ind w:left="720" w:hanging="720"/>
        <w:jc w:val="both"/>
        <w:rPr>
          <w:rStyle w:val="Hyperlink"/>
          <w:i/>
        </w:rPr>
      </w:pPr>
      <w:r>
        <w:t xml:space="preserve">PwC. 2015b. </w:t>
      </w:r>
      <w:r w:rsidRPr="00331E66">
        <w:t>Pricewaterhouse Coopers</w:t>
      </w:r>
      <w:r>
        <w:t xml:space="preserve">: Stay informed 2015 SEC comment letter trends Income taxes. </w:t>
      </w:r>
      <w:hyperlink r:id="rId14" w:history="1">
        <w:r w:rsidRPr="00D756BB">
          <w:rPr>
            <w:rStyle w:val="Hyperlink"/>
          </w:rPr>
          <w:t>http://www.pwc.com/us/en/tax-accounting-services/publications/assets/pwc-2015-sec-comment-letter-trends-income-taxes.pdf</w:t>
        </w:r>
      </w:hyperlink>
    </w:p>
    <w:p w14:paraId="6C6D718B" w14:textId="77777777" w:rsidR="00C00E52" w:rsidRPr="00331E66" w:rsidRDefault="00C00E52" w:rsidP="00C00E52">
      <w:pPr>
        <w:pStyle w:val="EndNoteBibliography"/>
        <w:spacing w:after="0"/>
        <w:ind w:left="720" w:hanging="720"/>
        <w:jc w:val="both"/>
      </w:pPr>
      <w:r w:rsidRPr="00331E66">
        <w:t xml:space="preserve">Robinson, L. A., and A. P. Schmidt. 2013. Firm and investor responses to uncertain tax benefit disclosure requirements. </w:t>
      </w:r>
      <w:r w:rsidRPr="00331E66">
        <w:rPr>
          <w:i/>
        </w:rPr>
        <w:t>The Journal of the American Taxation Association</w:t>
      </w:r>
      <w:r w:rsidRPr="00331E66">
        <w:t xml:space="preserve"> 35 (2):85-120.</w:t>
      </w:r>
    </w:p>
    <w:p w14:paraId="3DA9D483" w14:textId="77777777" w:rsidR="00C00E52" w:rsidRPr="00331E66" w:rsidRDefault="00C00E52" w:rsidP="00C00E52">
      <w:pPr>
        <w:pStyle w:val="EndNoteBibliography"/>
        <w:spacing w:after="0"/>
        <w:ind w:left="720" w:hanging="720"/>
        <w:jc w:val="both"/>
      </w:pPr>
      <w:r w:rsidRPr="00331E66">
        <w:t xml:space="preserve">Shulman, D. 2010. Prepared remarks of Commissioner of Internal Revenue Douglas Shulman. </w:t>
      </w:r>
      <w:r w:rsidRPr="00331E66">
        <w:rPr>
          <w:i/>
        </w:rPr>
        <w:t>New York State Bar Association Taxation Section Annual Meeting</w:t>
      </w:r>
      <w:r w:rsidRPr="00331E66">
        <w:t xml:space="preserve"> (https://www.aicpa.org/Advocacy/Tax/DownloadableDocuments/Shulman-speech-NYSBA-on-FIN-48-1-26-10.docx ).</w:t>
      </w:r>
    </w:p>
    <w:p w14:paraId="374A7889" w14:textId="77777777" w:rsidR="00C00E52" w:rsidRPr="00331E66" w:rsidRDefault="00C00E52" w:rsidP="00C00E52">
      <w:pPr>
        <w:pStyle w:val="EndNoteBibliography"/>
        <w:spacing w:after="0"/>
        <w:ind w:left="720" w:hanging="720"/>
        <w:jc w:val="both"/>
      </w:pPr>
      <w:r w:rsidRPr="00331E66">
        <w:t xml:space="preserve">Skinner, D. 1994. Why firms voluntarily disclose bad news. </w:t>
      </w:r>
      <w:r w:rsidRPr="00331E66">
        <w:rPr>
          <w:i/>
        </w:rPr>
        <w:t xml:space="preserve">Journal of Accounting Research </w:t>
      </w:r>
      <w:r w:rsidRPr="00331E66">
        <w:t>32 (1):38-60.</w:t>
      </w:r>
    </w:p>
    <w:p w14:paraId="3EFEFC88" w14:textId="77777777" w:rsidR="00C00E52" w:rsidRPr="00331E66" w:rsidRDefault="00C00E52" w:rsidP="00C00E52">
      <w:pPr>
        <w:pStyle w:val="EndNoteBibliography"/>
        <w:spacing w:after="0"/>
        <w:ind w:left="720" w:hanging="720"/>
        <w:jc w:val="both"/>
      </w:pPr>
      <w:r w:rsidRPr="00331E66">
        <w:t xml:space="preserve">Soffer, L., S. R. Thiagarajan, and B. Walther. 2000. Earnings preannouncement strategies. </w:t>
      </w:r>
      <w:r w:rsidRPr="00331E66">
        <w:rPr>
          <w:i/>
        </w:rPr>
        <w:t>Review of Accounting Studies</w:t>
      </w:r>
      <w:r w:rsidRPr="00331E66">
        <w:t xml:space="preserve"> 5: 5–26.</w:t>
      </w:r>
    </w:p>
    <w:p w14:paraId="572AC24D" w14:textId="77777777" w:rsidR="00C00E52" w:rsidRPr="00331E66" w:rsidRDefault="00C00E52" w:rsidP="00C00E52">
      <w:pPr>
        <w:pStyle w:val="EndNoteBibliography"/>
        <w:spacing w:after="0"/>
        <w:ind w:left="720" w:hanging="720"/>
        <w:jc w:val="both"/>
      </w:pPr>
      <w:r w:rsidRPr="00331E66">
        <w:t xml:space="preserve">Spatt, C. 2007. The Economics of FIN 48: Accounting for Uncertainty in Income Taxes. </w:t>
      </w:r>
      <w:r w:rsidRPr="00331E66">
        <w:rPr>
          <w:i/>
        </w:rPr>
        <w:t xml:space="preserve">Available at: </w:t>
      </w:r>
      <w:hyperlink r:id="rId15" w:history="1">
        <w:r w:rsidRPr="00331E66">
          <w:rPr>
            <w:rStyle w:val="Hyperlink"/>
            <w:i/>
          </w:rPr>
          <w:t>http://www.sec.gov/news/speech/2007/spch030807css.htm</w:t>
        </w:r>
      </w:hyperlink>
      <w:r w:rsidRPr="00331E66">
        <w:t>.</w:t>
      </w:r>
    </w:p>
    <w:p w14:paraId="1E6CD619" w14:textId="77777777" w:rsidR="00C00E52" w:rsidRPr="00331E66" w:rsidRDefault="00C00E52" w:rsidP="00C00E52">
      <w:pPr>
        <w:pStyle w:val="EndNoteBibliography"/>
        <w:spacing w:after="0"/>
        <w:ind w:left="720" w:hanging="720"/>
        <w:jc w:val="both"/>
      </w:pPr>
      <w:r w:rsidRPr="00331E66">
        <w:t xml:space="preserve">Towery, E. 2017. Unintended consequences of linking tax return disclosures of tax uncertainty to financial reporting for tax uncertainty. Forthcoming </w:t>
      </w:r>
      <w:r w:rsidRPr="00331E66">
        <w:rPr>
          <w:i/>
        </w:rPr>
        <w:t>The Accounting Review.</w:t>
      </w:r>
    </w:p>
    <w:p w14:paraId="505E338E" w14:textId="77777777" w:rsidR="00C00E52" w:rsidRPr="00331E66" w:rsidRDefault="00C00E52" w:rsidP="00C00E52">
      <w:pPr>
        <w:pStyle w:val="EndNoteBibliography"/>
        <w:spacing w:after="0"/>
        <w:ind w:left="720" w:hanging="720"/>
        <w:jc w:val="both"/>
      </w:pPr>
      <w:r w:rsidRPr="00331E66">
        <w:t xml:space="preserve">Verrecchia, R. E. 1983. Discretionary disclosure. </w:t>
      </w:r>
      <w:r w:rsidRPr="00331E66">
        <w:rPr>
          <w:i/>
        </w:rPr>
        <w:t>Journal of Accounting and Economics</w:t>
      </w:r>
      <w:r w:rsidRPr="00331E66">
        <w:t xml:space="preserve"> 5:179-194.</w:t>
      </w:r>
    </w:p>
    <w:p w14:paraId="48ECAA73" w14:textId="77777777" w:rsidR="00C00E52" w:rsidRDefault="00C00E52" w:rsidP="00C00E52">
      <w:pPr>
        <w:pStyle w:val="EndNoteBibliography"/>
        <w:spacing w:after="0"/>
        <w:ind w:left="720" w:hanging="720"/>
        <w:jc w:val="both"/>
      </w:pPr>
      <w:r w:rsidRPr="00331E66">
        <w:t xml:space="preserve">Verrecchia, R.E. 1990. Information quality and discretionary disclosure. </w:t>
      </w:r>
      <w:r w:rsidRPr="00331E66">
        <w:rPr>
          <w:i/>
        </w:rPr>
        <w:t>Journal of Accounting and Economics</w:t>
      </w:r>
      <w:r w:rsidRPr="00331E66">
        <w:t xml:space="preserve"> 12 (4): 365-380.</w:t>
      </w:r>
    </w:p>
    <w:p w14:paraId="3A53CBC7" w14:textId="77777777" w:rsidR="00C00E52" w:rsidRPr="00331E66" w:rsidRDefault="00C00E52" w:rsidP="00C00E52">
      <w:pPr>
        <w:pStyle w:val="EndNoteBibliography"/>
        <w:spacing w:after="0"/>
        <w:ind w:left="720" w:hanging="720"/>
        <w:jc w:val="both"/>
      </w:pPr>
      <w:r w:rsidRPr="00331E66">
        <w:t xml:space="preserve">Verrecchia, R.E. </w:t>
      </w:r>
      <w:r w:rsidRPr="00ED3533">
        <w:t>2001. Essays on disclosure. Journal of Accounting and Economics 32 (1–3): 97–180.</w:t>
      </w:r>
    </w:p>
    <w:p w14:paraId="3BBD6E81" w14:textId="77777777" w:rsidR="00C00E52" w:rsidRPr="00331E66" w:rsidRDefault="00C00E52" w:rsidP="00C00E52">
      <w:pPr>
        <w:pStyle w:val="EndNoteBibliography"/>
        <w:spacing w:after="0"/>
        <w:ind w:left="720" w:hanging="720"/>
        <w:jc w:val="both"/>
      </w:pPr>
      <w:r w:rsidRPr="00331E66">
        <w:t xml:space="preserve">Wagenhofer, A. 1990. Voluntary disclosure with a strategic opponent. </w:t>
      </w:r>
      <w:r w:rsidRPr="00331E66">
        <w:rPr>
          <w:i/>
        </w:rPr>
        <w:t>Journal of Accounting and Economics</w:t>
      </w:r>
      <w:r w:rsidRPr="00331E66">
        <w:t xml:space="preserve"> 12 (4):341-363.</w:t>
      </w:r>
    </w:p>
    <w:p w14:paraId="6D452334" w14:textId="77777777" w:rsidR="00C00E52" w:rsidRPr="00331E66" w:rsidRDefault="00C00E52" w:rsidP="00C00E52">
      <w:pPr>
        <w:pStyle w:val="EndNoteBibliography"/>
        <w:spacing w:after="0"/>
        <w:ind w:left="720" w:hanging="720"/>
        <w:jc w:val="both"/>
      </w:pPr>
      <w:r w:rsidRPr="00331E66">
        <w:t xml:space="preserve">Wang, S.-W. 1994. The relationship between financial reporting practices and the 1986 alternative minimum tax. </w:t>
      </w:r>
      <w:r w:rsidRPr="00331E66">
        <w:rPr>
          <w:i/>
        </w:rPr>
        <w:t>Accounting Review</w:t>
      </w:r>
      <w:r w:rsidRPr="00331E66">
        <w:t>:495-506.</w:t>
      </w:r>
    </w:p>
    <w:p w14:paraId="106461A7" w14:textId="77777777" w:rsidR="00C00E52" w:rsidRPr="00331E66" w:rsidRDefault="00C00E52" w:rsidP="00C00E52">
      <w:pPr>
        <w:pStyle w:val="EndNoteBibliography"/>
        <w:ind w:left="720" w:hanging="720"/>
        <w:jc w:val="both"/>
      </w:pPr>
      <w:r w:rsidRPr="00331E66">
        <w:t xml:space="preserve">Warfield, T. D., J. J. Wild, and K. L. Wild. 1995. Managerial ownership, accounting choices, and informativeness of earnings. </w:t>
      </w:r>
      <w:r w:rsidRPr="00331E66">
        <w:rPr>
          <w:i/>
        </w:rPr>
        <w:t>Journal of Accounting and Economics</w:t>
      </w:r>
      <w:r w:rsidRPr="00331E66">
        <w:t xml:space="preserve"> 20 (1):61-91.</w:t>
      </w:r>
    </w:p>
    <w:p w14:paraId="7602FC89" w14:textId="77777777" w:rsidR="00C00E52" w:rsidRPr="00331E66" w:rsidRDefault="00C00E52" w:rsidP="00C00E52">
      <w:pPr>
        <w:spacing w:before="120"/>
        <w:ind w:left="720" w:hanging="720"/>
        <w:jc w:val="both"/>
        <w:rPr>
          <w:rFonts w:ascii="Times New Roman" w:hAnsi="Times New Roman" w:cs="Times New Roman"/>
          <w:sz w:val="24"/>
          <w:szCs w:val="24"/>
        </w:rPr>
      </w:pPr>
      <w:r w:rsidRPr="00331E66">
        <w:rPr>
          <w:rFonts w:ascii="Times New Roman" w:hAnsi="Times New Roman" w:cs="Times New Roman"/>
          <w:noProof/>
          <w:sz w:val="24"/>
        </w:rPr>
        <w:t>Watts, R. L. and J. L. Zimmerman. 1986. Positive Accounting Theory. Englewood Cliffs, NJ: Prentice Hall.</w:t>
      </w:r>
      <w:r w:rsidRPr="00331E66">
        <w:rPr>
          <w:rFonts w:ascii="Times New Roman" w:hAnsi="Times New Roman" w:cs="Times New Roman"/>
          <w:sz w:val="24"/>
          <w:szCs w:val="24"/>
        </w:rPr>
        <w:fldChar w:fldCharType="end"/>
      </w:r>
      <w:r w:rsidRPr="00331E66">
        <w:rPr>
          <w:rFonts w:ascii="Times New Roman" w:hAnsi="Times New Roman" w:cs="Times New Roman"/>
          <w:sz w:val="24"/>
          <w:szCs w:val="24"/>
        </w:rPr>
        <w:br w:type="page"/>
      </w:r>
    </w:p>
    <w:p w14:paraId="616AB677" w14:textId="5C534EE5" w:rsidR="00E118B3" w:rsidRDefault="005E2686" w:rsidP="00E118B3">
      <w:pPr>
        <w:jc w:val="center"/>
        <w:rPr>
          <w:rFonts w:ascii="Times New Roman" w:hAnsi="Times New Roman" w:cs="Times New Roman"/>
          <w:b/>
          <w:bCs/>
          <w:sz w:val="24"/>
          <w:szCs w:val="24"/>
        </w:rPr>
      </w:pPr>
      <w:r>
        <w:rPr>
          <w:rFonts w:ascii="Times New Roman" w:hAnsi="Times New Roman" w:cs="Times New Roman"/>
          <w:b/>
          <w:bCs/>
          <w:sz w:val="24"/>
          <w:szCs w:val="24"/>
        </w:rPr>
        <w:t>Appendices</w:t>
      </w:r>
      <w:r w:rsidR="00E118B3">
        <w:rPr>
          <w:rFonts w:ascii="Times New Roman" w:hAnsi="Times New Roman" w:cs="Times New Roman"/>
          <w:b/>
          <w:bCs/>
          <w:sz w:val="24"/>
          <w:szCs w:val="24"/>
        </w:rPr>
        <w:br w:type="page"/>
      </w:r>
    </w:p>
    <w:p w14:paraId="6A12D2FF" w14:textId="3267FE5B" w:rsidR="00C00E52" w:rsidRPr="00331E66" w:rsidRDefault="00C00E52" w:rsidP="00C3183E">
      <w:pPr>
        <w:spacing w:after="0"/>
        <w:rPr>
          <w:rFonts w:ascii="Times New Roman" w:hAnsi="Times New Roman" w:cs="Times New Roman"/>
          <w:b/>
          <w:bCs/>
          <w:sz w:val="24"/>
          <w:szCs w:val="24"/>
        </w:rPr>
      </w:pPr>
      <w:r w:rsidRPr="00331E66">
        <w:rPr>
          <w:rFonts w:ascii="Times New Roman" w:hAnsi="Times New Roman" w:cs="Times New Roman"/>
          <w:b/>
          <w:bCs/>
          <w:sz w:val="24"/>
          <w:szCs w:val="24"/>
        </w:rPr>
        <w:t>Appendix</w:t>
      </w:r>
      <w:r>
        <w:rPr>
          <w:rFonts w:ascii="Times New Roman" w:hAnsi="Times New Roman" w:cs="Times New Roman"/>
          <w:b/>
          <w:bCs/>
          <w:sz w:val="24"/>
          <w:szCs w:val="24"/>
        </w:rPr>
        <w:t xml:space="preserve"> A</w:t>
      </w:r>
    </w:p>
    <w:p w14:paraId="6F356D35" w14:textId="77777777" w:rsidR="00C00E52" w:rsidRPr="00331E66" w:rsidRDefault="00C00E52" w:rsidP="00C3183E">
      <w:pPr>
        <w:spacing w:after="0"/>
        <w:rPr>
          <w:rFonts w:ascii="Times New Roman" w:hAnsi="Times New Roman" w:cs="Times New Roman"/>
          <w:b/>
          <w:bCs/>
          <w:sz w:val="24"/>
          <w:szCs w:val="24"/>
        </w:rPr>
      </w:pPr>
      <w:r w:rsidRPr="00331E66">
        <w:rPr>
          <w:rFonts w:ascii="Times New Roman" w:hAnsi="Times New Roman" w:cs="Times New Roman"/>
          <w:b/>
          <w:bCs/>
          <w:sz w:val="24"/>
          <w:szCs w:val="24"/>
        </w:rPr>
        <w:t>Example of FIN 48 10-K financial statement disclosure and disclosure scores</w:t>
      </w:r>
    </w:p>
    <w:p w14:paraId="6FAB6BA8" w14:textId="77777777" w:rsidR="00C00E52" w:rsidRPr="00331E66" w:rsidRDefault="00C00E52" w:rsidP="00C00E52">
      <w:pPr>
        <w:shd w:val="clear" w:color="auto" w:fill="FFFFFF"/>
        <w:spacing w:before="180" w:after="0" w:line="240" w:lineRule="auto"/>
        <w:rPr>
          <w:rFonts w:ascii="Times New Roman" w:eastAsia="Times New Roman" w:hAnsi="Times New Roman" w:cs="Times New Roman"/>
          <w:color w:val="000000"/>
          <w:sz w:val="20"/>
          <w:szCs w:val="20"/>
        </w:rPr>
      </w:pPr>
      <w:r w:rsidRPr="00331E66">
        <w:rPr>
          <w:rFonts w:ascii="Times New Roman" w:eastAsia="Times New Roman" w:hAnsi="Times New Roman" w:cs="Times New Roman"/>
          <w:b/>
          <w:color w:val="000000"/>
          <w:sz w:val="20"/>
          <w:szCs w:val="20"/>
        </w:rPr>
        <w:t xml:space="preserve">Loews Corporation </w:t>
      </w:r>
      <w:r w:rsidRPr="00331E66">
        <w:rPr>
          <w:rFonts w:ascii="Times New Roman" w:eastAsia="Times New Roman" w:hAnsi="Times New Roman" w:cs="Times New Roman"/>
          <w:color w:val="000000"/>
          <w:sz w:val="20"/>
          <w:szCs w:val="20"/>
        </w:rPr>
        <w:t>December 31, 2009</w:t>
      </w:r>
    </w:p>
    <w:p w14:paraId="1E4E1155" w14:textId="77777777" w:rsidR="00C00E52" w:rsidRPr="00331E66" w:rsidRDefault="00C00E52" w:rsidP="00C00E52">
      <w:pPr>
        <w:shd w:val="clear" w:color="auto" w:fill="FFFFFF"/>
        <w:spacing w:before="180" w:after="0" w:line="240" w:lineRule="auto"/>
        <w:ind w:firstLine="490"/>
        <w:rPr>
          <w:rFonts w:ascii="Times New Roman" w:eastAsia="Times New Roman" w:hAnsi="Times New Roman" w:cs="Times New Roman"/>
          <w:color w:val="000000"/>
          <w:sz w:val="20"/>
          <w:szCs w:val="20"/>
        </w:rPr>
      </w:pPr>
      <w:r w:rsidRPr="00331E66">
        <w:rPr>
          <w:rFonts w:ascii="Times New Roman" w:eastAsia="Times New Roman" w:hAnsi="Times New Roman" w:cs="Times New Roman"/>
          <w:color w:val="000000"/>
          <w:sz w:val="20"/>
          <w:szCs w:val="20"/>
        </w:rPr>
        <w:t xml:space="preserve">A reconciliation of the beginning and ending amount of unrecognized tax benefits is as follows: </w:t>
      </w:r>
      <w:r w:rsidRPr="00331E66">
        <w:rPr>
          <w:rFonts w:ascii="Times New Roman" w:eastAsia="Times New Roman" w:hAnsi="Times New Roman" w:cs="Times New Roman"/>
          <w:b/>
          <w:color w:val="000000"/>
          <w:sz w:val="20"/>
          <w:szCs w:val="20"/>
        </w:rPr>
        <w:t>(1C_UTB)</w:t>
      </w:r>
    </w:p>
    <w:p w14:paraId="33FBA2C0" w14:textId="77777777" w:rsidR="00C00E52" w:rsidRPr="00331E66"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331E66">
        <w:rPr>
          <w:rFonts w:ascii="Times New Roman" w:eastAsia="Times New Roman" w:hAnsi="Times New Roman" w:cs="Times New Roman"/>
          <w:color w:val="000000"/>
          <w:sz w:val="20"/>
          <w:szCs w:val="20"/>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56"/>
        <w:gridCol w:w="156"/>
        <w:gridCol w:w="207"/>
        <w:gridCol w:w="417"/>
        <w:gridCol w:w="183"/>
        <w:gridCol w:w="78"/>
        <w:gridCol w:w="207"/>
        <w:gridCol w:w="417"/>
        <w:gridCol w:w="183"/>
        <w:gridCol w:w="78"/>
        <w:gridCol w:w="78"/>
      </w:tblGrid>
      <w:tr w:rsidR="00C00E52" w:rsidRPr="00331E66" w14:paraId="06AD3EC2" w14:textId="77777777" w:rsidTr="00C00E52">
        <w:trPr>
          <w:tblCellSpacing w:w="0" w:type="dxa"/>
          <w:jc w:val="center"/>
        </w:trPr>
        <w:tc>
          <w:tcPr>
            <w:tcW w:w="0" w:type="auto"/>
            <w:shd w:val="clear" w:color="auto" w:fill="FFFFFF"/>
            <w:noWrap/>
            <w:vAlign w:val="bottom"/>
            <w:hideMark/>
          </w:tcPr>
          <w:p w14:paraId="579F746B"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Year Ended December 31</w:t>
            </w:r>
          </w:p>
        </w:tc>
        <w:tc>
          <w:tcPr>
            <w:tcW w:w="0" w:type="auto"/>
            <w:shd w:val="clear" w:color="auto" w:fill="FFFFFF"/>
            <w:vAlign w:val="bottom"/>
            <w:hideMark/>
          </w:tcPr>
          <w:p w14:paraId="1B421074"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gridSpan w:val="2"/>
            <w:shd w:val="clear" w:color="auto" w:fill="FFFFFF"/>
            <w:vAlign w:val="bottom"/>
            <w:hideMark/>
          </w:tcPr>
          <w:p w14:paraId="507DF4FA" w14:textId="77777777" w:rsidR="00C00E52" w:rsidRPr="00331E66" w:rsidRDefault="00C00E52" w:rsidP="00C00E52">
            <w:pPr>
              <w:spacing w:after="0" w:line="240" w:lineRule="auto"/>
              <w:jc w:val="center"/>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2009</w:t>
            </w:r>
          </w:p>
        </w:tc>
        <w:tc>
          <w:tcPr>
            <w:tcW w:w="0" w:type="auto"/>
            <w:shd w:val="clear" w:color="auto" w:fill="FFFFFF"/>
            <w:vAlign w:val="bottom"/>
            <w:hideMark/>
          </w:tcPr>
          <w:p w14:paraId="0B2BF590"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30784784"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gridSpan w:val="2"/>
            <w:shd w:val="clear" w:color="auto" w:fill="FFFFFF"/>
            <w:vAlign w:val="bottom"/>
            <w:hideMark/>
          </w:tcPr>
          <w:p w14:paraId="115C6142" w14:textId="77777777" w:rsidR="00C00E52" w:rsidRPr="00331E66" w:rsidRDefault="00C00E52" w:rsidP="00C00E52">
            <w:pPr>
              <w:spacing w:after="0" w:line="240" w:lineRule="auto"/>
              <w:jc w:val="center"/>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2008</w:t>
            </w:r>
          </w:p>
        </w:tc>
        <w:tc>
          <w:tcPr>
            <w:tcW w:w="0" w:type="auto"/>
            <w:shd w:val="clear" w:color="auto" w:fill="FFFFFF"/>
            <w:vAlign w:val="bottom"/>
            <w:hideMark/>
          </w:tcPr>
          <w:p w14:paraId="200BCD5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7FD12418"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1562B458"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r>
      <w:tr w:rsidR="00C00E52" w:rsidRPr="00331E66" w14:paraId="11C6D411" w14:textId="77777777" w:rsidTr="00C00E52">
        <w:trPr>
          <w:tblCellSpacing w:w="0" w:type="dxa"/>
          <w:jc w:val="center"/>
        </w:trPr>
        <w:tc>
          <w:tcPr>
            <w:tcW w:w="0" w:type="auto"/>
            <w:gridSpan w:val="11"/>
            <w:tcBorders>
              <w:top w:val="single" w:sz="6" w:space="0" w:color="000000"/>
            </w:tcBorders>
            <w:shd w:val="clear" w:color="auto" w:fill="FFFFFF"/>
            <w:vAlign w:val="bottom"/>
            <w:hideMark/>
          </w:tcPr>
          <w:p w14:paraId="3F4D411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r>
      <w:tr w:rsidR="00C00E52" w:rsidRPr="00331E66" w14:paraId="32600769" w14:textId="77777777" w:rsidTr="00C00E52">
        <w:trPr>
          <w:tblCellSpacing w:w="0" w:type="dxa"/>
          <w:jc w:val="center"/>
        </w:trPr>
        <w:tc>
          <w:tcPr>
            <w:tcW w:w="0" w:type="auto"/>
            <w:shd w:val="clear" w:color="auto" w:fill="FFFFFF"/>
            <w:noWrap/>
            <w:vAlign w:val="bottom"/>
            <w:hideMark/>
          </w:tcPr>
          <w:p w14:paraId="13C2594F"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(In millions)</w:t>
            </w:r>
          </w:p>
        </w:tc>
        <w:tc>
          <w:tcPr>
            <w:tcW w:w="0" w:type="auto"/>
            <w:shd w:val="clear" w:color="auto" w:fill="FFFFFF"/>
            <w:vAlign w:val="bottom"/>
            <w:hideMark/>
          </w:tcPr>
          <w:p w14:paraId="21E8E9F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gridSpan w:val="2"/>
            <w:shd w:val="clear" w:color="auto" w:fill="FFFFFF"/>
            <w:vAlign w:val="bottom"/>
            <w:hideMark/>
          </w:tcPr>
          <w:p w14:paraId="7F648065"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4D9E907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5718DCC0"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gridSpan w:val="2"/>
            <w:shd w:val="clear" w:color="auto" w:fill="FFFFFF"/>
            <w:vAlign w:val="bottom"/>
            <w:hideMark/>
          </w:tcPr>
          <w:p w14:paraId="6FD9A271"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0B39AA1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3E3ECA29"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09DE5B44"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r>
      <w:tr w:rsidR="00C00E52" w:rsidRPr="00331E66" w14:paraId="511B292B" w14:textId="77777777" w:rsidTr="00C00E52">
        <w:trPr>
          <w:tblCellSpacing w:w="0" w:type="dxa"/>
          <w:jc w:val="center"/>
        </w:trPr>
        <w:tc>
          <w:tcPr>
            <w:tcW w:w="0" w:type="auto"/>
            <w:shd w:val="clear" w:color="auto" w:fill="CCEEFF"/>
            <w:hideMark/>
          </w:tcPr>
          <w:p w14:paraId="29091A77" w14:textId="77777777" w:rsidR="00C00E52" w:rsidRPr="00331E66" w:rsidRDefault="00C00E52" w:rsidP="00C00E52">
            <w:pPr>
              <w:spacing w:before="100" w:beforeAutospacing="1" w:after="100" w:afterAutospacing="1" w:line="240" w:lineRule="auto"/>
              <w:ind w:left="240" w:hanging="240"/>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Balance at January 1</w:t>
            </w:r>
          </w:p>
        </w:tc>
        <w:tc>
          <w:tcPr>
            <w:tcW w:w="0" w:type="auto"/>
            <w:shd w:val="clear" w:color="auto" w:fill="CCEEFF"/>
            <w:vAlign w:val="bottom"/>
            <w:hideMark/>
          </w:tcPr>
          <w:p w14:paraId="5D492078"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596F823F"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w:t>
            </w:r>
          </w:p>
        </w:tc>
        <w:tc>
          <w:tcPr>
            <w:tcW w:w="0" w:type="auto"/>
            <w:shd w:val="clear" w:color="auto" w:fill="CCEEFF"/>
            <w:vAlign w:val="bottom"/>
            <w:hideMark/>
          </w:tcPr>
          <w:p w14:paraId="25E47EE2"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24</w:t>
            </w:r>
          </w:p>
        </w:tc>
        <w:tc>
          <w:tcPr>
            <w:tcW w:w="0" w:type="auto"/>
            <w:shd w:val="clear" w:color="auto" w:fill="CCEEFF"/>
            <w:noWrap/>
            <w:vAlign w:val="bottom"/>
            <w:hideMark/>
          </w:tcPr>
          <w:p w14:paraId="49E46F54"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CCEEFF"/>
            <w:vAlign w:val="bottom"/>
            <w:hideMark/>
          </w:tcPr>
          <w:p w14:paraId="5B8FD171"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3762B36B"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w:t>
            </w:r>
          </w:p>
        </w:tc>
        <w:tc>
          <w:tcPr>
            <w:tcW w:w="0" w:type="auto"/>
            <w:shd w:val="clear" w:color="auto" w:fill="CCEEFF"/>
            <w:vAlign w:val="bottom"/>
            <w:hideMark/>
          </w:tcPr>
          <w:p w14:paraId="6089E1C4"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20</w:t>
            </w:r>
          </w:p>
        </w:tc>
        <w:tc>
          <w:tcPr>
            <w:tcW w:w="0" w:type="auto"/>
            <w:shd w:val="clear" w:color="auto" w:fill="CCEEFF"/>
            <w:noWrap/>
            <w:vAlign w:val="bottom"/>
            <w:hideMark/>
          </w:tcPr>
          <w:p w14:paraId="24A70A80"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374A925D"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42DDC6A9" w14:textId="77777777" w:rsidR="00C00E52" w:rsidRPr="00331E66" w:rsidRDefault="00C00E52" w:rsidP="00C00E52">
            <w:pPr>
              <w:spacing w:after="0" w:line="240" w:lineRule="auto"/>
              <w:rPr>
                <w:rFonts w:ascii="Times New Roman" w:eastAsia="Times New Roman" w:hAnsi="Times New Roman" w:cs="Times New Roman"/>
                <w:sz w:val="20"/>
                <w:szCs w:val="20"/>
              </w:rPr>
            </w:pPr>
          </w:p>
        </w:tc>
      </w:tr>
      <w:tr w:rsidR="00C00E52" w:rsidRPr="00331E66" w14:paraId="5AD86A8B" w14:textId="77777777" w:rsidTr="00C00E52">
        <w:trPr>
          <w:tblCellSpacing w:w="0" w:type="dxa"/>
          <w:jc w:val="center"/>
        </w:trPr>
        <w:tc>
          <w:tcPr>
            <w:tcW w:w="0" w:type="auto"/>
            <w:shd w:val="clear" w:color="auto" w:fill="FFFFFF"/>
            <w:hideMark/>
          </w:tcPr>
          <w:p w14:paraId="1A07466B" w14:textId="77777777" w:rsidR="00C00E52" w:rsidRPr="00331E66" w:rsidRDefault="00C00E52" w:rsidP="00C00E52">
            <w:pPr>
              <w:spacing w:before="100" w:beforeAutospacing="1" w:after="100" w:afterAutospacing="1" w:line="240" w:lineRule="auto"/>
              <w:ind w:left="240" w:hanging="240"/>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Additions based on tax positions related to the current year</w:t>
            </w:r>
          </w:p>
        </w:tc>
        <w:tc>
          <w:tcPr>
            <w:tcW w:w="0" w:type="auto"/>
            <w:shd w:val="clear" w:color="auto" w:fill="FFFFFF"/>
            <w:vAlign w:val="bottom"/>
            <w:hideMark/>
          </w:tcPr>
          <w:p w14:paraId="24252AA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40E1E97D"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FFFFFF"/>
            <w:vAlign w:val="bottom"/>
            <w:hideMark/>
          </w:tcPr>
          <w:p w14:paraId="35C72951"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4</w:t>
            </w:r>
          </w:p>
        </w:tc>
        <w:tc>
          <w:tcPr>
            <w:tcW w:w="0" w:type="auto"/>
            <w:shd w:val="clear" w:color="auto" w:fill="FFFFFF"/>
            <w:noWrap/>
            <w:vAlign w:val="bottom"/>
            <w:hideMark/>
          </w:tcPr>
          <w:p w14:paraId="3488D82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FFFFFF"/>
            <w:vAlign w:val="bottom"/>
            <w:hideMark/>
          </w:tcPr>
          <w:p w14:paraId="00D90DD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21F4910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3E6C7B8E"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6</w:t>
            </w:r>
          </w:p>
        </w:tc>
        <w:tc>
          <w:tcPr>
            <w:tcW w:w="0" w:type="auto"/>
            <w:shd w:val="clear" w:color="auto" w:fill="FFFFFF"/>
            <w:noWrap/>
            <w:vAlign w:val="bottom"/>
            <w:hideMark/>
          </w:tcPr>
          <w:p w14:paraId="62CCDCE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684351B2"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79A21A50" w14:textId="77777777" w:rsidR="00C00E52" w:rsidRPr="00331E66" w:rsidRDefault="00C00E52" w:rsidP="00C00E52">
            <w:pPr>
              <w:spacing w:after="0" w:line="240" w:lineRule="auto"/>
              <w:rPr>
                <w:rFonts w:ascii="Times New Roman" w:eastAsia="Times New Roman" w:hAnsi="Times New Roman" w:cs="Times New Roman"/>
                <w:sz w:val="20"/>
                <w:szCs w:val="20"/>
              </w:rPr>
            </w:pPr>
          </w:p>
        </w:tc>
      </w:tr>
      <w:tr w:rsidR="00C00E52" w:rsidRPr="00331E66" w14:paraId="55EB3F6E" w14:textId="77777777" w:rsidTr="00C00E52">
        <w:trPr>
          <w:tblCellSpacing w:w="0" w:type="dxa"/>
          <w:jc w:val="center"/>
        </w:trPr>
        <w:tc>
          <w:tcPr>
            <w:tcW w:w="0" w:type="auto"/>
            <w:shd w:val="clear" w:color="auto" w:fill="CCEEFF"/>
            <w:hideMark/>
          </w:tcPr>
          <w:p w14:paraId="3B7C3D86" w14:textId="77777777" w:rsidR="00C00E52" w:rsidRPr="00331E66" w:rsidRDefault="00C00E52" w:rsidP="00C00E52">
            <w:pPr>
              <w:spacing w:before="100" w:beforeAutospacing="1" w:after="100" w:afterAutospacing="1" w:line="240" w:lineRule="auto"/>
              <w:ind w:left="240" w:hanging="240"/>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Additions for tax positions related to prior years</w:t>
            </w:r>
          </w:p>
        </w:tc>
        <w:tc>
          <w:tcPr>
            <w:tcW w:w="0" w:type="auto"/>
            <w:shd w:val="clear" w:color="auto" w:fill="CCEEFF"/>
            <w:vAlign w:val="bottom"/>
            <w:hideMark/>
          </w:tcPr>
          <w:p w14:paraId="28510E28"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4898CB2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CCEEFF"/>
            <w:vAlign w:val="bottom"/>
            <w:hideMark/>
          </w:tcPr>
          <w:p w14:paraId="28B680F8"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5</w:t>
            </w:r>
          </w:p>
        </w:tc>
        <w:tc>
          <w:tcPr>
            <w:tcW w:w="0" w:type="auto"/>
            <w:shd w:val="clear" w:color="auto" w:fill="CCEEFF"/>
            <w:noWrap/>
            <w:vAlign w:val="bottom"/>
            <w:hideMark/>
          </w:tcPr>
          <w:p w14:paraId="7C7E6FD9"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CCEEFF"/>
            <w:vAlign w:val="bottom"/>
            <w:hideMark/>
          </w:tcPr>
          <w:p w14:paraId="1995DC28"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252BBBFB" w14:textId="77777777" w:rsidR="00C00E52" w:rsidRPr="00331E66" w:rsidRDefault="00C00E52" w:rsidP="00C00E52">
            <w:pPr>
              <w:spacing w:after="0" w:line="240" w:lineRule="auto"/>
              <w:rPr>
                <w:rFonts w:ascii="Times New Roman" w:eastAsia="Times New Roman" w:hAnsi="Times New Roman" w:cs="Times New Roman"/>
                <w:sz w:val="20"/>
                <w:szCs w:val="20"/>
              </w:rPr>
            </w:pPr>
          </w:p>
        </w:tc>
        <w:tc>
          <w:tcPr>
            <w:tcW w:w="0" w:type="auto"/>
            <w:shd w:val="clear" w:color="auto" w:fill="CCEEFF"/>
            <w:vAlign w:val="bottom"/>
            <w:hideMark/>
          </w:tcPr>
          <w:p w14:paraId="19D750AC" w14:textId="77777777" w:rsidR="00C00E52" w:rsidRPr="00331E66" w:rsidRDefault="00C00E52" w:rsidP="00C00E52">
            <w:pPr>
              <w:spacing w:after="0" w:line="240" w:lineRule="auto"/>
              <w:rPr>
                <w:rFonts w:ascii="Times New Roman" w:eastAsia="Times New Roman" w:hAnsi="Times New Roman" w:cs="Times New Roman"/>
                <w:sz w:val="20"/>
                <w:szCs w:val="20"/>
              </w:rPr>
            </w:pPr>
          </w:p>
        </w:tc>
        <w:tc>
          <w:tcPr>
            <w:tcW w:w="0" w:type="auto"/>
            <w:shd w:val="clear" w:color="auto" w:fill="CCEEFF"/>
            <w:vAlign w:val="bottom"/>
            <w:hideMark/>
          </w:tcPr>
          <w:p w14:paraId="743E8AB5" w14:textId="77777777" w:rsidR="00C00E52" w:rsidRPr="00331E66" w:rsidRDefault="00C00E52" w:rsidP="00C00E52">
            <w:pPr>
              <w:spacing w:after="0" w:line="240" w:lineRule="auto"/>
              <w:rPr>
                <w:rFonts w:ascii="Times New Roman" w:eastAsia="Times New Roman" w:hAnsi="Times New Roman" w:cs="Times New Roman"/>
                <w:sz w:val="20"/>
                <w:szCs w:val="20"/>
              </w:rPr>
            </w:pPr>
          </w:p>
        </w:tc>
        <w:tc>
          <w:tcPr>
            <w:tcW w:w="0" w:type="auto"/>
            <w:shd w:val="clear" w:color="auto" w:fill="CCEEFF"/>
            <w:vAlign w:val="bottom"/>
            <w:hideMark/>
          </w:tcPr>
          <w:p w14:paraId="1E5C32C0"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52139FEE" w14:textId="77777777" w:rsidR="00C00E52" w:rsidRPr="00331E66" w:rsidRDefault="00C00E52" w:rsidP="00C00E52">
            <w:pPr>
              <w:spacing w:after="0" w:line="240" w:lineRule="auto"/>
              <w:rPr>
                <w:rFonts w:ascii="Times New Roman" w:eastAsia="Times New Roman" w:hAnsi="Times New Roman" w:cs="Times New Roman"/>
                <w:sz w:val="20"/>
                <w:szCs w:val="20"/>
              </w:rPr>
            </w:pPr>
          </w:p>
        </w:tc>
      </w:tr>
      <w:tr w:rsidR="00C00E52" w:rsidRPr="00331E66" w14:paraId="766D4861" w14:textId="77777777" w:rsidTr="00C00E52">
        <w:trPr>
          <w:tblCellSpacing w:w="0" w:type="dxa"/>
          <w:jc w:val="center"/>
        </w:trPr>
        <w:tc>
          <w:tcPr>
            <w:tcW w:w="0" w:type="auto"/>
            <w:shd w:val="clear" w:color="auto" w:fill="FFFFFF"/>
            <w:hideMark/>
          </w:tcPr>
          <w:p w14:paraId="3CED5439" w14:textId="77777777" w:rsidR="00C00E52" w:rsidRPr="00331E66" w:rsidRDefault="00C00E52" w:rsidP="00C00E52">
            <w:pPr>
              <w:spacing w:before="100" w:beforeAutospacing="1" w:after="100" w:afterAutospacing="1" w:line="240" w:lineRule="auto"/>
              <w:ind w:left="240" w:hanging="240"/>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Lapse of statute of limitations</w:t>
            </w:r>
          </w:p>
        </w:tc>
        <w:tc>
          <w:tcPr>
            <w:tcW w:w="0" w:type="auto"/>
            <w:shd w:val="clear" w:color="auto" w:fill="FFFFFF"/>
            <w:vAlign w:val="bottom"/>
            <w:hideMark/>
          </w:tcPr>
          <w:p w14:paraId="77C4F2CF"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59A3E2D0"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FFFFFF"/>
            <w:vAlign w:val="bottom"/>
            <w:hideMark/>
          </w:tcPr>
          <w:p w14:paraId="7F4129E3"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(6</w:t>
            </w:r>
          </w:p>
        </w:tc>
        <w:tc>
          <w:tcPr>
            <w:tcW w:w="0" w:type="auto"/>
            <w:shd w:val="clear" w:color="auto" w:fill="FFFFFF"/>
            <w:noWrap/>
            <w:vAlign w:val="bottom"/>
            <w:hideMark/>
          </w:tcPr>
          <w:p w14:paraId="01F0F1FD"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FFFFFF"/>
            <w:vAlign w:val="bottom"/>
            <w:hideMark/>
          </w:tcPr>
          <w:p w14:paraId="1380289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36A1ECBE"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7D04153A"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(2</w:t>
            </w:r>
          </w:p>
        </w:tc>
        <w:tc>
          <w:tcPr>
            <w:tcW w:w="0" w:type="auto"/>
            <w:shd w:val="clear" w:color="auto" w:fill="FFFFFF"/>
            <w:noWrap/>
            <w:vAlign w:val="bottom"/>
            <w:hideMark/>
          </w:tcPr>
          <w:p w14:paraId="20AF5AF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02418A2E"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FFFFFF"/>
            <w:vAlign w:val="bottom"/>
            <w:hideMark/>
          </w:tcPr>
          <w:p w14:paraId="275EAF06" w14:textId="77777777" w:rsidR="00C00E52" w:rsidRPr="00331E66" w:rsidRDefault="00C00E52" w:rsidP="00C00E52">
            <w:pPr>
              <w:spacing w:after="0" w:line="240" w:lineRule="auto"/>
              <w:rPr>
                <w:rFonts w:ascii="Times New Roman" w:eastAsia="Times New Roman" w:hAnsi="Times New Roman" w:cs="Times New Roman"/>
                <w:sz w:val="20"/>
                <w:szCs w:val="20"/>
              </w:rPr>
            </w:pPr>
          </w:p>
        </w:tc>
      </w:tr>
      <w:tr w:rsidR="00C00E52" w:rsidRPr="00331E66" w14:paraId="6A1428B2" w14:textId="77777777" w:rsidTr="00C00E52">
        <w:trPr>
          <w:tblCellSpacing w:w="0" w:type="dxa"/>
          <w:jc w:val="center"/>
        </w:trPr>
        <w:tc>
          <w:tcPr>
            <w:tcW w:w="0" w:type="auto"/>
            <w:gridSpan w:val="11"/>
            <w:tcBorders>
              <w:top w:val="single" w:sz="6" w:space="0" w:color="000000"/>
            </w:tcBorders>
            <w:shd w:val="clear" w:color="auto" w:fill="FFFFFF"/>
            <w:vAlign w:val="bottom"/>
            <w:hideMark/>
          </w:tcPr>
          <w:p w14:paraId="597EA1DB"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r>
      <w:tr w:rsidR="00C00E52" w:rsidRPr="00331E66" w14:paraId="0BDF7389" w14:textId="77777777" w:rsidTr="00C00E52">
        <w:trPr>
          <w:tblCellSpacing w:w="0" w:type="dxa"/>
          <w:jc w:val="center"/>
        </w:trPr>
        <w:tc>
          <w:tcPr>
            <w:tcW w:w="0" w:type="auto"/>
            <w:shd w:val="clear" w:color="auto" w:fill="CCEEFF"/>
            <w:hideMark/>
          </w:tcPr>
          <w:p w14:paraId="226A2236" w14:textId="77777777" w:rsidR="00C00E52" w:rsidRPr="00331E66" w:rsidRDefault="00C00E52" w:rsidP="00C00E52">
            <w:pPr>
              <w:spacing w:before="100" w:beforeAutospacing="1" w:after="100" w:afterAutospacing="1" w:line="240" w:lineRule="auto"/>
              <w:ind w:left="240" w:hanging="240"/>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Balance at December 31</w:t>
            </w:r>
          </w:p>
        </w:tc>
        <w:tc>
          <w:tcPr>
            <w:tcW w:w="0" w:type="auto"/>
            <w:shd w:val="clear" w:color="auto" w:fill="CCEEFF"/>
            <w:vAlign w:val="bottom"/>
            <w:hideMark/>
          </w:tcPr>
          <w:p w14:paraId="5CAF3A85"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4964F667"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w:t>
            </w:r>
          </w:p>
        </w:tc>
        <w:tc>
          <w:tcPr>
            <w:tcW w:w="0" w:type="auto"/>
            <w:shd w:val="clear" w:color="auto" w:fill="CCEEFF"/>
            <w:vAlign w:val="bottom"/>
            <w:hideMark/>
          </w:tcPr>
          <w:p w14:paraId="414DB173"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27</w:t>
            </w:r>
          </w:p>
        </w:tc>
        <w:tc>
          <w:tcPr>
            <w:tcW w:w="0" w:type="auto"/>
            <w:shd w:val="clear" w:color="auto" w:fill="CCEEFF"/>
            <w:noWrap/>
            <w:vAlign w:val="bottom"/>
            <w:hideMark/>
          </w:tcPr>
          <w:p w14:paraId="5C9D4F0F"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b/>
                <w:bCs/>
                <w:sz w:val="20"/>
                <w:szCs w:val="20"/>
              </w:rPr>
              <w:t>  </w:t>
            </w:r>
          </w:p>
        </w:tc>
        <w:tc>
          <w:tcPr>
            <w:tcW w:w="0" w:type="auto"/>
            <w:shd w:val="clear" w:color="auto" w:fill="CCEEFF"/>
            <w:vAlign w:val="bottom"/>
            <w:hideMark/>
          </w:tcPr>
          <w:p w14:paraId="19EEDAD4"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7B4DAB7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w:t>
            </w:r>
          </w:p>
        </w:tc>
        <w:tc>
          <w:tcPr>
            <w:tcW w:w="0" w:type="auto"/>
            <w:shd w:val="clear" w:color="auto" w:fill="CCEEFF"/>
            <w:vAlign w:val="bottom"/>
            <w:hideMark/>
          </w:tcPr>
          <w:p w14:paraId="6DB7D3C3" w14:textId="77777777" w:rsidR="00C00E52" w:rsidRPr="00331E66" w:rsidRDefault="00C00E52" w:rsidP="00C00E52">
            <w:pPr>
              <w:spacing w:after="0" w:line="240" w:lineRule="auto"/>
              <w:jc w:val="right"/>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24</w:t>
            </w:r>
          </w:p>
        </w:tc>
        <w:tc>
          <w:tcPr>
            <w:tcW w:w="0" w:type="auto"/>
            <w:shd w:val="clear" w:color="auto" w:fill="CCEEFF"/>
            <w:noWrap/>
            <w:vAlign w:val="bottom"/>
            <w:hideMark/>
          </w:tcPr>
          <w:p w14:paraId="4043D075"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04A0F2A6" w14:textId="77777777" w:rsidR="00C00E52" w:rsidRPr="00331E66" w:rsidRDefault="00C00E52" w:rsidP="00C00E52">
            <w:pPr>
              <w:spacing w:after="0" w:line="240" w:lineRule="auto"/>
              <w:rPr>
                <w:rFonts w:ascii="Times New Roman" w:eastAsia="Times New Roman" w:hAnsi="Times New Roman" w:cs="Times New Roman"/>
                <w:sz w:val="20"/>
                <w:szCs w:val="20"/>
              </w:rPr>
            </w:pPr>
            <w:r w:rsidRPr="00331E66">
              <w:rPr>
                <w:rFonts w:ascii="Times New Roman" w:eastAsia="Times New Roman" w:hAnsi="Times New Roman" w:cs="Times New Roman"/>
                <w:sz w:val="20"/>
                <w:szCs w:val="20"/>
              </w:rPr>
              <w:t> </w:t>
            </w:r>
          </w:p>
        </w:tc>
        <w:tc>
          <w:tcPr>
            <w:tcW w:w="0" w:type="auto"/>
            <w:shd w:val="clear" w:color="auto" w:fill="CCEEFF"/>
            <w:vAlign w:val="bottom"/>
            <w:hideMark/>
          </w:tcPr>
          <w:p w14:paraId="2D896B20" w14:textId="77777777" w:rsidR="00C00E52" w:rsidRPr="00331E66" w:rsidRDefault="00C00E52" w:rsidP="00C00E52">
            <w:pPr>
              <w:spacing w:after="0" w:line="240" w:lineRule="auto"/>
              <w:rPr>
                <w:rFonts w:ascii="Times New Roman" w:eastAsia="Times New Roman" w:hAnsi="Times New Roman" w:cs="Times New Roman"/>
                <w:sz w:val="20"/>
                <w:szCs w:val="20"/>
              </w:rPr>
            </w:pPr>
          </w:p>
        </w:tc>
      </w:tr>
    </w:tbl>
    <w:p w14:paraId="165FF822" w14:textId="77777777" w:rsidR="00C00E52" w:rsidRPr="00331E66" w:rsidRDefault="00C00E52" w:rsidP="00C00E52">
      <w:pPr>
        <w:shd w:val="clear" w:color="auto" w:fill="FFFFFF"/>
        <w:spacing w:before="180" w:after="0" w:line="240" w:lineRule="auto"/>
        <w:ind w:firstLine="490"/>
        <w:rPr>
          <w:rFonts w:ascii="Times New Roman" w:eastAsia="Times New Roman" w:hAnsi="Times New Roman" w:cs="Times New Roman"/>
          <w:color w:val="000000"/>
          <w:sz w:val="20"/>
          <w:szCs w:val="20"/>
        </w:rPr>
      </w:pPr>
      <w:r w:rsidRPr="00331E66">
        <w:rPr>
          <w:rFonts w:ascii="Times New Roman" w:eastAsia="Times New Roman" w:hAnsi="Times New Roman" w:cs="Times New Roman"/>
          <w:color w:val="000000"/>
          <w:sz w:val="20"/>
          <w:szCs w:val="20"/>
        </w:rPr>
        <w:t xml:space="preserve">Certain foreign income tax returns will no longer be subject to examination and as a result, there is a reasonable possibility that the amount of unrecognized tax benefits will decrease by $1 million </w:t>
      </w:r>
      <w:r w:rsidRPr="00331E66">
        <w:rPr>
          <w:rFonts w:ascii="Times New Roman" w:eastAsia="Times New Roman" w:hAnsi="Times New Roman" w:cs="Times New Roman"/>
          <w:b/>
          <w:color w:val="000000"/>
          <w:sz w:val="20"/>
          <w:szCs w:val="20"/>
        </w:rPr>
        <w:t>(7C_FWD)</w:t>
      </w:r>
      <w:r w:rsidRPr="00331E66">
        <w:rPr>
          <w:rFonts w:ascii="Times New Roman" w:eastAsia="Times New Roman" w:hAnsi="Times New Roman" w:cs="Times New Roman"/>
          <w:color w:val="000000"/>
          <w:sz w:val="20"/>
          <w:szCs w:val="20"/>
        </w:rPr>
        <w:t xml:space="preserve"> . At December 31, 2009, there were $27 million of tax benefits that if recognized would affect the effective rate </w:t>
      </w:r>
      <w:r w:rsidRPr="00331E66">
        <w:rPr>
          <w:rFonts w:ascii="Times New Roman" w:eastAsia="Times New Roman" w:hAnsi="Times New Roman" w:cs="Times New Roman"/>
          <w:b/>
          <w:color w:val="000000"/>
          <w:sz w:val="20"/>
          <w:szCs w:val="20"/>
        </w:rPr>
        <w:t>(3C_ETR)(1CL_NONETR)</w:t>
      </w:r>
      <w:r w:rsidRPr="00331E66">
        <w:rPr>
          <w:rFonts w:ascii="Times New Roman" w:eastAsia="Times New Roman" w:hAnsi="Times New Roman" w:cs="Times New Roman"/>
          <w:color w:val="000000"/>
          <w:sz w:val="20"/>
          <w:szCs w:val="20"/>
        </w:rPr>
        <w:t>.</w:t>
      </w:r>
    </w:p>
    <w:p w14:paraId="7ABEEE04" w14:textId="77777777" w:rsidR="00C00E52" w:rsidRPr="00331E66" w:rsidRDefault="00C00E52" w:rsidP="00C00E52">
      <w:pPr>
        <w:shd w:val="clear" w:color="auto" w:fill="FFFFFF"/>
        <w:spacing w:before="180" w:after="0" w:line="240" w:lineRule="auto"/>
        <w:ind w:firstLine="490"/>
        <w:rPr>
          <w:rFonts w:ascii="Times New Roman" w:eastAsia="Times New Roman" w:hAnsi="Times New Roman" w:cs="Times New Roman"/>
          <w:color w:val="000000"/>
          <w:sz w:val="20"/>
          <w:szCs w:val="20"/>
        </w:rPr>
      </w:pPr>
      <w:r w:rsidRPr="00331E66">
        <w:rPr>
          <w:rFonts w:ascii="Times New Roman" w:eastAsia="Times New Roman" w:hAnsi="Times New Roman" w:cs="Times New Roman"/>
          <w:color w:val="000000"/>
          <w:sz w:val="20"/>
          <w:szCs w:val="20"/>
        </w:rPr>
        <w:t>The Company recognizes interest accrued related to: (</w:t>
      </w:r>
      <w:proofErr w:type="spellStart"/>
      <w:r w:rsidRPr="00331E66">
        <w:rPr>
          <w:rFonts w:ascii="Times New Roman" w:eastAsia="Times New Roman" w:hAnsi="Times New Roman" w:cs="Times New Roman"/>
          <w:color w:val="000000"/>
          <w:sz w:val="20"/>
          <w:szCs w:val="20"/>
        </w:rPr>
        <w:t>i</w:t>
      </w:r>
      <w:proofErr w:type="spellEnd"/>
      <w:r w:rsidRPr="00331E66">
        <w:rPr>
          <w:rFonts w:ascii="Times New Roman" w:eastAsia="Times New Roman" w:hAnsi="Times New Roman" w:cs="Times New Roman"/>
          <w:color w:val="000000"/>
          <w:sz w:val="20"/>
          <w:szCs w:val="20"/>
        </w:rPr>
        <w:t xml:space="preserve">) unrecognized tax benefits in Interest expense and (ii) tax refund claims in Other revenues on the Consolidated Statements of Income. The Company recognizes penalties in Income tax expense on the Consolidated Statements of Income </w:t>
      </w:r>
      <w:r w:rsidRPr="00331E66">
        <w:rPr>
          <w:rFonts w:ascii="Times New Roman" w:eastAsia="Times New Roman" w:hAnsi="Times New Roman" w:cs="Times New Roman"/>
          <w:b/>
          <w:color w:val="000000"/>
          <w:sz w:val="20"/>
          <w:szCs w:val="20"/>
        </w:rPr>
        <w:t>(5C_CLASS)</w:t>
      </w:r>
      <w:r w:rsidRPr="00331E66">
        <w:rPr>
          <w:rFonts w:ascii="Times New Roman" w:eastAsia="Times New Roman" w:hAnsi="Times New Roman" w:cs="Times New Roman"/>
          <w:color w:val="000000"/>
          <w:sz w:val="20"/>
          <w:szCs w:val="20"/>
        </w:rPr>
        <w:t>. During 2009, the Company recorded approximately $3 million for interest income and $5 million for penalties. As of December 31, 2009, the Company recognized a liability for interest of $4 million and penalties of $13 million (</w:t>
      </w:r>
      <w:r w:rsidRPr="00331E66">
        <w:rPr>
          <w:rFonts w:ascii="Times New Roman" w:eastAsia="Times New Roman" w:hAnsi="Times New Roman" w:cs="Times New Roman"/>
          <w:b/>
          <w:color w:val="000000"/>
          <w:sz w:val="20"/>
          <w:szCs w:val="20"/>
        </w:rPr>
        <w:t>4C_INTPEN)(4CL_LUMP)</w:t>
      </w:r>
      <w:r w:rsidRPr="00331E66">
        <w:rPr>
          <w:rFonts w:ascii="Times New Roman" w:eastAsia="Times New Roman" w:hAnsi="Times New Roman" w:cs="Times New Roman"/>
          <w:color w:val="000000"/>
          <w:sz w:val="20"/>
          <w:szCs w:val="20"/>
        </w:rPr>
        <w:t>.</w:t>
      </w:r>
    </w:p>
    <w:p w14:paraId="09BDFC1A" w14:textId="77777777" w:rsidR="00C00E52" w:rsidRPr="00331E66" w:rsidRDefault="00C00E52" w:rsidP="00C00E52">
      <w:pPr>
        <w:shd w:val="clear" w:color="auto" w:fill="FFFFFF"/>
        <w:spacing w:before="180" w:after="0" w:line="240" w:lineRule="auto"/>
        <w:ind w:firstLine="490"/>
        <w:rPr>
          <w:rFonts w:ascii="Times New Roman" w:eastAsia="Times New Roman" w:hAnsi="Times New Roman" w:cs="Times New Roman"/>
          <w:color w:val="000000"/>
          <w:sz w:val="20"/>
          <w:szCs w:val="20"/>
          <w:u w:val="single"/>
        </w:rPr>
      </w:pPr>
      <w:r w:rsidRPr="00331E66">
        <w:rPr>
          <w:rFonts w:ascii="Times New Roman" w:eastAsia="Times New Roman" w:hAnsi="Times New Roman" w:cs="Times New Roman"/>
          <w:color w:val="000000"/>
          <w:sz w:val="20"/>
          <w:szCs w:val="20"/>
        </w:rPr>
        <w:t xml:space="preserve">The Company’s 2006 tax year remains subject to examination and the 2008 tax year is under examination by the IRS </w:t>
      </w:r>
      <w:r w:rsidRPr="00331E66">
        <w:rPr>
          <w:rFonts w:ascii="Times New Roman" w:eastAsia="Times New Roman" w:hAnsi="Times New Roman" w:cs="Times New Roman"/>
          <w:b/>
          <w:color w:val="000000"/>
          <w:sz w:val="20"/>
          <w:szCs w:val="20"/>
        </w:rPr>
        <w:t>(6C_OPEN).</w:t>
      </w:r>
      <w:r w:rsidRPr="00331E66">
        <w:rPr>
          <w:rFonts w:ascii="Times New Roman" w:eastAsia="Times New Roman" w:hAnsi="Times New Roman" w:cs="Times New Roman"/>
          <w:color w:val="000000"/>
          <w:sz w:val="20"/>
          <w:szCs w:val="20"/>
        </w:rPr>
        <w:t xml:space="preserve"> Although the outcomes of tax audits are always uncertain, the Company believes that any adjustments resulting from audits will not have a material impact on its results of operations, financial position and cash flows. The Company and/or its subsidiaries also file income tax returns in various state, local and foreign jurisdictions. These returns, with few exceptions, are no longer subject to examination by the various taxing </w:t>
      </w:r>
      <w:r w:rsidRPr="00331E66">
        <w:rPr>
          <w:rFonts w:ascii="Times New Roman" w:eastAsia="Times New Roman" w:hAnsi="Times New Roman" w:cs="Times New Roman"/>
          <w:color w:val="000000"/>
          <w:sz w:val="20"/>
          <w:szCs w:val="20"/>
          <w:u w:val="single"/>
        </w:rPr>
        <w:t>authorities before 2005.</w:t>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r w:rsidRPr="00331E66">
        <w:rPr>
          <w:rFonts w:ascii="Times New Roman" w:eastAsia="Times New Roman" w:hAnsi="Times New Roman" w:cs="Times New Roman"/>
          <w:color w:val="000000"/>
          <w:sz w:val="20"/>
          <w:szCs w:val="20"/>
          <w:u w:val="single"/>
        </w:rPr>
        <w:tab/>
      </w:r>
    </w:p>
    <w:p w14:paraId="587D339B" w14:textId="77777777" w:rsidR="00C00E52" w:rsidRPr="00331E66" w:rsidRDefault="00C00E52" w:rsidP="00C00E52">
      <w:pPr>
        <w:spacing w:after="0"/>
        <w:rPr>
          <w:rFonts w:ascii="Times New Roman" w:hAnsi="Times New Roman" w:cs="Times New Roman"/>
          <w:sz w:val="16"/>
          <w:szCs w:val="20"/>
        </w:rPr>
      </w:pPr>
    </w:p>
    <w:p w14:paraId="5631AA0F"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1C_UTB</w:t>
      </w:r>
      <w:r w:rsidRPr="00331E66">
        <w:rPr>
          <w:rFonts w:ascii="Times New Roman" w:hAnsi="Times New Roman" w:cs="Times New Roman"/>
          <w:sz w:val="20"/>
          <w:szCs w:val="20"/>
        </w:rPr>
        <w:tab/>
        <w:t>= 0</w:t>
      </w:r>
      <w:r w:rsidRPr="00331E66">
        <w:rPr>
          <w:rFonts w:ascii="Times New Roman" w:hAnsi="Times New Roman" w:cs="Times New Roman"/>
          <w:sz w:val="20"/>
          <w:szCs w:val="20"/>
        </w:rPr>
        <w:tab/>
        <w:t>Not included in COMPLETE measure</w:t>
      </w:r>
    </w:p>
    <w:p w14:paraId="4A55D8BE"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2C_CHANGE</w:t>
      </w:r>
      <w:r w:rsidRPr="00331E66">
        <w:rPr>
          <w:rFonts w:ascii="Times New Roman" w:hAnsi="Times New Roman" w:cs="Times New Roman"/>
          <w:sz w:val="20"/>
          <w:szCs w:val="20"/>
        </w:rPr>
        <w:tab/>
        <w:t>= 0</w:t>
      </w:r>
      <w:r w:rsidRPr="00331E66">
        <w:rPr>
          <w:rFonts w:ascii="Times New Roman" w:hAnsi="Times New Roman" w:cs="Times New Roman"/>
          <w:sz w:val="20"/>
          <w:szCs w:val="20"/>
        </w:rPr>
        <w:tab/>
        <w:t>No explanations provided for additions to current year or prior year.</w:t>
      </w:r>
    </w:p>
    <w:p w14:paraId="5A68BBF3"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3C_ETR</w:t>
      </w:r>
      <w:r w:rsidRPr="00331E66">
        <w:rPr>
          <w:rFonts w:ascii="Times New Roman" w:hAnsi="Times New Roman" w:cs="Times New Roman"/>
          <w:sz w:val="20"/>
          <w:szCs w:val="20"/>
        </w:rPr>
        <w:tab/>
      </w:r>
      <w:r w:rsidRPr="00331E66">
        <w:rPr>
          <w:rFonts w:ascii="Times New Roman" w:hAnsi="Times New Roman" w:cs="Times New Roman"/>
          <w:sz w:val="20"/>
          <w:szCs w:val="20"/>
        </w:rPr>
        <w:tab/>
        <w:t>= .5</w:t>
      </w:r>
      <w:r w:rsidRPr="00331E66">
        <w:rPr>
          <w:rFonts w:ascii="Times New Roman" w:hAnsi="Times New Roman" w:cs="Times New Roman"/>
          <w:sz w:val="20"/>
          <w:szCs w:val="20"/>
        </w:rPr>
        <w:tab/>
        <w:t xml:space="preserve">Only disclosed the impact of the year end UTB balance on effective tax rate. </w:t>
      </w:r>
    </w:p>
    <w:p w14:paraId="7EFF4BB0"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4C_INTPEN</w:t>
      </w:r>
      <w:r w:rsidRPr="00331E66">
        <w:rPr>
          <w:rFonts w:ascii="Times New Roman" w:hAnsi="Times New Roman" w:cs="Times New Roman"/>
          <w:sz w:val="20"/>
          <w:szCs w:val="20"/>
        </w:rPr>
        <w:tab/>
        <w:t>= 1</w:t>
      </w:r>
    </w:p>
    <w:p w14:paraId="2307AD27"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5C_CLASS</w:t>
      </w:r>
      <w:r w:rsidRPr="00331E66">
        <w:rPr>
          <w:rFonts w:ascii="Times New Roman" w:hAnsi="Times New Roman" w:cs="Times New Roman"/>
          <w:sz w:val="20"/>
          <w:szCs w:val="20"/>
        </w:rPr>
        <w:tab/>
        <w:t>= 1</w:t>
      </w:r>
    </w:p>
    <w:p w14:paraId="788A81B6"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6C_OPEN</w:t>
      </w:r>
      <w:r w:rsidRPr="00331E66">
        <w:rPr>
          <w:rFonts w:ascii="Times New Roman" w:hAnsi="Times New Roman" w:cs="Times New Roman"/>
          <w:sz w:val="20"/>
          <w:szCs w:val="20"/>
        </w:rPr>
        <w:tab/>
        <w:t>= 1</w:t>
      </w:r>
    </w:p>
    <w:p w14:paraId="749F2D6F"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7C_FWD</w:t>
      </w:r>
      <w:r w:rsidRPr="00331E66">
        <w:rPr>
          <w:rFonts w:ascii="Times New Roman" w:hAnsi="Times New Roman" w:cs="Times New Roman"/>
          <w:sz w:val="20"/>
          <w:szCs w:val="20"/>
        </w:rPr>
        <w:tab/>
        <w:t>= 1</w:t>
      </w:r>
    </w:p>
    <w:p w14:paraId="199EE128" w14:textId="77777777" w:rsidR="00C00E52" w:rsidRPr="00331E66" w:rsidRDefault="00C00E52" w:rsidP="00C00E52">
      <w:pPr>
        <w:spacing w:after="0"/>
        <w:rPr>
          <w:rFonts w:ascii="Times New Roman" w:hAnsi="Times New Roman" w:cs="Times New Roman"/>
          <w:sz w:val="8"/>
          <w:szCs w:val="8"/>
        </w:rPr>
      </w:pPr>
      <w:r w:rsidRPr="00331E66">
        <w:rPr>
          <w:rFonts w:ascii="Times New Roman" w:hAnsi="Times New Roman" w:cs="Times New Roman"/>
          <w:sz w:val="20"/>
          <w:szCs w:val="20"/>
          <w:u w:val="single"/>
        </w:rPr>
        <w:t>8C_ADOPT</w:t>
      </w:r>
      <w:r w:rsidRPr="00331E66">
        <w:rPr>
          <w:rFonts w:ascii="Times New Roman" w:hAnsi="Times New Roman" w:cs="Times New Roman"/>
          <w:sz w:val="20"/>
          <w:szCs w:val="20"/>
          <w:u w:val="single"/>
        </w:rPr>
        <w:tab/>
        <w:t xml:space="preserve">= </w:t>
      </w:r>
      <w:r w:rsidRPr="00331E66">
        <w:rPr>
          <w:rFonts w:ascii="Times New Roman" w:hAnsi="Times New Roman" w:cs="Times New Roman"/>
          <w:sz w:val="20"/>
          <w:szCs w:val="20"/>
        </w:rPr>
        <w:tab/>
        <w:t>Not included in COMPLETE measure</w:t>
      </w:r>
    </w:p>
    <w:p w14:paraId="7F30694F"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 xml:space="preserve">COMPLETE </w:t>
      </w:r>
      <w:r w:rsidRPr="00331E66">
        <w:rPr>
          <w:rFonts w:ascii="Times New Roman" w:hAnsi="Times New Roman" w:cs="Times New Roman"/>
          <w:sz w:val="20"/>
          <w:szCs w:val="20"/>
        </w:rPr>
        <w:tab/>
        <w:t>= 4.5</w:t>
      </w:r>
      <w:r w:rsidRPr="00331E66">
        <w:rPr>
          <w:rFonts w:ascii="Times New Roman" w:hAnsi="Times New Roman" w:cs="Times New Roman"/>
          <w:sz w:val="20"/>
          <w:szCs w:val="20"/>
        </w:rPr>
        <w:tab/>
      </w:r>
    </w:p>
    <w:p w14:paraId="7F44FB39" w14:textId="77777777" w:rsidR="00C00E52" w:rsidRPr="00331E66" w:rsidRDefault="00C00E52" w:rsidP="00C00E52">
      <w:pPr>
        <w:spacing w:after="0"/>
        <w:rPr>
          <w:rFonts w:ascii="Times New Roman" w:hAnsi="Times New Roman" w:cs="Times New Roman"/>
          <w:sz w:val="12"/>
          <w:szCs w:val="20"/>
        </w:rPr>
      </w:pPr>
    </w:p>
    <w:p w14:paraId="1466BFE8"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1CL_NONETR</w:t>
      </w:r>
      <w:r w:rsidRPr="00331E66">
        <w:rPr>
          <w:rFonts w:ascii="Times New Roman" w:hAnsi="Times New Roman" w:cs="Times New Roman"/>
          <w:sz w:val="20"/>
          <w:szCs w:val="20"/>
        </w:rPr>
        <w:tab/>
        <w:t>= 1</w:t>
      </w:r>
      <w:r w:rsidRPr="00331E66">
        <w:rPr>
          <w:rFonts w:ascii="Times New Roman" w:hAnsi="Times New Roman" w:cs="Times New Roman"/>
          <w:sz w:val="20"/>
          <w:szCs w:val="20"/>
        </w:rPr>
        <w:tab/>
        <w:t>The entire UTB balance impacts ETR, so there is no non-ETR impact to disclose</w:t>
      </w:r>
    </w:p>
    <w:p w14:paraId="44DCE70C"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rPr>
        <w:t>2CL_GROSS</w:t>
      </w:r>
      <w:r w:rsidRPr="00331E66">
        <w:rPr>
          <w:rFonts w:ascii="Times New Roman" w:hAnsi="Times New Roman" w:cs="Times New Roman"/>
          <w:sz w:val="20"/>
          <w:szCs w:val="20"/>
        </w:rPr>
        <w:tab/>
        <w:t>= 0</w:t>
      </w:r>
      <w:r w:rsidRPr="00331E66">
        <w:rPr>
          <w:rFonts w:ascii="Times New Roman" w:hAnsi="Times New Roman" w:cs="Times New Roman"/>
          <w:sz w:val="20"/>
          <w:szCs w:val="20"/>
        </w:rPr>
        <w:tab/>
        <w:t xml:space="preserve">The disclosure does not explicitly state whether the FIN 48 reserves are </w:t>
      </w:r>
    </w:p>
    <w:p w14:paraId="699880F0" w14:textId="77777777" w:rsidR="00C00E52" w:rsidRPr="00331E66" w:rsidRDefault="00C00E52" w:rsidP="00C00E52">
      <w:pPr>
        <w:spacing w:after="0"/>
        <w:ind w:left="1440" w:firstLine="720"/>
        <w:rPr>
          <w:rFonts w:ascii="Times New Roman" w:hAnsi="Times New Roman" w:cs="Times New Roman"/>
          <w:sz w:val="20"/>
          <w:szCs w:val="20"/>
        </w:rPr>
      </w:pPr>
      <w:r w:rsidRPr="00331E66">
        <w:rPr>
          <w:rFonts w:ascii="Times New Roman" w:hAnsi="Times New Roman" w:cs="Times New Roman"/>
          <w:sz w:val="20"/>
          <w:szCs w:val="20"/>
        </w:rPr>
        <w:t>reported gross or net of federal benefits for state or other taxes.</w:t>
      </w:r>
    </w:p>
    <w:p w14:paraId="1A975F44" w14:textId="77777777" w:rsidR="00C00E52" w:rsidRPr="00331E66" w:rsidRDefault="00C00E52" w:rsidP="00C00E52">
      <w:pPr>
        <w:spacing w:after="0"/>
        <w:ind w:left="1440" w:hanging="1440"/>
        <w:rPr>
          <w:rFonts w:ascii="Times New Roman" w:hAnsi="Times New Roman" w:cs="Times New Roman"/>
          <w:sz w:val="20"/>
          <w:szCs w:val="20"/>
        </w:rPr>
      </w:pPr>
      <w:r w:rsidRPr="00331E66">
        <w:rPr>
          <w:rFonts w:ascii="Times New Roman" w:hAnsi="Times New Roman" w:cs="Times New Roman"/>
          <w:sz w:val="20"/>
          <w:szCs w:val="20"/>
        </w:rPr>
        <w:t>3CL_INCL</w:t>
      </w:r>
      <w:r w:rsidRPr="00331E66">
        <w:rPr>
          <w:rFonts w:ascii="Times New Roman" w:hAnsi="Times New Roman" w:cs="Times New Roman"/>
          <w:sz w:val="20"/>
          <w:szCs w:val="20"/>
        </w:rPr>
        <w:tab/>
        <w:t>= 0</w:t>
      </w:r>
      <w:r w:rsidRPr="00331E66">
        <w:rPr>
          <w:rFonts w:ascii="Times New Roman" w:hAnsi="Times New Roman" w:cs="Times New Roman"/>
          <w:sz w:val="20"/>
          <w:szCs w:val="20"/>
        </w:rPr>
        <w:tab/>
        <w:t xml:space="preserve">The disclosure does not explicitly state whether the UTB reserve includes the </w:t>
      </w:r>
    </w:p>
    <w:p w14:paraId="3C2E72A5" w14:textId="77777777" w:rsidR="00C00E52" w:rsidRPr="00331E66" w:rsidRDefault="00C00E52" w:rsidP="00C00E52">
      <w:pPr>
        <w:spacing w:after="0"/>
        <w:ind w:left="1440" w:firstLine="720"/>
        <w:rPr>
          <w:rFonts w:ascii="Times New Roman" w:hAnsi="Times New Roman" w:cs="Times New Roman"/>
          <w:sz w:val="20"/>
          <w:szCs w:val="20"/>
        </w:rPr>
      </w:pPr>
      <w:r w:rsidRPr="00331E66">
        <w:rPr>
          <w:rFonts w:ascii="Times New Roman" w:hAnsi="Times New Roman" w:cs="Times New Roman"/>
          <w:sz w:val="20"/>
          <w:szCs w:val="20"/>
        </w:rPr>
        <w:t>liabilities for interest and penalties.</w:t>
      </w:r>
    </w:p>
    <w:p w14:paraId="5CF0ED98" w14:textId="77777777" w:rsidR="00C00E52" w:rsidRPr="00331E66" w:rsidRDefault="00C00E52" w:rsidP="00C00E52">
      <w:pPr>
        <w:spacing w:after="0"/>
        <w:rPr>
          <w:rFonts w:ascii="Times New Roman" w:hAnsi="Times New Roman" w:cs="Times New Roman"/>
          <w:sz w:val="20"/>
          <w:szCs w:val="20"/>
        </w:rPr>
      </w:pPr>
      <w:r w:rsidRPr="00331E66">
        <w:rPr>
          <w:rFonts w:ascii="Times New Roman" w:hAnsi="Times New Roman" w:cs="Times New Roman"/>
          <w:sz w:val="20"/>
          <w:szCs w:val="20"/>
          <w:u w:val="single"/>
        </w:rPr>
        <w:t>4CL_LUMP</w:t>
      </w:r>
      <w:r w:rsidRPr="00331E66">
        <w:rPr>
          <w:rFonts w:ascii="Times New Roman" w:hAnsi="Times New Roman" w:cs="Times New Roman"/>
          <w:sz w:val="20"/>
          <w:szCs w:val="20"/>
          <w:u w:val="single"/>
        </w:rPr>
        <w:tab/>
        <w:t>= 1</w:t>
      </w:r>
      <w:r w:rsidRPr="00331E66">
        <w:rPr>
          <w:rFonts w:ascii="Times New Roman" w:hAnsi="Times New Roman" w:cs="Times New Roman"/>
          <w:sz w:val="20"/>
          <w:szCs w:val="20"/>
        </w:rPr>
        <w:tab/>
        <w:t>The disclosure separately reports interest and penalties.</w:t>
      </w:r>
    </w:p>
    <w:p w14:paraId="21D7CF44" w14:textId="77777777" w:rsidR="00C00E52" w:rsidRPr="00331E66" w:rsidRDefault="00C00E52" w:rsidP="00C00E52">
      <w:pPr>
        <w:spacing w:after="0"/>
        <w:rPr>
          <w:rFonts w:ascii="Times New Roman" w:hAnsi="Times New Roman" w:cs="Times New Roman"/>
          <w:bCs/>
          <w:sz w:val="20"/>
          <w:szCs w:val="20"/>
        </w:rPr>
      </w:pPr>
      <w:r w:rsidRPr="00331E66">
        <w:rPr>
          <w:rFonts w:ascii="Times New Roman" w:hAnsi="Times New Roman" w:cs="Times New Roman"/>
          <w:bCs/>
          <w:sz w:val="20"/>
          <w:szCs w:val="20"/>
        </w:rPr>
        <w:t>CLARITY</w:t>
      </w:r>
      <w:r w:rsidRPr="00331E66">
        <w:rPr>
          <w:rFonts w:ascii="Times New Roman" w:hAnsi="Times New Roman" w:cs="Times New Roman"/>
          <w:bCs/>
          <w:sz w:val="20"/>
          <w:szCs w:val="20"/>
        </w:rPr>
        <w:tab/>
        <w:t>= 2</w:t>
      </w:r>
    </w:p>
    <w:p w14:paraId="6F371E85" w14:textId="77777777" w:rsidR="00C00E52" w:rsidRPr="00331E66" w:rsidRDefault="00C00E52" w:rsidP="00C00E52">
      <w:pPr>
        <w:spacing w:after="0"/>
        <w:rPr>
          <w:rFonts w:ascii="Times New Roman" w:hAnsi="Times New Roman" w:cs="Times New Roman"/>
          <w:bCs/>
          <w:sz w:val="12"/>
          <w:szCs w:val="20"/>
        </w:rPr>
      </w:pPr>
    </w:p>
    <w:p w14:paraId="309AC4B6" w14:textId="77777777" w:rsidR="00C00E52" w:rsidRPr="00331E66" w:rsidRDefault="00C00E52" w:rsidP="00C00E52">
      <w:pPr>
        <w:spacing w:after="0"/>
        <w:rPr>
          <w:rFonts w:ascii="Times New Roman" w:hAnsi="Times New Roman" w:cs="Times New Roman"/>
          <w:b/>
          <w:bCs/>
          <w:sz w:val="20"/>
          <w:szCs w:val="20"/>
        </w:rPr>
      </w:pPr>
      <w:r w:rsidRPr="00331E66">
        <w:rPr>
          <w:rFonts w:ascii="Times New Roman" w:hAnsi="Times New Roman" w:cs="Times New Roman"/>
          <w:bCs/>
          <w:sz w:val="20"/>
          <w:szCs w:val="20"/>
        </w:rPr>
        <w:tab/>
      </w:r>
      <w:r w:rsidRPr="00331E66">
        <w:rPr>
          <w:rFonts w:ascii="Times New Roman" w:hAnsi="Times New Roman" w:cs="Times New Roman"/>
          <w:bCs/>
          <w:sz w:val="20"/>
          <w:szCs w:val="20"/>
        </w:rPr>
        <w:tab/>
      </w:r>
    </w:p>
    <w:p w14:paraId="3C793F47" w14:textId="7782951A" w:rsidR="00C00E52" w:rsidRPr="00331E66" w:rsidRDefault="00C00E52" w:rsidP="005E2686">
      <w:pPr>
        <w:rPr>
          <w:rFonts w:ascii="Times New Roman" w:hAnsi="Times New Roman" w:cs="Times New Roman"/>
          <w:b/>
          <w:bCs/>
          <w:sz w:val="24"/>
          <w:szCs w:val="24"/>
        </w:rPr>
      </w:pPr>
      <w:r w:rsidRPr="00331E66">
        <w:rPr>
          <w:rFonts w:ascii="Times New Roman" w:hAnsi="Times New Roman" w:cs="Times New Roman"/>
          <w:b/>
          <w:bCs/>
          <w:sz w:val="24"/>
          <w:szCs w:val="24"/>
        </w:rPr>
        <w:br w:type="page"/>
        <w:t xml:space="preserve">Appendix </w:t>
      </w:r>
      <w:r w:rsidR="00C3183E">
        <w:rPr>
          <w:rFonts w:ascii="Times New Roman" w:hAnsi="Times New Roman" w:cs="Times New Roman"/>
          <w:b/>
          <w:bCs/>
          <w:sz w:val="24"/>
          <w:szCs w:val="24"/>
        </w:rPr>
        <w:t>B</w:t>
      </w:r>
    </w:p>
    <w:p w14:paraId="127D535F" w14:textId="77777777" w:rsidR="00C00E52" w:rsidRPr="00331E66" w:rsidRDefault="00C00E52" w:rsidP="00C00E52">
      <w:pPr>
        <w:spacing w:after="0"/>
        <w:rPr>
          <w:rFonts w:ascii="Times New Roman" w:hAnsi="Times New Roman" w:cs="Times New Roman"/>
          <w:b/>
          <w:bCs/>
          <w:sz w:val="24"/>
          <w:szCs w:val="24"/>
          <w:u w:val="single"/>
        </w:rPr>
      </w:pPr>
      <w:r>
        <w:rPr>
          <w:rFonts w:ascii="Times New Roman" w:hAnsi="Times New Roman" w:cs="Times New Roman"/>
          <w:b/>
          <w:bCs/>
          <w:sz w:val="24"/>
          <w:szCs w:val="24"/>
          <w:u w:val="single"/>
        </w:rPr>
        <w:t>Example of Table 6</w:t>
      </w:r>
      <w:r w:rsidRPr="00331E66">
        <w:rPr>
          <w:rFonts w:ascii="Times New Roman" w:hAnsi="Times New Roman" w:cs="Times New Roman"/>
          <w:b/>
          <w:bCs/>
          <w:sz w:val="24"/>
          <w:szCs w:val="24"/>
          <w:u w:val="single"/>
        </w:rPr>
        <w:t xml:space="preserve"> Result </w:t>
      </w:r>
    </w:p>
    <w:p w14:paraId="6CF42F69" w14:textId="77777777" w:rsidR="00C00E52" w:rsidRPr="00331E66" w:rsidRDefault="00C00E52" w:rsidP="00C00E52">
      <w:pPr>
        <w:spacing w:after="0"/>
        <w:rPr>
          <w:rFonts w:ascii="Times New Roman" w:hAnsi="Times New Roman" w:cs="Times New Roman"/>
          <w:bCs/>
          <w:sz w:val="24"/>
          <w:szCs w:val="24"/>
        </w:rPr>
      </w:pPr>
      <w:r w:rsidRPr="00331E66">
        <w:rPr>
          <w:rFonts w:ascii="Times New Roman" w:hAnsi="Times New Roman" w:cs="Times New Roman"/>
          <w:bCs/>
          <w:sz w:val="24"/>
          <w:szCs w:val="24"/>
        </w:rPr>
        <w:t>The firm no longer provides a numerical estimate as a part of their forward-looking statement post-Schedule UTP adoption.  In this example, the UTB balance that potentially impacts the effect tax rate increases by .5 billion, indicating that the balance is material.</w:t>
      </w:r>
    </w:p>
    <w:p w14:paraId="6ECBCF6B" w14:textId="77777777" w:rsidR="00C00E52" w:rsidRPr="00331E66" w:rsidRDefault="00C00E52" w:rsidP="00C00E52">
      <w:pPr>
        <w:spacing w:after="0"/>
        <w:rPr>
          <w:rFonts w:ascii="Times New Roman" w:hAnsi="Times New Roman" w:cs="Times New Roman"/>
          <w:b/>
          <w:bCs/>
          <w:sz w:val="24"/>
          <w:szCs w:val="24"/>
        </w:rPr>
      </w:pPr>
    </w:p>
    <w:p w14:paraId="1BE13AE1" w14:textId="77777777" w:rsidR="00C00E52" w:rsidRPr="00331E66" w:rsidRDefault="00C00E52" w:rsidP="00C00E52">
      <w:pPr>
        <w:spacing w:after="0"/>
        <w:rPr>
          <w:rFonts w:ascii="Times New Roman" w:hAnsi="Times New Roman" w:cs="Times New Roman"/>
          <w:b/>
          <w:bCs/>
          <w:sz w:val="24"/>
          <w:szCs w:val="24"/>
        </w:rPr>
      </w:pPr>
      <w:r w:rsidRPr="00331E66">
        <w:rPr>
          <w:rFonts w:ascii="Times New Roman" w:hAnsi="Times New Roman" w:cs="Times New Roman"/>
          <w:b/>
          <w:bCs/>
          <w:sz w:val="24"/>
          <w:szCs w:val="24"/>
        </w:rPr>
        <w:t>Abbot Laboratories 2009</w:t>
      </w:r>
    </w:p>
    <w:p w14:paraId="2A9C78B8" w14:textId="77777777" w:rsidR="00C00E52" w:rsidRPr="00331E66" w:rsidRDefault="00C00E52" w:rsidP="00C00E52">
      <w:pPr>
        <w:spacing w:after="0"/>
        <w:rPr>
          <w:rFonts w:ascii="Times New Roman" w:hAnsi="Times New Roman" w:cs="Times New Roman"/>
          <w:b/>
          <w:bCs/>
          <w:sz w:val="24"/>
          <w:szCs w:val="24"/>
        </w:rPr>
      </w:pPr>
    </w:p>
    <w:p w14:paraId="4FD00069" w14:textId="77777777" w:rsidR="00C00E52" w:rsidRPr="00331E66" w:rsidRDefault="00C00E52" w:rsidP="00C00E52">
      <w:pPr>
        <w:spacing w:after="0"/>
        <w:rPr>
          <w:rFonts w:ascii="Times New Roman" w:hAnsi="Times New Roman" w:cs="Times New Roman"/>
          <w:b/>
          <w:bCs/>
          <w:sz w:val="24"/>
          <w:szCs w:val="24"/>
        </w:rPr>
      </w:pPr>
      <w:r w:rsidRPr="00331E66">
        <w:rPr>
          <w:rFonts w:ascii="Times New Roman" w:hAnsi="Times New Roman" w:cs="Times New Roman"/>
          <w:bCs/>
          <w:sz w:val="24"/>
          <w:szCs w:val="24"/>
        </w:rPr>
        <w:t xml:space="preserve">The total amount of unrecognized tax benefits that, if recognized, would impact the effective tax rate is approximately $2.0 billion. </w:t>
      </w:r>
      <w:r w:rsidRPr="00331E66">
        <w:rPr>
          <w:rFonts w:ascii="Times New Roman" w:hAnsi="Times New Roman" w:cs="Times New Roman"/>
          <w:bCs/>
          <w:sz w:val="24"/>
          <w:szCs w:val="24"/>
          <w:u w:val="single"/>
        </w:rPr>
        <w:t>Abbott expects the range of the decrease in the recorded amounts of unrecognized tax benefits, …, to range from zero to $680 million, arising from the conclusion of these tax matters</w:t>
      </w:r>
      <w:r w:rsidRPr="00331E66">
        <w:rPr>
          <w:rFonts w:ascii="Times New Roman" w:hAnsi="Times New Roman" w:cs="Times New Roman"/>
          <w:b/>
          <w:bCs/>
          <w:sz w:val="24"/>
          <w:szCs w:val="24"/>
        </w:rPr>
        <w:t>.</w:t>
      </w:r>
    </w:p>
    <w:p w14:paraId="79ACA69D" w14:textId="77777777" w:rsidR="00C00E52" w:rsidRPr="00331E66" w:rsidRDefault="00C00E52" w:rsidP="00C00E52">
      <w:pPr>
        <w:spacing w:after="0"/>
        <w:rPr>
          <w:rFonts w:ascii="Times New Roman" w:hAnsi="Times New Roman" w:cs="Times New Roman"/>
          <w:bCs/>
          <w:sz w:val="24"/>
          <w:szCs w:val="24"/>
        </w:rPr>
      </w:pPr>
    </w:p>
    <w:p w14:paraId="6F80D981" w14:textId="77777777" w:rsidR="00C00E52" w:rsidRPr="00331E66" w:rsidRDefault="00C00E52" w:rsidP="00C00E52">
      <w:pPr>
        <w:spacing w:after="0"/>
        <w:rPr>
          <w:rFonts w:ascii="Times New Roman" w:hAnsi="Times New Roman" w:cs="Times New Roman"/>
          <w:b/>
          <w:bCs/>
          <w:sz w:val="24"/>
          <w:szCs w:val="24"/>
        </w:rPr>
      </w:pPr>
      <w:r w:rsidRPr="00331E66">
        <w:rPr>
          <w:rFonts w:ascii="Times New Roman" w:hAnsi="Times New Roman" w:cs="Times New Roman"/>
          <w:b/>
          <w:bCs/>
          <w:sz w:val="24"/>
          <w:szCs w:val="24"/>
        </w:rPr>
        <w:t>Abbott Laboratories 2010</w:t>
      </w:r>
    </w:p>
    <w:p w14:paraId="3D252F76" w14:textId="77777777" w:rsidR="00C00E52" w:rsidRPr="00331E66" w:rsidRDefault="00C00E52" w:rsidP="00C00E52">
      <w:pPr>
        <w:spacing w:after="0"/>
        <w:rPr>
          <w:rFonts w:ascii="Times New Roman" w:hAnsi="Times New Roman" w:cs="Times New Roman"/>
          <w:b/>
          <w:bCs/>
          <w:sz w:val="24"/>
          <w:szCs w:val="24"/>
        </w:rPr>
      </w:pPr>
    </w:p>
    <w:p w14:paraId="569A969C" w14:textId="77777777" w:rsidR="00C00E52" w:rsidRPr="00331E66" w:rsidRDefault="00C00E52" w:rsidP="00C00E52">
      <w:pPr>
        <w:spacing w:after="0"/>
        <w:rPr>
          <w:rFonts w:ascii="Times New Roman" w:hAnsi="Times New Roman" w:cs="Times New Roman"/>
          <w:bCs/>
          <w:sz w:val="24"/>
          <w:szCs w:val="24"/>
          <w:u w:val="single"/>
        </w:rPr>
      </w:pPr>
      <w:r w:rsidRPr="00331E66">
        <w:rPr>
          <w:rFonts w:ascii="Times New Roman" w:hAnsi="Times New Roman" w:cs="Times New Roman"/>
          <w:bCs/>
          <w:sz w:val="24"/>
          <w:szCs w:val="24"/>
        </w:rPr>
        <w:t xml:space="preserve">The total amount of unrecognized tax benefits that, if recognized, would impact the effective tax rate is approximately $2.5 billion. </w:t>
      </w:r>
      <w:r w:rsidRPr="00331E66">
        <w:rPr>
          <w:rFonts w:ascii="Times New Roman" w:hAnsi="Times New Roman" w:cs="Times New Roman"/>
          <w:bCs/>
          <w:sz w:val="24"/>
          <w:szCs w:val="24"/>
          <w:u w:val="single"/>
        </w:rPr>
        <w:t>Although it is reasonably possible that a change in the balance of unrecognized tax benefits may occur within the next twelve months, at this time it is not possible to estimate the range of change due to the uncertainty of the potential outcomes.</w:t>
      </w:r>
    </w:p>
    <w:p w14:paraId="0390C939" w14:textId="77777777" w:rsidR="00C00E52" w:rsidRDefault="00C00E52" w:rsidP="00C00E52">
      <w:pPr>
        <w:spacing w:after="0"/>
        <w:rPr>
          <w:rFonts w:ascii="Times New Roman" w:hAnsi="Times New Roman" w:cs="Times New Roman"/>
          <w:b/>
          <w:bCs/>
          <w:sz w:val="24"/>
          <w:szCs w:val="24"/>
        </w:rPr>
      </w:pPr>
    </w:p>
    <w:p w14:paraId="64844E6C" w14:textId="77777777" w:rsidR="00C00E52" w:rsidRPr="00331E66" w:rsidRDefault="00C00E52" w:rsidP="00C00E52">
      <w:pPr>
        <w:spacing w:after="0"/>
        <w:rPr>
          <w:rFonts w:ascii="Times New Roman" w:hAnsi="Times New Roman" w:cs="Times New Roman"/>
          <w:b/>
          <w:bCs/>
          <w:sz w:val="24"/>
          <w:szCs w:val="24"/>
          <w:u w:val="single"/>
        </w:rPr>
      </w:pPr>
      <w:r w:rsidRPr="00331E66">
        <w:rPr>
          <w:rFonts w:ascii="Times New Roman" w:hAnsi="Times New Roman" w:cs="Times New Roman"/>
          <w:b/>
          <w:bCs/>
          <w:sz w:val="24"/>
          <w:szCs w:val="24"/>
          <w:u w:val="single"/>
        </w:rPr>
        <w:t>Examples of Schedule UTP narrative descriptions taken from Towery (2017)</w:t>
      </w:r>
    </w:p>
    <w:p w14:paraId="42C16059" w14:textId="77777777" w:rsidR="00C00E52" w:rsidRPr="00331E66" w:rsidRDefault="00C00E52" w:rsidP="00C00E52">
      <w:pPr>
        <w:spacing w:after="0"/>
        <w:rPr>
          <w:rFonts w:ascii="Times New Roman" w:hAnsi="Times New Roman" w:cs="Times New Roman"/>
          <w:b/>
          <w:bCs/>
          <w:sz w:val="24"/>
          <w:szCs w:val="24"/>
        </w:rPr>
      </w:pPr>
    </w:p>
    <w:p w14:paraId="0F9A0B61" w14:textId="77777777" w:rsidR="00C00E52" w:rsidRPr="00331E66" w:rsidRDefault="00C00E52" w:rsidP="00C00E52">
      <w:pPr>
        <w:spacing w:after="0"/>
        <w:rPr>
          <w:rFonts w:ascii="Times New Roman" w:hAnsi="Times New Roman" w:cs="Times New Roman"/>
          <w:sz w:val="24"/>
          <w:szCs w:val="24"/>
        </w:rPr>
      </w:pPr>
      <w:r w:rsidRPr="00331E66">
        <w:rPr>
          <w:rFonts w:ascii="Times New Roman" w:hAnsi="Times New Roman" w:cs="Times New Roman"/>
          <w:b/>
          <w:bCs/>
          <w:sz w:val="24"/>
          <w:szCs w:val="24"/>
        </w:rPr>
        <w:t>Transfer pricing</w:t>
      </w:r>
      <w:r w:rsidRPr="00331E66">
        <w:rPr>
          <w:rFonts w:ascii="Times New Roman" w:hAnsi="Times New Roman" w:cs="Times New Roman"/>
          <w:sz w:val="24"/>
          <w:szCs w:val="24"/>
        </w:rPr>
        <w:t xml:space="preserve">: “The taxpayer allocated management service costs between its domestic subsidiaries and a foreign subsidiary located in Country X using a methodology the taxpayer considers reasonable. The issue is whether the taxpayer’s method of allocating these costs is acceptable by the IRS.” </w:t>
      </w:r>
    </w:p>
    <w:p w14:paraId="23B341EF" w14:textId="77777777" w:rsidR="00C00E52" w:rsidRPr="00331E66" w:rsidRDefault="00C00E52" w:rsidP="00C00E52">
      <w:pPr>
        <w:spacing w:after="0"/>
        <w:rPr>
          <w:rFonts w:ascii="Times New Roman" w:hAnsi="Times New Roman" w:cs="Times New Roman"/>
          <w:sz w:val="24"/>
          <w:szCs w:val="24"/>
        </w:rPr>
      </w:pPr>
    </w:p>
    <w:p w14:paraId="2EF5426B" w14:textId="77777777" w:rsidR="00C00E52" w:rsidRPr="00331E66" w:rsidRDefault="00C00E52" w:rsidP="00C00E52">
      <w:pPr>
        <w:spacing w:after="0"/>
        <w:rPr>
          <w:rFonts w:ascii="Times New Roman" w:hAnsi="Times New Roman" w:cs="Times New Roman"/>
          <w:sz w:val="24"/>
          <w:szCs w:val="24"/>
        </w:rPr>
      </w:pPr>
      <w:r w:rsidRPr="00331E66">
        <w:rPr>
          <w:rFonts w:ascii="Times New Roman" w:hAnsi="Times New Roman" w:cs="Times New Roman"/>
          <w:b/>
          <w:bCs/>
          <w:sz w:val="24"/>
          <w:szCs w:val="24"/>
        </w:rPr>
        <w:t>Research and experimentation credit</w:t>
      </w:r>
      <w:r w:rsidRPr="00331E66">
        <w:rPr>
          <w:rFonts w:ascii="Times New Roman" w:hAnsi="Times New Roman" w:cs="Times New Roman"/>
          <w:sz w:val="24"/>
          <w:szCs w:val="24"/>
        </w:rPr>
        <w:t xml:space="preserve">: “The taxpayer incurred support department costs that were allocated to various research projects based upon a methodology the taxpayer considers reasonable. The issue is whether the taxpayer’s method of allocating these costs is acceptable by the IRS.” </w:t>
      </w:r>
    </w:p>
    <w:p w14:paraId="1201DF7C" w14:textId="77777777" w:rsidR="00C00E52" w:rsidRPr="00331E66" w:rsidRDefault="00C00E52" w:rsidP="00C00E52">
      <w:pPr>
        <w:spacing w:after="0"/>
        <w:rPr>
          <w:rFonts w:ascii="Times New Roman" w:hAnsi="Times New Roman" w:cs="Times New Roman"/>
          <w:sz w:val="24"/>
          <w:szCs w:val="24"/>
        </w:rPr>
      </w:pPr>
    </w:p>
    <w:p w14:paraId="6CE75F00" w14:textId="77777777" w:rsidR="00C00E52" w:rsidRPr="00331E66" w:rsidRDefault="00C00E52" w:rsidP="00C00E52">
      <w:pPr>
        <w:spacing w:after="0"/>
        <w:rPr>
          <w:rFonts w:ascii="Times New Roman" w:hAnsi="Times New Roman" w:cs="Times New Roman"/>
          <w:sz w:val="24"/>
          <w:szCs w:val="24"/>
        </w:rPr>
      </w:pPr>
      <w:r w:rsidRPr="00331E66">
        <w:rPr>
          <w:rFonts w:ascii="Times New Roman" w:hAnsi="Times New Roman" w:cs="Times New Roman"/>
          <w:b/>
          <w:bCs/>
          <w:sz w:val="24"/>
          <w:szCs w:val="24"/>
        </w:rPr>
        <w:t>Business expense deduction</w:t>
      </w:r>
      <w:r w:rsidRPr="00331E66">
        <w:rPr>
          <w:rFonts w:ascii="Times New Roman" w:hAnsi="Times New Roman" w:cs="Times New Roman"/>
          <w:sz w:val="24"/>
          <w:szCs w:val="24"/>
        </w:rPr>
        <w:t xml:space="preserve">: “The taxpayer claimed a deduction for travel and entertainment expenses for conventions and sales meetings. The issues are whether adequate documentation has been retained to substantiate the deductions claimed and whether some of the expenses constitute entertainment subject to a 50% limitation.” </w:t>
      </w:r>
    </w:p>
    <w:p w14:paraId="033483BB" w14:textId="77777777" w:rsidR="00C00E52" w:rsidRPr="00331E66" w:rsidRDefault="00C00E52" w:rsidP="00C00E52">
      <w:pPr>
        <w:rPr>
          <w:rFonts w:ascii="Times New Roman" w:hAnsi="Times New Roman" w:cs="Times New Roman"/>
          <w:b/>
          <w:noProof/>
          <w:sz w:val="24"/>
          <w:szCs w:val="24"/>
        </w:rPr>
      </w:pPr>
      <w:r w:rsidRPr="00331E66">
        <w:rPr>
          <w:rFonts w:ascii="Times New Roman" w:hAnsi="Times New Roman" w:cs="Times New Roman"/>
          <w:b/>
          <w:noProof/>
          <w:sz w:val="24"/>
          <w:szCs w:val="24"/>
        </w:rPr>
        <w:br w:type="page"/>
      </w:r>
    </w:p>
    <w:p w14:paraId="10AE52CF" w14:textId="7DB1F1FD" w:rsidR="00C00E52" w:rsidRDefault="00C00E52" w:rsidP="005E2686">
      <w:pPr>
        <w:spacing w:after="0"/>
        <w:rPr>
          <w:rFonts w:ascii="Times New Roman" w:hAnsi="Times New Roman" w:cs="Times New Roman"/>
          <w:b/>
          <w:bCs/>
          <w:sz w:val="24"/>
          <w:szCs w:val="24"/>
        </w:rPr>
      </w:pPr>
      <w:r w:rsidRPr="00331E66">
        <w:rPr>
          <w:rFonts w:ascii="Times New Roman" w:hAnsi="Times New Roman" w:cs="Times New Roman"/>
          <w:b/>
          <w:bCs/>
          <w:sz w:val="24"/>
          <w:szCs w:val="24"/>
        </w:rPr>
        <w:t xml:space="preserve">Appendix </w:t>
      </w:r>
      <w:r w:rsidR="00C3183E">
        <w:rPr>
          <w:rFonts w:ascii="Times New Roman" w:hAnsi="Times New Roman" w:cs="Times New Roman"/>
          <w:b/>
          <w:bCs/>
          <w:sz w:val="24"/>
          <w:szCs w:val="24"/>
        </w:rPr>
        <w:t>C</w:t>
      </w:r>
    </w:p>
    <w:p w14:paraId="743387D1" w14:textId="73827BA7" w:rsidR="00C00E52" w:rsidRDefault="00C00E52" w:rsidP="005E2686">
      <w:pPr>
        <w:spacing w:after="0"/>
        <w:rPr>
          <w:rFonts w:ascii="Times New Roman" w:hAnsi="Times New Roman" w:cs="Times New Roman"/>
          <w:b/>
          <w:bCs/>
          <w:sz w:val="24"/>
          <w:szCs w:val="24"/>
        </w:rPr>
      </w:pPr>
      <w:r>
        <w:rPr>
          <w:rFonts w:ascii="Times New Roman" w:hAnsi="Times New Roman" w:cs="Times New Roman"/>
          <w:b/>
          <w:bCs/>
          <w:sz w:val="24"/>
          <w:szCs w:val="24"/>
        </w:rPr>
        <w:t>Example of Increased Disclosure of Prior Years</w:t>
      </w:r>
    </w:p>
    <w:p w14:paraId="77EE546F" w14:textId="77777777" w:rsidR="00C00E52" w:rsidRDefault="00C00E52" w:rsidP="00C00E52">
      <w:pPr>
        <w:spacing w:after="0"/>
        <w:jc w:val="center"/>
        <w:rPr>
          <w:rFonts w:ascii="Times New Roman" w:hAnsi="Times New Roman" w:cs="Times New Roman"/>
          <w:b/>
          <w:bCs/>
          <w:sz w:val="24"/>
          <w:szCs w:val="24"/>
        </w:rPr>
      </w:pPr>
    </w:p>
    <w:p w14:paraId="0D2A1BBE" w14:textId="77777777" w:rsidR="00C00E52" w:rsidRPr="00F31182" w:rsidRDefault="00C00E52" w:rsidP="00C00E52">
      <w:pPr>
        <w:spacing w:after="0"/>
        <w:rPr>
          <w:rFonts w:ascii="Times New Roman" w:hAnsi="Times New Roman" w:cs="Times New Roman"/>
          <w:b/>
          <w:bCs/>
          <w:sz w:val="32"/>
          <w:szCs w:val="24"/>
        </w:rPr>
      </w:pPr>
      <w:r w:rsidRPr="00F31182">
        <w:rPr>
          <w:rFonts w:ascii="Times New Roman" w:hAnsi="Times New Roman" w:cs="Times New Roman"/>
          <w:b/>
          <w:bCs/>
          <w:color w:val="000000"/>
          <w:sz w:val="24"/>
          <w:szCs w:val="20"/>
        </w:rPr>
        <w:t>NORTHROP GRUMMAN CORPORATION</w:t>
      </w:r>
      <w:r>
        <w:rPr>
          <w:rFonts w:ascii="Times New Roman" w:hAnsi="Times New Roman" w:cs="Times New Roman"/>
          <w:b/>
          <w:bCs/>
          <w:color w:val="000000"/>
          <w:sz w:val="24"/>
          <w:szCs w:val="20"/>
        </w:rPr>
        <w:tab/>
        <w:t>2010</w:t>
      </w:r>
    </w:p>
    <w:p w14:paraId="2376ED6A" w14:textId="77777777" w:rsidR="00C00E52" w:rsidRDefault="00C00E52" w:rsidP="00C00E52">
      <w:pPr>
        <w:spacing w:after="0" w:line="240" w:lineRule="auto"/>
        <w:rPr>
          <w:rFonts w:ascii="Times New Roman" w:eastAsia="Times New Roman" w:hAnsi="Times New Roman" w:cs="Times New Roman"/>
          <w:i/>
          <w:iCs/>
          <w:color w:val="000000"/>
          <w:sz w:val="20"/>
          <w:szCs w:val="20"/>
        </w:rPr>
      </w:pPr>
    </w:p>
    <w:p w14:paraId="247EC77D"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i/>
          <w:iCs/>
          <w:color w:val="000000"/>
          <w:sz w:val="20"/>
          <w:szCs w:val="20"/>
        </w:rPr>
        <w:t>Uncertain Tax Positions</w:t>
      </w:r>
      <w:r w:rsidRPr="00CC24FF">
        <w:rPr>
          <w:rFonts w:ascii="Times New Roman" w:eastAsia="Times New Roman" w:hAnsi="Times New Roman" w:cs="Times New Roman"/>
          <w:color w:val="000000"/>
          <w:sz w:val="20"/>
          <w:szCs w:val="20"/>
        </w:rPr>
        <w:t> – In 2010, the company reached a final settlement with the IRS and Joint Committee with respect to the IRS’ examination of the company’s tax returns for the years 2004 through 2006. As a result of this settlement, the company reduced its liability for uncertain tax positions, including previously accrued interest, by $311 million, which was recorded as a reduction to the company’s effective tax rate.</w:t>
      </w:r>
    </w:p>
    <w:p w14:paraId="2EB7C0EE"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5A713EFB" w14:textId="77777777" w:rsidR="00C00E52" w:rsidRDefault="00C00E52" w:rsidP="00C00E52">
      <w:pPr>
        <w:spacing w:after="0" w:line="240" w:lineRule="auto"/>
        <w:rPr>
          <w:rFonts w:ascii="Times New Roman" w:eastAsia="Times New Roman" w:hAnsi="Times New Roman" w:cs="Times New Roman"/>
          <w:color w:val="000000"/>
          <w:sz w:val="20"/>
          <w:szCs w:val="20"/>
        </w:rPr>
      </w:pPr>
    </w:p>
    <w:p w14:paraId="4589F8D4"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In 2009, the company reached a final settlement agreement with the IRS and Joint Committee with respect to the IRS’ examination of the company’s tax returns for the years 2001 through 2003. As a result of this settlement, the company reduced its liability for uncertain tax positions by $60 million, which was recorded as a reduction to the company’s effective tax rate.</w:t>
      </w:r>
    </w:p>
    <w:p w14:paraId="591BA818"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150C7AB6" w14:textId="77777777" w:rsidR="00C00E52" w:rsidRDefault="00C00E52" w:rsidP="00C00E52">
      <w:pPr>
        <w:spacing w:after="0" w:line="240" w:lineRule="auto"/>
        <w:rPr>
          <w:rFonts w:ascii="Times New Roman" w:eastAsia="Times New Roman" w:hAnsi="Times New Roman" w:cs="Times New Roman"/>
          <w:b/>
          <w:color w:val="000000"/>
          <w:sz w:val="20"/>
          <w:szCs w:val="20"/>
        </w:rPr>
      </w:pPr>
    </w:p>
    <w:p w14:paraId="1ACC515D" w14:textId="77777777" w:rsidR="00C00E52" w:rsidRPr="00CC24FF" w:rsidRDefault="00C00E52" w:rsidP="00C00E52">
      <w:pPr>
        <w:spacing w:after="0" w:line="240" w:lineRule="auto"/>
        <w:rPr>
          <w:rFonts w:ascii="Times New Roman" w:eastAsia="Times New Roman" w:hAnsi="Times New Roman" w:cs="Times New Roman"/>
          <w:b/>
          <w:color w:val="000000"/>
          <w:sz w:val="20"/>
          <w:szCs w:val="20"/>
        </w:rPr>
      </w:pPr>
      <w:r w:rsidRPr="00CC24FF">
        <w:rPr>
          <w:rFonts w:ascii="Times New Roman" w:eastAsia="Times New Roman" w:hAnsi="Times New Roman" w:cs="Times New Roman"/>
          <w:b/>
          <w:color w:val="000000"/>
          <w:sz w:val="20"/>
          <w:szCs w:val="20"/>
        </w:rPr>
        <w:t>In 2008, the company reached a final settlement agreement with the IRS and Joint Committee with respect to the IRS’ audit of the TRW tax returns for the years 1999 through 2002. As a result of this settlement, the company reduced its liability for uncertain tax positions by $126 million (including accrued interest of $44 million), $95 million of which was recorded as a reduction of goodwill.</w:t>
      </w:r>
      <w:r>
        <w:rPr>
          <w:rStyle w:val="FootnoteReference"/>
          <w:rFonts w:ascii="Times New Roman" w:eastAsia="Times New Roman" w:hAnsi="Times New Roman" w:cs="Times New Roman"/>
          <w:b/>
          <w:color w:val="000000"/>
          <w:sz w:val="20"/>
          <w:szCs w:val="20"/>
        </w:rPr>
        <w:footnoteReference w:id="21"/>
      </w:r>
    </w:p>
    <w:p w14:paraId="2B5A2DEF"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p>
    <w:p w14:paraId="3DA0F8CD"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6375952E"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30E8F535"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As of December 31, 2010, the estimated value of the company’s uncertain tax positions which are more-likely-than-not to be sustained on examination was a liability of $137 million which includes accrued interest of $11 million. This liability is included in other current liabilities and other long-term liabilities in the consolidated statements of financial position. Assuming sustainment of these positions by the taxing authorities, the reversal of the amounts accrued would reduce the company’s effective tax rate.</w:t>
      </w:r>
    </w:p>
    <w:p w14:paraId="7413B084"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3267B5FC" w14:textId="77777777" w:rsidR="00C00E52" w:rsidRDefault="00C00E52" w:rsidP="00C00E52">
      <w:pPr>
        <w:spacing w:after="0" w:line="240" w:lineRule="auto"/>
        <w:rPr>
          <w:rFonts w:ascii="Times New Roman" w:eastAsia="Times New Roman" w:hAnsi="Times New Roman" w:cs="Times New Roman"/>
          <w:i/>
          <w:iCs/>
          <w:color w:val="000000"/>
          <w:sz w:val="20"/>
          <w:szCs w:val="20"/>
        </w:rPr>
      </w:pPr>
    </w:p>
    <w:p w14:paraId="4FBD4C1A" w14:textId="77777777" w:rsidR="00C00E52"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i/>
          <w:iCs/>
          <w:color w:val="000000"/>
          <w:sz w:val="20"/>
          <w:szCs w:val="20"/>
        </w:rPr>
        <w:t>Unrecognized Tax Benefits</w:t>
      </w:r>
      <w:r w:rsidRPr="00CC24FF">
        <w:rPr>
          <w:rFonts w:ascii="Times New Roman" w:eastAsia="Times New Roman" w:hAnsi="Times New Roman" w:cs="Times New Roman"/>
          <w:color w:val="000000"/>
          <w:sz w:val="20"/>
          <w:szCs w:val="20"/>
        </w:rPr>
        <w:t> – Unrecognized tax benefits represent the gross value of the company’s tax positions that have not been reflected in the consolidated statements of operations and includes the value of the company’s recorded uncertain tax positions. If the income tax benefits from these tax positions are ultimately realized, such realization would affect the company’s effective tax rate.</w:t>
      </w:r>
    </w:p>
    <w:p w14:paraId="2C1D6D32"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p>
    <w:p w14:paraId="7FF2D247"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2179FA10"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The change in unrecognized tax benefits during 2010 and 2009, excluding interest, is as follows:</w:t>
      </w:r>
    </w:p>
    <w:tbl>
      <w:tblPr>
        <w:tblW w:w="5000" w:type="pct"/>
        <w:jc w:val="center"/>
        <w:tblCellSpacing w:w="0" w:type="dxa"/>
        <w:tblCellMar>
          <w:left w:w="0" w:type="dxa"/>
          <w:right w:w="0" w:type="dxa"/>
        </w:tblCellMar>
        <w:tblLook w:val="04A0" w:firstRow="1" w:lastRow="0" w:firstColumn="1" w:lastColumn="0" w:noHBand="0" w:noVBand="1"/>
      </w:tblPr>
      <w:tblGrid>
        <w:gridCol w:w="6920"/>
        <w:gridCol w:w="87"/>
        <w:gridCol w:w="100"/>
        <w:gridCol w:w="367"/>
        <w:gridCol w:w="86"/>
        <w:gridCol w:w="463"/>
        <w:gridCol w:w="100"/>
        <w:gridCol w:w="300"/>
        <w:gridCol w:w="67"/>
        <w:gridCol w:w="403"/>
        <w:gridCol w:w="100"/>
        <w:gridCol w:w="300"/>
        <w:gridCol w:w="67"/>
      </w:tblGrid>
      <w:tr w:rsidR="00C00E52" w:rsidRPr="00CC24FF" w14:paraId="22DFA7CA" w14:textId="77777777" w:rsidTr="00C00E52">
        <w:trPr>
          <w:tblCellSpacing w:w="0" w:type="dxa"/>
          <w:jc w:val="center"/>
        </w:trPr>
        <w:tc>
          <w:tcPr>
            <w:tcW w:w="3750" w:type="pct"/>
            <w:shd w:val="clear" w:color="auto" w:fill="auto"/>
            <w:vAlign w:val="bottom"/>
            <w:hideMark/>
          </w:tcPr>
          <w:p w14:paraId="5F7AEC7C"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100" w:type="pct"/>
            <w:shd w:val="clear" w:color="auto" w:fill="auto"/>
            <w:vAlign w:val="bottom"/>
            <w:hideMark/>
          </w:tcPr>
          <w:p w14:paraId="09CF457D"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100" w:type="pct"/>
            <w:shd w:val="clear" w:color="auto" w:fill="auto"/>
            <w:vAlign w:val="bottom"/>
            <w:hideMark/>
          </w:tcPr>
          <w:p w14:paraId="6FA98A39"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5628A74A"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100" w:type="pct"/>
            <w:shd w:val="clear" w:color="auto" w:fill="auto"/>
            <w:vAlign w:val="bottom"/>
            <w:hideMark/>
          </w:tcPr>
          <w:p w14:paraId="70A6A203"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300" w:type="pct"/>
            <w:shd w:val="clear" w:color="auto" w:fill="auto"/>
            <w:vAlign w:val="bottom"/>
            <w:hideMark/>
          </w:tcPr>
          <w:p w14:paraId="43A24F04"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44BE2518"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4DA1DEFD"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55F45E82"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300" w:type="pct"/>
            <w:shd w:val="clear" w:color="auto" w:fill="auto"/>
            <w:vAlign w:val="bottom"/>
            <w:hideMark/>
          </w:tcPr>
          <w:p w14:paraId="1ADA8FD3"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4DCC4906"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311A4DF0"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auto"/>
            <w:vAlign w:val="bottom"/>
            <w:hideMark/>
          </w:tcPr>
          <w:p w14:paraId="592CB319"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r>
      <w:tr w:rsidR="00C00E52" w:rsidRPr="00CC24FF" w14:paraId="5DBBE7EE" w14:textId="77777777" w:rsidTr="00C00E52">
        <w:trPr>
          <w:tblCellSpacing w:w="0" w:type="dxa"/>
          <w:jc w:val="center"/>
        </w:trPr>
        <w:tc>
          <w:tcPr>
            <w:tcW w:w="0" w:type="auto"/>
            <w:shd w:val="clear" w:color="auto" w:fill="auto"/>
            <w:noWrap/>
            <w:vAlign w:val="bottom"/>
            <w:hideMark/>
          </w:tcPr>
          <w:p w14:paraId="7934C4D3" w14:textId="77777777" w:rsidR="00C00E52" w:rsidRPr="00CC24FF" w:rsidRDefault="00C00E52" w:rsidP="00C00E52">
            <w:pPr>
              <w:spacing w:after="0" w:line="240" w:lineRule="auto"/>
              <w:jc w:val="center"/>
              <w:rPr>
                <w:rFonts w:ascii="Times New Roman" w:eastAsia="Times New Roman" w:hAnsi="Times New Roman" w:cs="Times New Roman"/>
                <w:color w:val="000000"/>
                <w:sz w:val="20"/>
                <w:szCs w:val="20"/>
              </w:rPr>
            </w:pPr>
          </w:p>
        </w:tc>
        <w:tc>
          <w:tcPr>
            <w:tcW w:w="0" w:type="auto"/>
            <w:shd w:val="clear" w:color="auto" w:fill="auto"/>
            <w:vAlign w:val="bottom"/>
            <w:hideMark/>
          </w:tcPr>
          <w:p w14:paraId="786FC7B0" w14:textId="77777777" w:rsidR="00C00E52" w:rsidRPr="00CC24FF" w:rsidRDefault="00C00E52" w:rsidP="00C00E52">
            <w:pPr>
              <w:spacing w:after="0" w:line="240" w:lineRule="auto"/>
              <w:jc w:val="center"/>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 </w:t>
            </w:r>
          </w:p>
        </w:tc>
        <w:tc>
          <w:tcPr>
            <w:tcW w:w="0" w:type="auto"/>
            <w:gridSpan w:val="11"/>
            <w:shd w:val="clear" w:color="auto" w:fill="auto"/>
            <w:vAlign w:val="bottom"/>
            <w:hideMark/>
          </w:tcPr>
          <w:p w14:paraId="734CA0A6" w14:textId="77777777" w:rsidR="00C00E52" w:rsidRPr="00CC24FF" w:rsidRDefault="00C00E52" w:rsidP="00C00E52">
            <w:pPr>
              <w:spacing w:after="0" w:line="240" w:lineRule="auto"/>
              <w:jc w:val="center"/>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December 31</w:t>
            </w:r>
          </w:p>
        </w:tc>
      </w:tr>
      <w:tr w:rsidR="00C00E52" w:rsidRPr="00C736B2" w14:paraId="00F0056C" w14:textId="77777777" w:rsidTr="00C00E52">
        <w:trPr>
          <w:tblCellSpacing w:w="0" w:type="dxa"/>
          <w:jc w:val="center"/>
        </w:trPr>
        <w:tc>
          <w:tcPr>
            <w:tcW w:w="0" w:type="auto"/>
            <w:shd w:val="clear" w:color="auto" w:fill="auto"/>
            <w:noWrap/>
            <w:vAlign w:val="bottom"/>
            <w:hideMark/>
          </w:tcPr>
          <w:p w14:paraId="0CBD7765"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i/>
                <w:iCs/>
                <w:color w:val="000000"/>
                <w:sz w:val="20"/>
                <w:szCs w:val="20"/>
              </w:rPr>
              <w:t>$ in millions</w:t>
            </w:r>
          </w:p>
        </w:tc>
        <w:tc>
          <w:tcPr>
            <w:tcW w:w="0" w:type="auto"/>
            <w:shd w:val="clear" w:color="auto" w:fill="auto"/>
            <w:vAlign w:val="bottom"/>
            <w:hideMark/>
          </w:tcPr>
          <w:p w14:paraId="5B9A20AD"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16"/>
                <w:szCs w:val="16"/>
              </w:rPr>
              <w:t> </w:t>
            </w:r>
          </w:p>
        </w:tc>
        <w:tc>
          <w:tcPr>
            <w:tcW w:w="0" w:type="auto"/>
            <w:gridSpan w:val="3"/>
            <w:tcBorders>
              <w:top w:val="single" w:sz="6" w:space="0" w:color="000000"/>
            </w:tcBorders>
            <w:shd w:val="clear" w:color="auto" w:fill="auto"/>
            <w:noWrap/>
            <w:vAlign w:val="bottom"/>
            <w:hideMark/>
          </w:tcPr>
          <w:p w14:paraId="42E47586"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bCs/>
                <w:color w:val="000000"/>
                <w:sz w:val="20"/>
                <w:szCs w:val="20"/>
              </w:rPr>
              <w:t>2010</w:t>
            </w:r>
          </w:p>
        </w:tc>
        <w:tc>
          <w:tcPr>
            <w:tcW w:w="0" w:type="auto"/>
            <w:tcBorders>
              <w:top w:val="single" w:sz="6" w:space="0" w:color="000000"/>
            </w:tcBorders>
            <w:shd w:val="clear" w:color="auto" w:fill="auto"/>
            <w:vAlign w:val="bottom"/>
            <w:hideMark/>
          </w:tcPr>
          <w:p w14:paraId="517D6601"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16"/>
                <w:szCs w:val="16"/>
              </w:rPr>
              <w:t> </w:t>
            </w:r>
          </w:p>
        </w:tc>
        <w:tc>
          <w:tcPr>
            <w:tcW w:w="0" w:type="auto"/>
            <w:gridSpan w:val="3"/>
            <w:tcBorders>
              <w:top w:val="single" w:sz="6" w:space="0" w:color="000000"/>
            </w:tcBorders>
            <w:shd w:val="clear" w:color="auto" w:fill="auto"/>
            <w:noWrap/>
            <w:vAlign w:val="bottom"/>
            <w:hideMark/>
          </w:tcPr>
          <w:p w14:paraId="52BF0369"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20"/>
                <w:szCs w:val="20"/>
              </w:rPr>
              <w:t>2009</w:t>
            </w:r>
          </w:p>
        </w:tc>
        <w:tc>
          <w:tcPr>
            <w:tcW w:w="0" w:type="auto"/>
            <w:tcBorders>
              <w:top w:val="single" w:sz="6" w:space="0" w:color="000000"/>
            </w:tcBorders>
            <w:shd w:val="clear" w:color="auto" w:fill="auto"/>
            <w:vAlign w:val="bottom"/>
            <w:hideMark/>
          </w:tcPr>
          <w:p w14:paraId="04F2C530"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16"/>
                <w:szCs w:val="16"/>
              </w:rPr>
              <w:t> </w:t>
            </w:r>
          </w:p>
        </w:tc>
        <w:tc>
          <w:tcPr>
            <w:tcW w:w="0" w:type="auto"/>
            <w:gridSpan w:val="3"/>
            <w:tcBorders>
              <w:top w:val="single" w:sz="6" w:space="0" w:color="000000"/>
            </w:tcBorders>
            <w:shd w:val="clear" w:color="auto" w:fill="auto"/>
            <w:noWrap/>
            <w:vAlign w:val="bottom"/>
            <w:hideMark/>
          </w:tcPr>
          <w:p w14:paraId="70838772"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20"/>
                <w:szCs w:val="20"/>
              </w:rPr>
              <w:t>2008</w:t>
            </w:r>
          </w:p>
        </w:tc>
      </w:tr>
      <w:tr w:rsidR="00C00E52" w:rsidRPr="00C736B2" w14:paraId="55AFAAFC" w14:textId="77777777" w:rsidTr="00C00E52">
        <w:trPr>
          <w:tblCellSpacing w:w="0" w:type="dxa"/>
          <w:jc w:val="center"/>
        </w:trPr>
        <w:tc>
          <w:tcPr>
            <w:tcW w:w="0" w:type="auto"/>
            <w:tcBorders>
              <w:top w:val="single" w:sz="6" w:space="0" w:color="000000"/>
            </w:tcBorders>
            <w:shd w:val="clear" w:color="auto" w:fill="CCEEFF"/>
            <w:vAlign w:val="bottom"/>
            <w:hideMark/>
          </w:tcPr>
          <w:p w14:paraId="130CAE05"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Unrecognized tax benefits at beginning of the year</w:t>
            </w:r>
          </w:p>
        </w:tc>
        <w:tc>
          <w:tcPr>
            <w:tcW w:w="0" w:type="auto"/>
            <w:tcBorders>
              <w:top w:val="single" w:sz="6" w:space="0" w:color="000000"/>
            </w:tcBorders>
            <w:shd w:val="clear" w:color="auto" w:fill="CCEEFF"/>
            <w:vAlign w:val="bottom"/>
            <w:hideMark/>
          </w:tcPr>
          <w:p w14:paraId="687CA89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noWrap/>
            <w:vAlign w:val="bottom"/>
            <w:hideMark/>
          </w:tcPr>
          <w:p w14:paraId="115DA096"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tcBorders>
              <w:top w:val="single" w:sz="6" w:space="0" w:color="000000"/>
            </w:tcBorders>
            <w:shd w:val="clear" w:color="auto" w:fill="CCEEFF"/>
            <w:noWrap/>
            <w:vAlign w:val="bottom"/>
            <w:hideMark/>
          </w:tcPr>
          <w:p w14:paraId="4FE65AEE"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429</w:t>
            </w:r>
          </w:p>
        </w:tc>
        <w:tc>
          <w:tcPr>
            <w:tcW w:w="0" w:type="auto"/>
            <w:tcBorders>
              <w:top w:val="single" w:sz="6" w:space="0" w:color="000000"/>
            </w:tcBorders>
            <w:shd w:val="clear" w:color="auto" w:fill="CCEEFF"/>
            <w:noWrap/>
            <w:vAlign w:val="bottom"/>
            <w:hideMark/>
          </w:tcPr>
          <w:p w14:paraId="533B3E64"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vAlign w:val="bottom"/>
            <w:hideMark/>
          </w:tcPr>
          <w:p w14:paraId="22D56BA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noWrap/>
            <w:vAlign w:val="bottom"/>
            <w:hideMark/>
          </w:tcPr>
          <w:p w14:paraId="7090B485"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tcBorders>
              <w:top w:val="single" w:sz="6" w:space="0" w:color="000000"/>
            </w:tcBorders>
            <w:shd w:val="clear" w:color="auto" w:fill="CCEEFF"/>
            <w:noWrap/>
            <w:vAlign w:val="bottom"/>
            <w:hideMark/>
          </w:tcPr>
          <w:p w14:paraId="7A6A490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416</w:t>
            </w:r>
          </w:p>
        </w:tc>
        <w:tc>
          <w:tcPr>
            <w:tcW w:w="0" w:type="auto"/>
            <w:tcBorders>
              <w:top w:val="single" w:sz="6" w:space="0" w:color="000000"/>
            </w:tcBorders>
            <w:shd w:val="clear" w:color="auto" w:fill="CCEEFF"/>
            <w:noWrap/>
            <w:vAlign w:val="bottom"/>
            <w:hideMark/>
          </w:tcPr>
          <w:p w14:paraId="5A7F7A6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vAlign w:val="bottom"/>
            <w:hideMark/>
          </w:tcPr>
          <w:p w14:paraId="6788004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noWrap/>
            <w:vAlign w:val="bottom"/>
            <w:hideMark/>
          </w:tcPr>
          <w:p w14:paraId="677ED65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tcBorders>
              <w:top w:val="single" w:sz="6" w:space="0" w:color="000000"/>
            </w:tcBorders>
            <w:shd w:val="clear" w:color="auto" w:fill="CCEEFF"/>
            <w:noWrap/>
            <w:vAlign w:val="bottom"/>
            <w:hideMark/>
          </w:tcPr>
          <w:p w14:paraId="07F0C25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488</w:t>
            </w:r>
          </w:p>
        </w:tc>
        <w:tc>
          <w:tcPr>
            <w:tcW w:w="0" w:type="auto"/>
            <w:tcBorders>
              <w:top w:val="single" w:sz="6" w:space="0" w:color="000000"/>
            </w:tcBorders>
            <w:shd w:val="clear" w:color="auto" w:fill="CCEEFF"/>
            <w:noWrap/>
            <w:vAlign w:val="bottom"/>
            <w:hideMark/>
          </w:tcPr>
          <w:p w14:paraId="3A5B2538"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50C4A1E6" w14:textId="77777777" w:rsidTr="00C00E52">
        <w:trPr>
          <w:tblCellSpacing w:w="0" w:type="dxa"/>
          <w:jc w:val="center"/>
        </w:trPr>
        <w:tc>
          <w:tcPr>
            <w:tcW w:w="0" w:type="auto"/>
            <w:gridSpan w:val="13"/>
            <w:tcBorders>
              <w:top w:val="single" w:sz="6" w:space="0" w:color="000000"/>
            </w:tcBorders>
            <w:shd w:val="clear" w:color="auto" w:fill="auto"/>
            <w:vAlign w:val="bottom"/>
            <w:hideMark/>
          </w:tcPr>
          <w:p w14:paraId="4F3F76FD" w14:textId="77777777" w:rsidR="00C00E52" w:rsidRPr="00C736B2" w:rsidRDefault="00C00E52" w:rsidP="00C00E52">
            <w:pPr>
              <w:spacing w:after="0" w:line="240" w:lineRule="auto"/>
              <w:jc w:val="center"/>
              <w:rPr>
                <w:rFonts w:ascii="Times New Roman" w:eastAsia="Times New Roman" w:hAnsi="Times New Roman" w:cs="Times New Roman"/>
                <w:color w:val="000000"/>
                <w:sz w:val="2"/>
                <w:szCs w:val="2"/>
              </w:rPr>
            </w:pPr>
          </w:p>
        </w:tc>
      </w:tr>
      <w:tr w:rsidR="00C00E52" w:rsidRPr="00C736B2" w14:paraId="3641A354" w14:textId="77777777" w:rsidTr="00C00E52">
        <w:trPr>
          <w:tblCellSpacing w:w="0" w:type="dxa"/>
          <w:jc w:val="center"/>
        </w:trPr>
        <w:tc>
          <w:tcPr>
            <w:tcW w:w="0" w:type="auto"/>
            <w:shd w:val="clear" w:color="auto" w:fill="auto"/>
            <w:vAlign w:val="bottom"/>
            <w:hideMark/>
          </w:tcPr>
          <w:p w14:paraId="2283D42A"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Additions based on tax positions related to the current year</w:t>
            </w:r>
          </w:p>
        </w:tc>
        <w:tc>
          <w:tcPr>
            <w:tcW w:w="0" w:type="auto"/>
            <w:shd w:val="clear" w:color="auto" w:fill="auto"/>
            <w:vAlign w:val="bottom"/>
            <w:hideMark/>
          </w:tcPr>
          <w:p w14:paraId="366F2068"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603B04C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53324B2F"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19</w:t>
            </w:r>
          </w:p>
        </w:tc>
        <w:tc>
          <w:tcPr>
            <w:tcW w:w="0" w:type="auto"/>
            <w:shd w:val="clear" w:color="auto" w:fill="auto"/>
            <w:noWrap/>
            <w:vAlign w:val="bottom"/>
            <w:hideMark/>
          </w:tcPr>
          <w:p w14:paraId="4B7B3991"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vAlign w:val="bottom"/>
            <w:hideMark/>
          </w:tcPr>
          <w:p w14:paraId="515C544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5E1B0C0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4EA849C5"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12</w:t>
            </w:r>
          </w:p>
        </w:tc>
        <w:tc>
          <w:tcPr>
            <w:tcW w:w="0" w:type="auto"/>
            <w:shd w:val="clear" w:color="auto" w:fill="auto"/>
            <w:noWrap/>
            <w:vAlign w:val="bottom"/>
            <w:hideMark/>
          </w:tcPr>
          <w:p w14:paraId="2922E861"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vAlign w:val="bottom"/>
            <w:hideMark/>
          </w:tcPr>
          <w:p w14:paraId="3B39949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2B0696BD"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36D18C6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5</w:t>
            </w:r>
          </w:p>
        </w:tc>
        <w:tc>
          <w:tcPr>
            <w:tcW w:w="0" w:type="auto"/>
            <w:shd w:val="clear" w:color="auto" w:fill="auto"/>
            <w:noWrap/>
            <w:vAlign w:val="bottom"/>
            <w:hideMark/>
          </w:tcPr>
          <w:p w14:paraId="2003362A"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5C2DCFE1" w14:textId="77777777" w:rsidTr="00C00E52">
        <w:trPr>
          <w:tblCellSpacing w:w="0" w:type="dxa"/>
          <w:jc w:val="center"/>
        </w:trPr>
        <w:tc>
          <w:tcPr>
            <w:tcW w:w="0" w:type="auto"/>
            <w:shd w:val="clear" w:color="auto" w:fill="CCEEFF"/>
            <w:vAlign w:val="bottom"/>
            <w:hideMark/>
          </w:tcPr>
          <w:p w14:paraId="0F239E97"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Additions for tax positions of prior years</w:t>
            </w:r>
          </w:p>
        </w:tc>
        <w:tc>
          <w:tcPr>
            <w:tcW w:w="0" w:type="auto"/>
            <w:shd w:val="clear" w:color="auto" w:fill="CCEEFF"/>
            <w:vAlign w:val="bottom"/>
            <w:hideMark/>
          </w:tcPr>
          <w:p w14:paraId="6487CEDC"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4917BD1D"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2EBEF0A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4</w:t>
            </w:r>
          </w:p>
        </w:tc>
        <w:tc>
          <w:tcPr>
            <w:tcW w:w="0" w:type="auto"/>
            <w:shd w:val="clear" w:color="auto" w:fill="CCEEFF"/>
            <w:noWrap/>
            <w:vAlign w:val="bottom"/>
            <w:hideMark/>
          </w:tcPr>
          <w:p w14:paraId="6E231ED1"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5462243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54137E23"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0ADAD4BE"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61</w:t>
            </w:r>
          </w:p>
        </w:tc>
        <w:tc>
          <w:tcPr>
            <w:tcW w:w="0" w:type="auto"/>
            <w:shd w:val="clear" w:color="auto" w:fill="CCEEFF"/>
            <w:noWrap/>
            <w:vAlign w:val="bottom"/>
            <w:hideMark/>
          </w:tcPr>
          <w:p w14:paraId="08203034"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55E5F0B0"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714F79CF"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1100ED4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15</w:t>
            </w:r>
          </w:p>
        </w:tc>
        <w:tc>
          <w:tcPr>
            <w:tcW w:w="0" w:type="auto"/>
            <w:shd w:val="clear" w:color="auto" w:fill="CCEEFF"/>
            <w:noWrap/>
            <w:vAlign w:val="bottom"/>
            <w:hideMark/>
          </w:tcPr>
          <w:p w14:paraId="6B9C09B8"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0E64C528" w14:textId="77777777" w:rsidTr="00C00E52">
        <w:trPr>
          <w:tblCellSpacing w:w="0" w:type="dxa"/>
          <w:jc w:val="center"/>
        </w:trPr>
        <w:tc>
          <w:tcPr>
            <w:tcW w:w="0" w:type="auto"/>
            <w:shd w:val="clear" w:color="auto" w:fill="auto"/>
            <w:noWrap/>
            <w:vAlign w:val="bottom"/>
            <w:hideMark/>
          </w:tcPr>
          <w:p w14:paraId="648CC447"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Statute expiration</w:t>
            </w:r>
          </w:p>
        </w:tc>
        <w:tc>
          <w:tcPr>
            <w:tcW w:w="0" w:type="auto"/>
            <w:shd w:val="clear" w:color="auto" w:fill="auto"/>
            <w:vAlign w:val="bottom"/>
            <w:hideMark/>
          </w:tcPr>
          <w:p w14:paraId="0752B3F5"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0ACE8185"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2F4B71AE"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7C54FA0C"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vAlign w:val="bottom"/>
            <w:hideMark/>
          </w:tcPr>
          <w:p w14:paraId="63099665"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01DB7A3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5BED059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2EFC821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vAlign w:val="bottom"/>
            <w:hideMark/>
          </w:tcPr>
          <w:p w14:paraId="2817B673"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30BF2A8D"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30D035B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(9</w:t>
            </w:r>
          </w:p>
        </w:tc>
        <w:tc>
          <w:tcPr>
            <w:tcW w:w="0" w:type="auto"/>
            <w:shd w:val="clear" w:color="auto" w:fill="auto"/>
            <w:noWrap/>
            <w:vAlign w:val="bottom"/>
            <w:hideMark/>
          </w:tcPr>
          <w:p w14:paraId="3EA9AD2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70893249" w14:textId="77777777" w:rsidTr="00C00E52">
        <w:trPr>
          <w:tblCellSpacing w:w="0" w:type="dxa"/>
          <w:jc w:val="center"/>
        </w:trPr>
        <w:tc>
          <w:tcPr>
            <w:tcW w:w="0" w:type="auto"/>
            <w:shd w:val="clear" w:color="auto" w:fill="CCEEFF"/>
            <w:noWrap/>
            <w:vAlign w:val="bottom"/>
            <w:hideMark/>
          </w:tcPr>
          <w:p w14:paraId="4AEC390B"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Settlements</w:t>
            </w:r>
          </w:p>
        </w:tc>
        <w:tc>
          <w:tcPr>
            <w:tcW w:w="0" w:type="auto"/>
            <w:shd w:val="clear" w:color="auto" w:fill="CCEEFF"/>
            <w:vAlign w:val="bottom"/>
            <w:hideMark/>
          </w:tcPr>
          <w:p w14:paraId="6355269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54B69FF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7D246FA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(326</w:t>
            </w:r>
          </w:p>
        </w:tc>
        <w:tc>
          <w:tcPr>
            <w:tcW w:w="0" w:type="auto"/>
            <w:shd w:val="clear" w:color="auto" w:fill="CCEEFF"/>
            <w:noWrap/>
            <w:vAlign w:val="bottom"/>
            <w:hideMark/>
          </w:tcPr>
          <w:p w14:paraId="79DCED40"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shd w:val="clear" w:color="auto" w:fill="CCEEFF"/>
            <w:vAlign w:val="bottom"/>
            <w:hideMark/>
          </w:tcPr>
          <w:p w14:paraId="2B86B373"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699F1EB6"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186A2774"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(60</w:t>
            </w:r>
          </w:p>
        </w:tc>
        <w:tc>
          <w:tcPr>
            <w:tcW w:w="0" w:type="auto"/>
            <w:shd w:val="clear" w:color="auto" w:fill="CCEEFF"/>
            <w:noWrap/>
            <w:vAlign w:val="bottom"/>
            <w:hideMark/>
          </w:tcPr>
          <w:p w14:paraId="3B783FD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shd w:val="clear" w:color="auto" w:fill="CCEEFF"/>
            <w:vAlign w:val="bottom"/>
            <w:hideMark/>
          </w:tcPr>
          <w:p w14:paraId="0F37005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4C15CC05"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7B40CCA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(83</w:t>
            </w:r>
          </w:p>
        </w:tc>
        <w:tc>
          <w:tcPr>
            <w:tcW w:w="0" w:type="auto"/>
            <w:shd w:val="clear" w:color="auto" w:fill="CCEEFF"/>
            <w:noWrap/>
            <w:vAlign w:val="bottom"/>
            <w:hideMark/>
          </w:tcPr>
          <w:p w14:paraId="7FF837FF"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736AC4F8" w14:textId="77777777" w:rsidTr="00C00E52">
        <w:trPr>
          <w:tblCellSpacing w:w="0" w:type="dxa"/>
          <w:jc w:val="center"/>
        </w:trPr>
        <w:tc>
          <w:tcPr>
            <w:tcW w:w="0" w:type="auto"/>
            <w:gridSpan w:val="13"/>
            <w:tcBorders>
              <w:top w:val="single" w:sz="6" w:space="0" w:color="000000"/>
            </w:tcBorders>
            <w:shd w:val="clear" w:color="auto" w:fill="auto"/>
            <w:vAlign w:val="bottom"/>
            <w:hideMark/>
          </w:tcPr>
          <w:p w14:paraId="5A5B1613" w14:textId="77777777" w:rsidR="00C00E52" w:rsidRPr="00C736B2" w:rsidRDefault="00C00E52" w:rsidP="00C00E52">
            <w:pPr>
              <w:spacing w:after="0" w:line="240" w:lineRule="auto"/>
              <w:jc w:val="center"/>
              <w:rPr>
                <w:rFonts w:ascii="Times New Roman" w:eastAsia="Times New Roman" w:hAnsi="Times New Roman" w:cs="Times New Roman"/>
                <w:color w:val="000000"/>
                <w:sz w:val="2"/>
                <w:szCs w:val="2"/>
              </w:rPr>
            </w:pPr>
          </w:p>
        </w:tc>
      </w:tr>
      <w:tr w:rsidR="00C00E52" w:rsidRPr="00C736B2" w14:paraId="2959B824" w14:textId="77777777" w:rsidTr="00C00E52">
        <w:trPr>
          <w:tblCellSpacing w:w="0" w:type="dxa"/>
          <w:jc w:val="center"/>
        </w:trPr>
        <w:tc>
          <w:tcPr>
            <w:tcW w:w="0" w:type="auto"/>
            <w:shd w:val="clear" w:color="auto" w:fill="auto"/>
            <w:vAlign w:val="bottom"/>
            <w:hideMark/>
          </w:tcPr>
          <w:p w14:paraId="621357C7"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Net change in unrecognized tax benefits</w:t>
            </w:r>
          </w:p>
        </w:tc>
        <w:tc>
          <w:tcPr>
            <w:tcW w:w="0" w:type="auto"/>
            <w:shd w:val="clear" w:color="auto" w:fill="auto"/>
            <w:vAlign w:val="bottom"/>
            <w:hideMark/>
          </w:tcPr>
          <w:p w14:paraId="1B1B468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006DB61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0BEE3173"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(303</w:t>
            </w:r>
          </w:p>
        </w:tc>
        <w:tc>
          <w:tcPr>
            <w:tcW w:w="0" w:type="auto"/>
            <w:shd w:val="clear" w:color="auto" w:fill="auto"/>
            <w:noWrap/>
            <w:vAlign w:val="bottom"/>
            <w:hideMark/>
          </w:tcPr>
          <w:p w14:paraId="4BEBADA5"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shd w:val="clear" w:color="auto" w:fill="auto"/>
            <w:vAlign w:val="bottom"/>
            <w:hideMark/>
          </w:tcPr>
          <w:p w14:paraId="2B71600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377CEC6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4E86877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13</w:t>
            </w:r>
          </w:p>
        </w:tc>
        <w:tc>
          <w:tcPr>
            <w:tcW w:w="0" w:type="auto"/>
            <w:shd w:val="clear" w:color="auto" w:fill="auto"/>
            <w:noWrap/>
            <w:vAlign w:val="bottom"/>
            <w:hideMark/>
          </w:tcPr>
          <w:p w14:paraId="1A0865E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vAlign w:val="bottom"/>
            <w:hideMark/>
          </w:tcPr>
          <w:p w14:paraId="4F394DAB"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6465664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auto"/>
            <w:noWrap/>
            <w:vAlign w:val="bottom"/>
            <w:hideMark/>
          </w:tcPr>
          <w:p w14:paraId="21124EE6"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(72</w:t>
            </w:r>
          </w:p>
        </w:tc>
        <w:tc>
          <w:tcPr>
            <w:tcW w:w="0" w:type="auto"/>
            <w:shd w:val="clear" w:color="auto" w:fill="auto"/>
            <w:noWrap/>
            <w:vAlign w:val="bottom"/>
            <w:hideMark/>
          </w:tcPr>
          <w:p w14:paraId="56698680"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1D65DF90" w14:textId="77777777" w:rsidTr="00C00E52">
        <w:trPr>
          <w:tblCellSpacing w:w="0" w:type="dxa"/>
          <w:jc w:val="center"/>
        </w:trPr>
        <w:tc>
          <w:tcPr>
            <w:tcW w:w="0" w:type="auto"/>
            <w:gridSpan w:val="13"/>
            <w:tcBorders>
              <w:top w:val="single" w:sz="6" w:space="0" w:color="000000"/>
            </w:tcBorders>
            <w:shd w:val="clear" w:color="auto" w:fill="auto"/>
            <w:vAlign w:val="bottom"/>
            <w:hideMark/>
          </w:tcPr>
          <w:p w14:paraId="71F9F62C" w14:textId="77777777" w:rsidR="00C00E52" w:rsidRPr="00C736B2" w:rsidRDefault="00C00E52" w:rsidP="00C00E52">
            <w:pPr>
              <w:spacing w:after="0" w:line="240" w:lineRule="auto"/>
              <w:jc w:val="center"/>
              <w:rPr>
                <w:rFonts w:ascii="Times New Roman" w:eastAsia="Times New Roman" w:hAnsi="Times New Roman" w:cs="Times New Roman"/>
                <w:color w:val="000000"/>
                <w:sz w:val="2"/>
                <w:szCs w:val="2"/>
              </w:rPr>
            </w:pPr>
          </w:p>
        </w:tc>
      </w:tr>
      <w:tr w:rsidR="00C00E52" w:rsidRPr="00C736B2" w14:paraId="7F5A7023" w14:textId="77777777" w:rsidTr="00C00E52">
        <w:trPr>
          <w:tblCellSpacing w:w="0" w:type="dxa"/>
          <w:jc w:val="center"/>
        </w:trPr>
        <w:tc>
          <w:tcPr>
            <w:tcW w:w="0" w:type="auto"/>
            <w:shd w:val="clear" w:color="auto" w:fill="CCEEFF"/>
            <w:vAlign w:val="bottom"/>
            <w:hideMark/>
          </w:tcPr>
          <w:p w14:paraId="683E483D"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Unrecognized tax benefits at end of the year</w:t>
            </w:r>
          </w:p>
        </w:tc>
        <w:tc>
          <w:tcPr>
            <w:tcW w:w="0" w:type="auto"/>
            <w:shd w:val="clear" w:color="auto" w:fill="CCEEFF"/>
            <w:vAlign w:val="bottom"/>
            <w:hideMark/>
          </w:tcPr>
          <w:p w14:paraId="38663D74"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4550573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shd w:val="clear" w:color="auto" w:fill="CCEEFF"/>
            <w:noWrap/>
            <w:vAlign w:val="bottom"/>
            <w:hideMark/>
          </w:tcPr>
          <w:p w14:paraId="362DDAA7"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126</w:t>
            </w:r>
          </w:p>
        </w:tc>
        <w:tc>
          <w:tcPr>
            <w:tcW w:w="0" w:type="auto"/>
            <w:shd w:val="clear" w:color="auto" w:fill="CCEEFF"/>
            <w:noWrap/>
            <w:vAlign w:val="bottom"/>
            <w:hideMark/>
          </w:tcPr>
          <w:p w14:paraId="182A091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1FAAA73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70DCF0B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shd w:val="clear" w:color="auto" w:fill="CCEEFF"/>
            <w:noWrap/>
            <w:vAlign w:val="bottom"/>
            <w:hideMark/>
          </w:tcPr>
          <w:p w14:paraId="670BAE97"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429</w:t>
            </w:r>
          </w:p>
        </w:tc>
        <w:tc>
          <w:tcPr>
            <w:tcW w:w="0" w:type="auto"/>
            <w:shd w:val="clear" w:color="auto" w:fill="CCEEFF"/>
            <w:noWrap/>
            <w:vAlign w:val="bottom"/>
            <w:hideMark/>
          </w:tcPr>
          <w:p w14:paraId="4635B87D"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15F360E4"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34D8B743"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shd w:val="clear" w:color="auto" w:fill="CCEEFF"/>
            <w:noWrap/>
            <w:vAlign w:val="bottom"/>
            <w:hideMark/>
          </w:tcPr>
          <w:p w14:paraId="78FB5429"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416</w:t>
            </w:r>
          </w:p>
        </w:tc>
        <w:tc>
          <w:tcPr>
            <w:tcW w:w="0" w:type="auto"/>
            <w:shd w:val="clear" w:color="auto" w:fill="CCEEFF"/>
            <w:noWrap/>
            <w:vAlign w:val="bottom"/>
            <w:hideMark/>
          </w:tcPr>
          <w:p w14:paraId="5CD8AC64"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7583440C" w14:textId="77777777" w:rsidTr="00C00E52">
        <w:trPr>
          <w:tblCellSpacing w:w="0" w:type="dxa"/>
          <w:jc w:val="center"/>
        </w:trPr>
        <w:tc>
          <w:tcPr>
            <w:tcW w:w="0" w:type="auto"/>
            <w:gridSpan w:val="13"/>
            <w:tcBorders>
              <w:top w:val="single" w:sz="12" w:space="0" w:color="000000"/>
            </w:tcBorders>
            <w:shd w:val="clear" w:color="auto" w:fill="auto"/>
            <w:vAlign w:val="bottom"/>
            <w:hideMark/>
          </w:tcPr>
          <w:p w14:paraId="4B8CD990"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r>
    </w:tbl>
    <w:p w14:paraId="47D67F4A" w14:textId="77777777" w:rsidR="00C00E52" w:rsidRPr="00C736B2"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p w14:paraId="0ADE0856"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Although the company believes that it has adequately provided for all of its tax positions, amounts asserted by</w:t>
      </w:r>
      <w:r w:rsidRPr="00CC24FF">
        <w:rPr>
          <w:rFonts w:ascii="Times New Roman" w:eastAsia="Times New Roman" w:hAnsi="Times New Roman" w:cs="Times New Roman"/>
          <w:color w:val="000000"/>
          <w:sz w:val="20"/>
          <w:szCs w:val="20"/>
        </w:rPr>
        <w:t xml:space="preserve"> taxing authorities in future years could be greater than the company’s accrued positions. Accordingly, additional provisions on income tax related matters could be recorded in the future due to revised estimates, settlement or other resolution of the underlying tax matters. In addition, open tax years related to state and foreign jurisdictions remain subject to examination but are not considered material. The IRS is currently conducting an examination of the company’s tax returns for the years 2007 through 2009.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
          <w:szCs w:val="2"/>
        </w:rPr>
        <w:t> </w:t>
      </w:r>
      <w:r w:rsidRPr="00CC24FF">
        <w:rPr>
          <w:rFonts w:ascii="Times New Roman" w:eastAsia="Times New Roman" w:hAnsi="Times New Roman" w:cs="Times New Roman"/>
          <w:color w:val="000000"/>
          <w:sz w:val="20"/>
          <w:szCs w:val="20"/>
        </w:rPr>
        <w:t>During the year ended December 31, 2010, 2009</w:t>
      </w:r>
      <w:r w:rsidRPr="00CC24FF">
        <w:rPr>
          <w:rFonts w:ascii="Times New Roman" w:eastAsia="Times New Roman" w:hAnsi="Times New Roman" w:cs="Times New Roman"/>
          <w:b/>
          <w:color w:val="000000"/>
          <w:sz w:val="20"/>
          <w:szCs w:val="20"/>
        </w:rPr>
        <w:t>, and 2008</w:t>
      </w:r>
      <w:r w:rsidRPr="00CC24FF">
        <w:rPr>
          <w:rFonts w:ascii="Times New Roman" w:eastAsia="Times New Roman" w:hAnsi="Times New Roman" w:cs="Times New Roman"/>
          <w:color w:val="000000"/>
          <w:sz w:val="20"/>
          <w:szCs w:val="20"/>
        </w:rPr>
        <w:t xml:space="preserve">, the company recorded approximately $88 million, $6 million, </w:t>
      </w:r>
      <w:r w:rsidRPr="00CC24FF">
        <w:rPr>
          <w:rFonts w:ascii="Times New Roman" w:eastAsia="Times New Roman" w:hAnsi="Times New Roman" w:cs="Times New Roman"/>
          <w:b/>
          <w:color w:val="000000"/>
          <w:sz w:val="20"/>
          <w:szCs w:val="20"/>
        </w:rPr>
        <w:t>and $(29) million</w:t>
      </w:r>
      <w:r w:rsidRPr="00CC24FF">
        <w:rPr>
          <w:rFonts w:ascii="Times New Roman" w:eastAsia="Times New Roman" w:hAnsi="Times New Roman" w:cs="Times New Roman"/>
          <w:color w:val="000000"/>
          <w:sz w:val="20"/>
          <w:szCs w:val="20"/>
        </w:rPr>
        <w:t xml:space="preserve"> of net interest income (expense), respectively, within its federal and foreign, and state income tax provisions.</w:t>
      </w:r>
    </w:p>
    <w:p w14:paraId="02F2858A"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2CF9BEC0" w14:textId="35D3703F" w:rsidR="00C00E52" w:rsidRDefault="00C00E52" w:rsidP="005E2686">
      <w:pPr>
        <w:spacing w:after="0"/>
        <w:rPr>
          <w:rFonts w:ascii="Times New Roman" w:hAnsi="Times New Roman" w:cs="Times New Roman"/>
          <w:b/>
          <w:bCs/>
          <w:sz w:val="24"/>
          <w:szCs w:val="24"/>
        </w:rPr>
      </w:pPr>
      <w:r w:rsidRPr="00331E66">
        <w:rPr>
          <w:rFonts w:ascii="Times New Roman" w:hAnsi="Times New Roman" w:cs="Times New Roman"/>
          <w:b/>
          <w:bCs/>
          <w:sz w:val="24"/>
          <w:szCs w:val="24"/>
        </w:rPr>
        <w:t xml:space="preserve">Appendix </w:t>
      </w:r>
      <w:r w:rsidR="00C3183E">
        <w:rPr>
          <w:rFonts w:ascii="Times New Roman" w:hAnsi="Times New Roman" w:cs="Times New Roman"/>
          <w:b/>
          <w:bCs/>
          <w:sz w:val="24"/>
          <w:szCs w:val="24"/>
        </w:rPr>
        <w:t>C</w:t>
      </w:r>
      <w:r>
        <w:rPr>
          <w:rFonts w:ascii="Times New Roman" w:hAnsi="Times New Roman" w:cs="Times New Roman"/>
          <w:b/>
          <w:bCs/>
          <w:sz w:val="24"/>
          <w:szCs w:val="24"/>
        </w:rPr>
        <w:t xml:space="preserve"> </w:t>
      </w:r>
    </w:p>
    <w:p w14:paraId="15B20EA7" w14:textId="24CA8AAF" w:rsidR="00C00E52" w:rsidRDefault="00C00E52" w:rsidP="005E2686">
      <w:pPr>
        <w:spacing w:after="0"/>
        <w:rPr>
          <w:rFonts w:ascii="Times New Roman" w:hAnsi="Times New Roman" w:cs="Times New Roman"/>
          <w:b/>
          <w:bCs/>
          <w:sz w:val="24"/>
          <w:szCs w:val="24"/>
        </w:rPr>
      </w:pPr>
      <w:r>
        <w:rPr>
          <w:rFonts w:ascii="Times New Roman" w:hAnsi="Times New Roman" w:cs="Times New Roman"/>
          <w:b/>
          <w:bCs/>
          <w:sz w:val="24"/>
          <w:szCs w:val="24"/>
        </w:rPr>
        <w:t>Example of Increased Disclosure of Prior Years</w:t>
      </w:r>
    </w:p>
    <w:p w14:paraId="6AE8D1CA" w14:textId="77777777" w:rsidR="00C00E52" w:rsidRDefault="00C00E52" w:rsidP="00C00E52">
      <w:pPr>
        <w:shd w:val="clear" w:color="auto" w:fill="FFFFFF"/>
        <w:spacing w:after="0" w:line="240" w:lineRule="auto"/>
        <w:rPr>
          <w:rFonts w:ascii="Times New Roman" w:eastAsia="Times New Roman" w:hAnsi="Times New Roman" w:cs="Times New Roman"/>
          <w:i/>
          <w:iCs/>
          <w:color w:val="000000"/>
          <w:sz w:val="20"/>
          <w:szCs w:val="20"/>
        </w:rPr>
      </w:pPr>
    </w:p>
    <w:p w14:paraId="00C52A46" w14:textId="77777777" w:rsidR="00C00E52" w:rsidRPr="00F31182" w:rsidRDefault="00C00E52" w:rsidP="00C00E52">
      <w:pPr>
        <w:spacing w:after="0"/>
        <w:rPr>
          <w:rFonts w:ascii="Times New Roman" w:hAnsi="Times New Roman" w:cs="Times New Roman"/>
          <w:b/>
          <w:bCs/>
          <w:sz w:val="32"/>
          <w:szCs w:val="24"/>
        </w:rPr>
      </w:pPr>
      <w:r w:rsidRPr="00F31182">
        <w:rPr>
          <w:rFonts w:ascii="Times New Roman" w:hAnsi="Times New Roman" w:cs="Times New Roman"/>
          <w:b/>
          <w:bCs/>
          <w:color w:val="000000"/>
          <w:sz w:val="24"/>
          <w:szCs w:val="20"/>
        </w:rPr>
        <w:t>NORTHROP GRUMMAN CORPORATION</w:t>
      </w:r>
      <w:r>
        <w:rPr>
          <w:rFonts w:ascii="Times New Roman" w:hAnsi="Times New Roman" w:cs="Times New Roman"/>
          <w:b/>
          <w:bCs/>
          <w:color w:val="000000"/>
          <w:sz w:val="24"/>
          <w:szCs w:val="20"/>
        </w:rPr>
        <w:tab/>
        <w:t>2009</w:t>
      </w:r>
    </w:p>
    <w:p w14:paraId="26F36485" w14:textId="77777777" w:rsidR="00C00E52" w:rsidRDefault="00C00E52" w:rsidP="00C00E52">
      <w:pPr>
        <w:shd w:val="clear" w:color="auto" w:fill="FFFFFF"/>
        <w:spacing w:after="0" w:line="240" w:lineRule="auto"/>
        <w:rPr>
          <w:rFonts w:ascii="Times New Roman" w:eastAsia="Times New Roman" w:hAnsi="Times New Roman" w:cs="Times New Roman"/>
          <w:i/>
          <w:iCs/>
          <w:color w:val="000000"/>
          <w:sz w:val="20"/>
          <w:szCs w:val="20"/>
        </w:rPr>
      </w:pPr>
    </w:p>
    <w:p w14:paraId="626418C8"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i/>
          <w:iCs/>
          <w:color w:val="000000"/>
          <w:sz w:val="20"/>
          <w:szCs w:val="20"/>
        </w:rPr>
        <w:t>Uncertain Tax Positions</w:t>
      </w:r>
      <w:r w:rsidRPr="00CC24FF">
        <w:rPr>
          <w:rFonts w:ascii="Times New Roman" w:eastAsia="Times New Roman" w:hAnsi="Times New Roman" w:cs="Times New Roman"/>
          <w:color w:val="000000"/>
          <w:sz w:val="20"/>
          <w:szCs w:val="20"/>
        </w:rPr>
        <w:t> – During the third quarter of 2009, the company reached a final settlement agreement with the IRS and the U.S. Congressional Joint Committee on Taxation (Joint Committee) with respect to the IRS’ audit of the company’s tax returns for the years 2001 through 2003. As a result of this settlement, the company reduced its liability for uncertain tax positions by $60 million, which was recorded as a reduction to the company’s effective tax rate.</w:t>
      </w:r>
    </w:p>
    <w:p w14:paraId="3517AD86"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6868CF62" w14:textId="77777777" w:rsidR="00C00E52" w:rsidRDefault="00C00E52" w:rsidP="00C00E52">
      <w:pPr>
        <w:shd w:val="clear" w:color="auto" w:fill="FFFFFF"/>
        <w:spacing w:after="0" w:line="240" w:lineRule="auto"/>
        <w:rPr>
          <w:rFonts w:ascii="Times New Roman" w:eastAsia="Times New Roman" w:hAnsi="Times New Roman" w:cs="Times New Roman"/>
          <w:color w:val="000000"/>
          <w:sz w:val="20"/>
          <w:szCs w:val="20"/>
        </w:rPr>
      </w:pPr>
    </w:p>
    <w:p w14:paraId="17E8DD69"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During the third quarter of 2008, the company reached a final settlement agreement with the IRS and Joint Committee with respect to the IRS’ audit of the TRW tax returns for the years 1999 through 2002. As a result of this settlement, the company reduced its liability for uncertain tax positions by $126 million (including accrued interest of $44 million), $95 million of which was recorded as a reduction of goodwill.</w:t>
      </w:r>
    </w:p>
    <w:p w14:paraId="5B82D3D1"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4504EE7D" w14:textId="77777777" w:rsidR="00C00E52" w:rsidRDefault="00C00E52" w:rsidP="00C00E52">
      <w:pPr>
        <w:shd w:val="clear" w:color="auto" w:fill="FFFFFF"/>
        <w:spacing w:after="0" w:line="240" w:lineRule="auto"/>
        <w:rPr>
          <w:rFonts w:ascii="Times New Roman" w:eastAsia="Times New Roman" w:hAnsi="Times New Roman" w:cs="Times New Roman"/>
          <w:color w:val="000000"/>
          <w:sz w:val="20"/>
          <w:szCs w:val="20"/>
        </w:rPr>
      </w:pPr>
    </w:p>
    <w:p w14:paraId="693E0B06"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As of December 31, 2009, the estimated value of the company’s uncertain tax positions was a liability of $423 million which includes accrued interest of $61 million. If the company’s positions are sustained by the taxing authorities in favor of the company, the reversal of the amounts accrued for uncertain tax positions would reduce the company’s effective tax rate.</w:t>
      </w:r>
    </w:p>
    <w:p w14:paraId="0C39C850"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1FC66474" w14:textId="77777777" w:rsidR="00C00E52" w:rsidRDefault="00C00E52" w:rsidP="00C00E52">
      <w:pPr>
        <w:shd w:val="clear" w:color="auto" w:fill="FFFFFF"/>
        <w:spacing w:after="0" w:line="240" w:lineRule="auto"/>
        <w:rPr>
          <w:rFonts w:ascii="Times New Roman" w:eastAsia="Times New Roman" w:hAnsi="Times New Roman" w:cs="Times New Roman"/>
          <w:i/>
          <w:iCs/>
          <w:color w:val="000000"/>
          <w:sz w:val="20"/>
          <w:szCs w:val="20"/>
        </w:rPr>
      </w:pPr>
    </w:p>
    <w:p w14:paraId="1908833F" w14:textId="77777777" w:rsidR="00C00E52"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i/>
          <w:iCs/>
          <w:color w:val="000000"/>
          <w:sz w:val="20"/>
          <w:szCs w:val="20"/>
        </w:rPr>
        <w:t>Unrecognized Tax Benefits</w:t>
      </w:r>
      <w:r w:rsidRPr="00CC24FF">
        <w:rPr>
          <w:rFonts w:ascii="Times New Roman" w:eastAsia="Times New Roman" w:hAnsi="Times New Roman" w:cs="Times New Roman"/>
          <w:color w:val="000000"/>
          <w:sz w:val="20"/>
          <w:szCs w:val="20"/>
        </w:rPr>
        <w:t xml:space="preserve"> – Unrecognized tax benefits consist of the carrying value of the company’s recorded uncertain tax positions as well as the potential tax benefits that could result from other tax positions that have not been recognized in the financial statement under GAAP. At December 31, 2009, and 2008, unrecognized tax benefits that have not been recognized in the financial statements amounted to $67 million. </w:t>
      </w:r>
    </w:p>
    <w:p w14:paraId="769FB7D6" w14:textId="77777777" w:rsidR="00C00E52" w:rsidRDefault="00C00E52" w:rsidP="00C00E52">
      <w:pPr>
        <w:shd w:val="clear" w:color="auto" w:fill="FFFFFF"/>
        <w:spacing w:after="0" w:line="240" w:lineRule="auto"/>
        <w:rPr>
          <w:rFonts w:ascii="Times New Roman" w:eastAsia="Times New Roman" w:hAnsi="Times New Roman" w:cs="Times New Roman"/>
          <w:color w:val="000000"/>
          <w:sz w:val="20"/>
          <w:szCs w:val="20"/>
        </w:rPr>
      </w:pPr>
    </w:p>
    <w:p w14:paraId="685C9688"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The change in unrecognized tax benefits during 2009 and 2008, excluding interest, is as follows:</w:t>
      </w:r>
    </w:p>
    <w:p w14:paraId="4307E11B"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876"/>
        <w:gridCol w:w="50"/>
        <w:gridCol w:w="120"/>
        <w:gridCol w:w="300"/>
        <w:gridCol w:w="119"/>
        <w:gridCol w:w="357"/>
        <w:gridCol w:w="119"/>
        <w:gridCol w:w="300"/>
        <w:gridCol w:w="119"/>
      </w:tblGrid>
      <w:tr w:rsidR="00C00E52" w:rsidRPr="00CC24FF" w14:paraId="3D55C8A0" w14:textId="77777777" w:rsidTr="00C00E52">
        <w:trPr>
          <w:tblCellSpacing w:w="0" w:type="dxa"/>
          <w:jc w:val="center"/>
        </w:trPr>
        <w:tc>
          <w:tcPr>
            <w:tcW w:w="4400" w:type="pct"/>
            <w:shd w:val="clear" w:color="auto" w:fill="FFFFFF"/>
            <w:vAlign w:val="bottom"/>
            <w:hideMark/>
          </w:tcPr>
          <w:p w14:paraId="2053B2C2"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150" w:type="pct"/>
            <w:shd w:val="clear" w:color="auto" w:fill="FFFFFF"/>
            <w:vAlign w:val="bottom"/>
            <w:hideMark/>
          </w:tcPr>
          <w:p w14:paraId="45FD902C"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2B90BDB4"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6ACA746F"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73E1C28D"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150" w:type="pct"/>
            <w:shd w:val="clear" w:color="auto" w:fill="FFFFFF"/>
            <w:vAlign w:val="bottom"/>
            <w:hideMark/>
          </w:tcPr>
          <w:p w14:paraId="36F1A1B8"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6ED5EB7B"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1FB7AD25" w14:textId="77777777" w:rsidR="00C00E52" w:rsidRPr="00CC24FF" w:rsidRDefault="00C00E52" w:rsidP="00C00E52">
            <w:pPr>
              <w:spacing w:after="0" w:line="240" w:lineRule="auto"/>
              <w:jc w:val="right"/>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c>
          <w:tcPr>
            <w:tcW w:w="50" w:type="pct"/>
            <w:shd w:val="clear" w:color="auto" w:fill="FFFFFF"/>
            <w:vAlign w:val="bottom"/>
            <w:hideMark/>
          </w:tcPr>
          <w:p w14:paraId="647A27CD" w14:textId="77777777" w:rsidR="00C00E52" w:rsidRPr="00CC24FF" w:rsidRDefault="00C00E52" w:rsidP="00C00E52">
            <w:pPr>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tc>
      </w:tr>
      <w:tr w:rsidR="00C00E52" w:rsidRPr="00CC24FF" w14:paraId="6D5E15BA" w14:textId="77777777" w:rsidTr="00C00E52">
        <w:trPr>
          <w:tblCellSpacing w:w="0" w:type="dxa"/>
          <w:jc w:val="center"/>
        </w:trPr>
        <w:tc>
          <w:tcPr>
            <w:tcW w:w="0" w:type="auto"/>
            <w:shd w:val="clear" w:color="auto" w:fill="FFFFFF"/>
            <w:noWrap/>
            <w:vAlign w:val="bottom"/>
            <w:hideMark/>
          </w:tcPr>
          <w:p w14:paraId="1EFE8435" w14:textId="77777777" w:rsidR="00C00E52" w:rsidRPr="00CC24FF" w:rsidRDefault="00C00E52" w:rsidP="00C00E52">
            <w:pPr>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 </w:t>
            </w:r>
          </w:p>
        </w:tc>
        <w:tc>
          <w:tcPr>
            <w:tcW w:w="0" w:type="auto"/>
            <w:shd w:val="clear" w:color="auto" w:fill="FFFFFF"/>
            <w:vAlign w:val="bottom"/>
            <w:hideMark/>
          </w:tcPr>
          <w:p w14:paraId="2522B62E" w14:textId="77777777" w:rsidR="00C00E52" w:rsidRPr="00CC24FF" w:rsidRDefault="00C00E52" w:rsidP="00C00E52">
            <w:pPr>
              <w:spacing w:after="0" w:line="240" w:lineRule="auto"/>
              <w:jc w:val="center"/>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 </w:t>
            </w:r>
          </w:p>
        </w:tc>
        <w:tc>
          <w:tcPr>
            <w:tcW w:w="0" w:type="auto"/>
            <w:gridSpan w:val="7"/>
            <w:shd w:val="clear" w:color="auto" w:fill="FFFFFF"/>
            <w:vAlign w:val="bottom"/>
            <w:hideMark/>
          </w:tcPr>
          <w:p w14:paraId="3FB3BCC8" w14:textId="77777777" w:rsidR="00C00E52" w:rsidRPr="00CC24FF" w:rsidRDefault="00C00E52" w:rsidP="00C00E52">
            <w:pPr>
              <w:spacing w:after="0" w:line="240" w:lineRule="auto"/>
              <w:jc w:val="center"/>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December 31</w:t>
            </w:r>
          </w:p>
        </w:tc>
      </w:tr>
      <w:tr w:rsidR="00C00E52" w:rsidRPr="00C736B2" w14:paraId="24EB37F3" w14:textId="77777777" w:rsidTr="00C00E52">
        <w:trPr>
          <w:tblCellSpacing w:w="0" w:type="dxa"/>
          <w:jc w:val="center"/>
        </w:trPr>
        <w:tc>
          <w:tcPr>
            <w:tcW w:w="0" w:type="auto"/>
            <w:shd w:val="clear" w:color="auto" w:fill="FFFFFF"/>
            <w:noWrap/>
            <w:vAlign w:val="bottom"/>
            <w:hideMark/>
          </w:tcPr>
          <w:p w14:paraId="4D746EF0" w14:textId="77777777" w:rsidR="00C00E52" w:rsidRPr="00C736B2" w:rsidRDefault="00C00E52" w:rsidP="00C00E52">
            <w:pPr>
              <w:spacing w:after="0" w:line="240" w:lineRule="auto"/>
              <w:rPr>
                <w:rFonts w:ascii="Times New Roman" w:eastAsia="Times New Roman" w:hAnsi="Times New Roman" w:cs="Times New Roman"/>
                <w:color w:val="000000"/>
                <w:sz w:val="16"/>
                <w:szCs w:val="16"/>
              </w:rPr>
            </w:pPr>
            <w:r w:rsidRPr="00C736B2">
              <w:rPr>
                <w:rFonts w:ascii="Times New Roman" w:eastAsia="Times New Roman" w:hAnsi="Times New Roman" w:cs="Times New Roman"/>
                <w:i/>
                <w:iCs/>
                <w:color w:val="000000"/>
                <w:sz w:val="20"/>
                <w:szCs w:val="20"/>
              </w:rPr>
              <w:t>$ in millions</w:t>
            </w:r>
          </w:p>
        </w:tc>
        <w:tc>
          <w:tcPr>
            <w:tcW w:w="0" w:type="auto"/>
            <w:shd w:val="clear" w:color="auto" w:fill="FFFFFF"/>
            <w:vAlign w:val="bottom"/>
            <w:hideMark/>
          </w:tcPr>
          <w:p w14:paraId="06D0DC76"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16"/>
                <w:szCs w:val="16"/>
              </w:rPr>
              <w:t> </w:t>
            </w:r>
          </w:p>
        </w:tc>
        <w:tc>
          <w:tcPr>
            <w:tcW w:w="0" w:type="auto"/>
            <w:gridSpan w:val="3"/>
            <w:tcBorders>
              <w:top w:val="single" w:sz="6" w:space="0" w:color="000000"/>
            </w:tcBorders>
            <w:shd w:val="clear" w:color="auto" w:fill="FFFFFF"/>
            <w:noWrap/>
            <w:vAlign w:val="bottom"/>
            <w:hideMark/>
          </w:tcPr>
          <w:p w14:paraId="15A6443B"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bCs/>
                <w:color w:val="000000"/>
                <w:sz w:val="20"/>
                <w:szCs w:val="20"/>
              </w:rPr>
              <w:t>2009</w:t>
            </w:r>
          </w:p>
        </w:tc>
        <w:tc>
          <w:tcPr>
            <w:tcW w:w="0" w:type="auto"/>
            <w:tcBorders>
              <w:top w:val="single" w:sz="6" w:space="0" w:color="000000"/>
            </w:tcBorders>
            <w:shd w:val="clear" w:color="auto" w:fill="FFFFFF"/>
            <w:vAlign w:val="bottom"/>
            <w:hideMark/>
          </w:tcPr>
          <w:p w14:paraId="2694491A"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16"/>
                <w:szCs w:val="16"/>
              </w:rPr>
              <w:t> </w:t>
            </w:r>
          </w:p>
        </w:tc>
        <w:tc>
          <w:tcPr>
            <w:tcW w:w="0" w:type="auto"/>
            <w:gridSpan w:val="3"/>
            <w:tcBorders>
              <w:top w:val="single" w:sz="6" w:space="0" w:color="000000"/>
            </w:tcBorders>
            <w:shd w:val="clear" w:color="auto" w:fill="FFFFFF"/>
            <w:noWrap/>
            <w:vAlign w:val="bottom"/>
            <w:hideMark/>
          </w:tcPr>
          <w:p w14:paraId="21C530BB" w14:textId="77777777" w:rsidR="00C00E52" w:rsidRPr="00C736B2" w:rsidRDefault="00C00E52" w:rsidP="00C00E52">
            <w:pPr>
              <w:spacing w:after="0" w:line="240" w:lineRule="auto"/>
              <w:jc w:val="center"/>
              <w:rPr>
                <w:rFonts w:ascii="Times New Roman" w:eastAsia="Times New Roman" w:hAnsi="Times New Roman" w:cs="Times New Roman"/>
                <w:color w:val="000000"/>
                <w:sz w:val="16"/>
                <w:szCs w:val="16"/>
              </w:rPr>
            </w:pPr>
            <w:r w:rsidRPr="00C736B2">
              <w:rPr>
                <w:rFonts w:ascii="Times New Roman" w:eastAsia="Times New Roman" w:hAnsi="Times New Roman" w:cs="Times New Roman"/>
                <w:color w:val="000000"/>
                <w:sz w:val="20"/>
                <w:szCs w:val="20"/>
              </w:rPr>
              <w:t>2008</w:t>
            </w:r>
          </w:p>
        </w:tc>
      </w:tr>
      <w:tr w:rsidR="00C00E52" w:rsidRPr="00C736B2" w14:paraId="59CBD252" w14:textId="77777777" w:rsidTr="00C00E52">
        <w:trPr>
          <w:tblCellSpacing w:w="0" w:type="dxa"/>
          <w:jc w:val="center"/>
        </w:trPr>
        <w:tc>
          <w:tcPr>
            <w:tcW w:w="0" w:type="auto"/>
            <w:tcBorders>
              <w:top w:val="single" w:sz="6" w:space="0" w:color="000000"/>
            </w:tcBorders>
            <w:shd w:val="clear" w:color="auto" w:fill="CCEEFF"/>
            <w:vAlign w:val="bottom"/>
            <w:hideMark/>
          </w:tcPr>
          <w:p w14:paraId="6ECE19BA"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Unrecognized tax benefit at beginning of the year</w:t>
            </w:r>
          </w:p>
        </w:tc>
        <w:tc>
          <w:tcPr>
            <w:tcW w:w="0" w:type="auto"/>
            <w:tcBorders>
              <w:top w:val="single" w:sz="6" w:space="0" w:color="000000"/>
            </w:tcBorders>
            <w:shd w:val="clear" w:color="auto" w:fill="CCEEFF"/>
            <w:vAlign w:val="bottom"/>
            <w:hideMark/>
          </w:tcPr>
          <w:p w14:paraId="73BDD41A"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noWrap/>
            <w:vAlign w:val="bottom"/>
            <w:hideMark/>
          </w:tcPr>
          <w:p w14:paraId="547EDA1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tcBorders>
              <w:top w:val="single" w:sz="6" w:space="0" w:color="000000"/>
            </w:tcBorders>
            <w:shd w:val="clear" w:color="auto" w:fill="CCEEFF"/>
            <w:noWrap/>
            <w:vAlign w:val="bottom"/>
            <w:hideMark/>
          </w:tcPr>
          <w:p w14:paraId="218071F4"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416</w:t>
            </w:r>
          </w:p>
        </w:tc>
        <w:tc>
          <w:tcPr>
            <w:tcW w:w="0" w:type="auto"/>
            <w:tcBorders>
              <w:top w:val="single" w:sz="6" w:space="0" w:color="000000"/>
            </w:tcBorders>
            <w:shd w:val="clear" w:color="auto" w:fill="CCEEFF"/>
            <w:noWrap/>
            <w:vAlign w:val="bottom"/>
            <w:hideMark/>
          </w:tcPr>
          <w:p w14:paraId="57A064D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vAlign w:val="bottom"/>
            <w:hideMark/>
          </w:tcPr>
          <w:p w14:paraId="3F48BB8F"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tcBorders>
              <w:top w:val="single" w:sz="6" w:space="0" w:color="000000"/>
            </w:tcBorders>
            <w:shd w:val="clear" w:color="auto" w:fill="CCEEFF"/>
            <w:noWrap/>
            <w:vAlign w:val="bottom"/>
            <w:hideMark/>
          </w:tcPr>
          <w:p w14:paraId="64502CA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tcBorders>
              <w:top w:val="single" w:sz="6" w:space="0" w:color="000000"/>
            </w:tcBorders>
            <w:shd w:val="clear" w:color="auto" w:fill="CCEEFF"/>
            <w:noWrap/>
            <w:vAlign w:val="bottom"/>
            <w:hideMark/>
          </w:tcPr>
          <w:p w14:paraId="72CEA683"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488</w:t>
            </w:r>
          </w:p>
        </w:tc>
        <w:tc>
          <w:tcPr>
            <w:tcW w:w="0" w:type="auto"/>
            <w:tcBorders>
              <w:top w:val="single" w:sz="6" w:space="0" w:color="000000"/>
            </w:tcBorders>
            <w:shd w:val="clear" w:color="auto" w:fill="CCEEFF"/>
            <w:noWrap/>
            <w:vAlign w:val="bottom"/>
            <w:hideMark/>
          </w:tcPr>
          <w:p w14:paraId="7CD6DC3C"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06FD8D39" w14:textId="77777777" w:rsidTr="00C00E52">
        <w:trPr>
          <w:tblCellSpacing w:w="0" w:type="dxa"/>
          <w:jc w:val="center"/>
        </w:trPr>
        <w:tc>
          <w:tcPr>
            <w:tcW w:w="0" w:type="auto"/>
            <w:tcBorders>
              <w:top w:val="single" w:sz="6" w:space="0" w:color="000000"/>
            </w:tcBorders>
            <w:shd w:val="clear" w:color="auto" w:fill="FFFFFF"/>
            <w:noWrap/>
            <w:vAlign w:val="bottom"/>
            <w:hideMark/>
          </w:tcPr>
          <w:p w14:paraId="7B507C9C"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vAlign w:val="center"/>
            <w:hideMark/>
          </w:tcPr>
          <w:p w14:paraId="59C9714B"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200C3792"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0FBC900B"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4FEEABB8"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vAlign w:val="center"/>
            <w:hideMark/>
          </w:tcPr>
          <w:p w14:paraId="123E94C1"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05DD5A9A"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17E9790D"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72D5968D"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r>
      <w:tr w:rsidR="00C00E52" w:rsidRPr="00C736B2" w14:paraId="2114837C" w14:textId="77777777" w:rsidTr="00C00E52">
        <w:trPr>
          <w:tblCellSpacing w:w="0" w:type="dxa"/>
          <w:jc w:val="center"/>
        </w:trPr>
        <w:tc>
          <w:tcPr>
            <w:tcW w:w="0" w:type="auto"/>
            <w:shd w:val="clear" w:color="auto" w:fill="FFFFFF"/>
            <w:vAlign w:val="bottom"/>
            <w:hideMark/>
          </w:tcPr>
          <w:p w14:paraId="481F69B2"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Additions based on tax positions related to the current year</w:t>
            </w:r>
          </w:p>
        </w:tc>
        <w:tc>
          <w:tcPr>
            <w:tcW w:w="0" w:type="auto"/>
            <w:shd w:val="clear" w:color="auto" w:fill="FFFFFF"/>
            <w:vAlign w:val="bottom"/>
            <w:hideMark/>
          </w:tcPr>
          <w:p w14:paraId="7826AF06"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7F155F74"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71FBE318"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12</w:t>
            </w:r>
          </w:p>
        </w:tc>
        <w:tc>
          <w:tcPr>
            <w:tcW w:w="0" w:type="auto"/>
            <w:shd w:val="clear" w:color="auto" w:fill="FFFFFF"/>
            <w:noWrap/>
            <w:vAlign w:val="bottom"/>
            <w:hideMark/>
          </w:tcPr>
          <w:p w14:paraId="6743F698"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vAlign w:val="bottom"/>
            <w:hideMark/>
          </w:tcPr>
          <w:p w14:paraId="35580E3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0E255A0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49FA709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5</w:t>
            </w:r>
          </w:p>
        </w:tc>
        <w:tc>
          <w:tcPr>
            <w:tcW w:w="0" w:type="auto"/>
            <w:shd w:val="clear" w:color="auto" w:fill="FFFFFF"/>
            <w:noWrap/>
            <w:vAlign w:val="bottom"/>
            <w:hideMark/>
          </w:tcPr>
          <w:p w14:paraId="27BD37DB"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669186DB" w14:textId="77777777" w:rsidTr="00C00E52">
        <w:trPr>
          <w:tblCellSpacing w:w="0" w:type="dxa"/>
          <w:jc w:val="center"/>
        </w:trPr>
        <w:tc>
          <w:tcPr>
            <w:tcW w:w="0" w:type="auto"/>
            <w:shd w:val="clear" w:color="auto" w:fill="CCEEFF"/>
            <w:vAlign w:val="bottom"/>
            <w:hideMark/>
          </w:tcPr>
          <w:p w14:paraId="2B04E4FE"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Additions for tax positions of prior years</w:t>
            </w:r>
          </w:p>
        </w:tc>
        <w:tc>
          <w:tcPr>
            <w:tcW w:w="0" w:type="auto"/>
            <w:shd w:val="clear" w:color="auto" w:fill="CCEEFF"/>
            <w:vAlign w:val="bottom"/>
            <w:hideMark/>
          </w:tcPr>
          <w:p w14:paraId="75D1BFE8"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0ABC2D1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701B282B"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61</w:t>
            </w:r>
          </w:p>
        </w:tc>
        <w:tc>
          <w:tcPr>
            <w:tcW w:w="0" w:type="auto"/>
            <w:shd w:val="clear" w:color="auto" w:fill="CCEEFF"/>
            <w:noWrap/>
            <w:vAlign w:val="bottom"/>
            <w:hideMark/>
          </w:tcPr>
          <w:p w14:paraId="5CE0DEC6"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39CF342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5D10E7C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6C97AF4D"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15</w:t>
            </w:r>
          </w:p>
        </w:tc>
        <w:tc>
          <w:tcPr>
            <w:tcW w:w="0" w:type="auto"/>
            <w:shd w:val="clear" w:color="auto" w:fill="CCEEFF"/>
            <w:noWrap/>
            <w:vAlign w:val="bottom"/>
            <w:hideMark/>
          </w:tcPr>
          <w:p w14:paraId="122D152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591581D4" w14:textId="77777777" w:rsidTr="00C00E52">
        <w:trPr>
          <w:tblCellSpacing w:w="0" w:type="dxa"/>
          <w:jc w:val="center"/>
        </w:trPr>
        <w:tc>
          <w:tcPr>
            <w:tcW w:w="0" w:type="auto"/>
            <w:shd w:val="clear" w:color="auto" w:fill="FFFFFF"/>
            <w:noWrap/>
            <w:vAlign w:val="bottom"/>
            <w:hideMark/>
          </w:tcPr>
          <w:p w14:paraId="77EF6BE7"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Statute expiration</w:t>
            </w:r>
          </w:p>
        </w:tc>
        <w:tc>
          <w:tcPr>
            <w:tcW w:w="0" w:type="auto"/>
            <w:shd w:val="clear" w:color="auto" w:fill="FFFFFF"/>
            <w:vAlign w:val="bottom"/>
            <w:hideMark/>
          </w:tcPr>
          <w:p w14:paraId="370B6FC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4CCC3707"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5167EC8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1AEA8B02"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vAlign w:val="bottom"/>
            <w:hideMark/>
          </w:tcPr>
          <w:p w14:paraId="32E37E87"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5C79E0BA"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4AAF17B0"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(9</w:t>
            </w:r>
          </w:p>
        </w:tc>
        <w:tc>
          <w:tcPr>
            <w:tcW w:w="0" w:type="auto"/>
            <w:shd w:val="clear" w:color="auto" w:fill="FFFFFF"/>
            <w:noWrap/>
            <w:vAlign w:val="bottom"/>
            <w:hideMark/>
          </w:tcPr>
          <w:p w14:paraId="3A2C85CB"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0B386B6C" w14:textId="77777777" w:rsidTr="00C00E52">
        <w:trPr>
          <w:tblCellSpacing w:w="0" w:type="dxa"/>
          <w:jc w:val="center"/>
        </w:trPr>
        <w:tc>
          <w:tcPr>
            <w:tcW w:w="0" w:type="auto"/>
            <w:shd w:val="clear" w:color="auto" w:fill="CCEEFF"/>
            <w:noWrap/>
            <w:vAlign w:val="bottom"/>
            <w:hideMark/>
          </w:tcPr>
          <w:p w14:paraId="29228DFD"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Settlements</w:t>
            </w:r>
          </w:p>
        </w:tc>
        <w:tc>
          <w:tcPr>
            <w:tcW w:w="0" w:type="auto"/>
            <w:shd w:val="clear" w:color="auto" w:fill="CCEEFF"/>
            <w:vAlign w:val="bottom"/>
            <w:hideMark/>
          </w:tcPr>
          <w:p w14:paraId="2DADF2EF"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054D945E"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0C418FF3"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(60</w:t>
            </w:r>
          </w:p>
        </w:tc>
        <w:tc>
          <w:tcPr>
            <w:tcW w:w="0" w:type="auto"/>
            <w:shd w:val="clear" w:color="auto" w:fill="CCEEFF"/>
            <w:noWrap/>
            <w:vAlign w:val="bottom"/>
            <w:hideMark/>
          </w:tcPr>
          <w:p w14:paraId="4A3C20CA"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shd w:val="clear" w:color="auto" w:fill="CCEEFF"/>
            <w:vAlign w:val="bottom"/>
            <w:hideMark/>
          </w:tcPr>
          <w:p w14:paraId="7FC2B21B"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6B37B602"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534E62D6"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(83</w:t>
            </w:r>
          </w:p>
        </w:tc>
        <w:tc>
          <w:tcPr>
            <w:tcW w:w="0" w:type="auto"/>
            <w:shd w:val="clear" w:color="auto" w:fill="CCEEFF"/>
            <w:noWrap/>
            <w:vAlign w:val="bottom"/>
            <w:hideMark/>
          </w:tcPr>
          <w:p w14:paraId="01328C2E"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4C9206E4" w14:textId="77777777" w:rsidTr="00C00E52">
        <w:trPr>
          <w:tblCellSpacing w:w="0" w:type="dxa"/>
          <w:jc w:val="center"/>
        </w:trPr>
        <w:tc>
          <w:tcPr>
            <w:tcW w:w="0" w:type="auto"/>
            <w:tcBorders>
              <w:top w:val="single" w:sz="6" w:space="0" w:color="000000"/>
            </w:tcBorders>
            <w:shd w:val="clear" w:color="auto" w:fill="FFFFFF"/>
            <w:noWrap/>
            <w:vAlign w:val="bottom"/>
            <w:hideMark/>
          </w:tcPr>
          <w:p w14:paraId="0E7DD63F" w14:textId="77777777" w:rsidR="00C00E52" w:rsidRPr="00C736B2" w:rsidRDefault="00C00E52" w:rsidP="00C00E52">
            <w:pPr>
              <w:spacing w:after="0" w:line="240" w:lineRule="auto"/>
              <w:jc w:val="center"/>
              <w:rPr>
                <w:rFonts w:ascii="Times New Roman" w:eastAsia="Times New Roman" w:hAnsi="Times New Roman" w:cs="Times New Roman"/>
                <w:color w:val="000000"/>
                <w:sz w:val="2"/>
                <w:szCs w:val="2"/>
              </w:rPr>
            </w:pPr>
          </w:p>
        </w:tc>
        <w:tc>
          <w:tcPr>
            <w:tcW w:w="0" w:type="auto"/>
            <w:tcBorders>
              <w:top w:val="single" w:sz="6" w:space="0" w:color="000000"/>
            </w:tcBorders>
            <w:shd w:val="clear" w:color="auto" w:fill="FFFFFF"/>
            <w:vAlign w:val="center"/>
            <w:hideMark/>
          </w:tcPr>
          <w:p w14:paraId="0C90DCDC"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2C7594F7"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35E089EE"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02184884"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vAlign w:val="center"/>
            <w:hideMark/>
          </w:tcPr>
          <w:p w14:paraId="78A2B209"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14950B6B"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34E3D3ED"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2345EC96"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r>
      <w:tr w:rsidR="00C00E52" w:rsidRPr="00C736B2" w14:paraId="70CBB1B4" w14:textId="77777777" w:rsidTr="00C00E52">
        <w:trPr>
          <w:tblCellSpacing w:w="0" w:type="dxa"/>
          <w:jc w:val="center"/>
        </w:trPr>
        <w:tc>
          <w:tcPr>
            <w:tcW w:w="0" w:type="auto"/>
            <w:shd w:val="clear" w:color="auto" w:fill="FFFFFF"/>
            <w:vAlign w:val="bottom"/>
            <w:hideMark/>
          </w:tcPr>
          <w:p w14:paraId="191F2ED9"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Net change in unrecognized tax benefits</w:t>
            </w:r>
          </w:p>
        </w:tc>
        <w:tc>
          <w:tcPr>
            <w:tcW w:w="0" w:type="auto"/>
            <w:shd w:val="clear" w:color="auto" w:fill="FFFFFF"/>
            <w:vAlign w:val="bottom"/>
            <w:hideMark/>
          </w:tcPr>
          <w:p w14:paraId="5C550263"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44497BB6"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521BD699"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13</w:t>
            </w:r>
          </w:p>
        </w:tc>
        <w:tc>
          <w:tcPr>
            <w:tcW w:w="0" w:type="auto"/>
            <w:shd w:val="clear" w:color="auto" w:fill="FFFFFF"/>
            <w:noWrap/>
            <w:vAlign w:val="bottom"/>
            <w:hideMark/>
          </w:tcPr>
          <w:p w14:paraId="1104917D"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vAlign w:val="bottom"/>
            <w:hideMark/>
          </w:tcPr>
          <w:p w14:paraId="774E1D15"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0ABEA312"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FFFFFF"/>
            <w:noWrap/>
            <w:vAlign w:val="bottom"/>
            <w:hideMark/>
          </w:tcPr>
          <w:p w14:paraId="4E82A781"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(72</w:t>
            </w:r>
          </w:p>
        </w:tc>
        <w:tc>
          <w:tcPr>
            <w:tcW w:w="0" w:type="auto"/>
            <w:shd w:val="clear" w:color="auto" w:fill="FFFFFF"/>
            <w:noWrap/>
            <w:vAlign w:val="bottom"/>
            <w:hideMark/>
          </w:tcPr>
          <w:p w14:paraId="0560E206"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r>
      <w:tr w:rsidR="00C00E52" w:rsidRPr="00C736B2" w14:paraId="44416895" w14:textId="77777777" w:rsidTr="00C00E52">
        <w:trPr>
          <w:tblCellSpacing w:w="0" w:type="dxa"/>
          <w:jc w:val="center"/>
        </w:trPr>
        <w:tc>
          <w:tcPr>
            <w:tcW w:w="0" w:type="auto"/>
            <w:tcBorders>
              <w:top w:val="single" w:sz="6" w:space="0" w:color="000000"/>
            </w:tcBorders>
            <w:shd w:val="clear" w:color="auto" w:fill="FFFFFF"/>
            <w:noWrap/>
            <w:vAlign w:val="bottom"/>
            <w:hideMark/>
          </w:tcPr>
          <w:p w14:paraId="516D4911" w14:textId="77777777" w:rsidR="00C00E52" w:rsidRPr="00C736B2" w:rsidRDefault="00C00E52" w:rsidP="00C00E52">
            <w:pPr>
              <w:spacing w:after="0" w:line="240" w:lineRule="auto"/>
              <w:jc w:val="center"/>
              <w:rPr>
                <w:rFonts w:ascii="Times New Roman" w:eastAsia="Times New Roman" w:hAnsi="Times New Roman" w:cs="Times New Roman"/>
                <w:color w:val="000000"/>
                <w:sz w:val="2"/>
                <w:szCs w:val="2"/>
              </w:rPr>
            </w:pPr>
          </w:p>
        </w:tc>
        <w:tc>
          <w:tcPr>
            <w:tcW w:w="0" w:type="auto"/>
            <w:tcBorders>
              <w:top w:val="single" w:sz="6" w:space="0" w:color="000000"/>
            </w:tcBorders>
            <w:shd w:val="clear" w:color="auto" w:fill="FFFFFF"/>
            <w:vAlign w:val="center"/>
            <w:hideMark/>
          </w:tcPr>
          <w:p w14:paraId="6898E29F"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4C3AD89C"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0894B344"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4BADDBF8"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vAlign w:val="center"/>
            <w:hideMark/>
          </w:tcPr>
          <w:p w14:paraId="67DC8FA2"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137F3230"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11B52A57"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6" w:space="0" w:color="000000"/>
            </w:tcBorders>
            <w:shd w:val="clear" w:color="auto" w:fill="FFFFFF"/>
            <w:noWrap/>
            <w:vAlign w:val="bottom"/>
            <w:hideMark/>
          </w:tcPr>
          <w:p w14:paraId="6E260958"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r>
      <w:tr w:rsidR="00C00E52" w:rsidRPr="00C736B2" w14:paraId="62DD9729" w14:textId="77777777" w:rsidTr="00C00E52">
        <w:trPr>
          <w:tblCellSpacing w:w="0" w:type="dxa"/>
          <w:jc w:val="center"/>
        </w:trPr>
        <w:tc>
          <w:tcPr>
            <w:tcW w:w="0" w:type="auto"/>
            <w:shd w:val="clear" w:color="auto" w:fill="CCEEFF"/>
            <w:vAlign w:val="bottom"/>
            <w:hideMark/>
          </w:tcPr>
          <w:p w14:paraId="1C560076" w14:textId="77777777" w:rsidR="00C00E52" w:rsidRPr="00C736B2" w:rsidRDefault="00C00E52" w:rsidP="00C00E52">
            <w:pPr>
              <w:spacing w:after="0" w:line="240" w:lineRule="auto"/>
              <w:ind w:hanging="200"/>
              <w:jc w:val="center"/>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Unrecognized tax benefit at end of the year</w:t>
            </w:r>
          </w:p>
        </w:tc>
        <w:tc>
          <w:tcPr>
            <w:tcW w:w="0" w:type="auto"/>
            <w:shd w:val="clear" w:color="auto" w:fill="CCEEFF"/>
            <w:vAlign w:val="bottom"/>
            <w:hideMark/>
          </w:tcPr>
          <w:p w14:paraId="2A5C6AA9"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3674AD49"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w:t>
            </w:r>
          </w:p>
        </w:tc>
        <w:tc>
          <w:tcPr>
            <w:tcW w:w="0" w:type="auto"/>
            <w:shd w:val="clear" w:color="auto" w:fill="CCEEFF"/>
            <w:noWrap/>
            <w:vAlign w:val="bottom"/>
            <w:hideMark/>
          </w:tcPr>
          <w:p w14:paraId="3528A5D5"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bCs/>
                <w:color w:val="000000"/>
                <w:sz w:val="20"/>
                <w:szCs w:val="20"/>
              </w:rPr>
              <w:t>429</w:t>
            </w:r>
          </w:p>
        </w:tc>
        <w:tc>
          <w:tcPr>
            <w:tcW w:w="0" w:type="auto"/>
            <w:shd w:val="clear" w:color="auto" w:fill="CCEEFF"/>
            <w:noWrap/>
            <w:vAlign w:val="bottom"/>
            <w:hideMark/>
          </w:tcPr>
          <w:p w14:paraId="736EADD3"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vAlign w:val="bottom"/>
            <w:hideMark/>
          </w:tcPr>
          <w:p w14:paraId="780F627F"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c>
          <w:tcPr>
            <w:tcW w:w="0" w:type="auto"/>
            <w:shd w:val="clear" w:color="auto" w:fill="CCEEFF"/>
            <w:noWrap/>
            <w:vAlign w:val="bottom"/>
            <w:hideMark/>
          </w:tcPr>
          <w:p w14:paraId="0142A33E"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w:t>
            </w:r>
          </w:p>
        </w:tc>
        <w:tc>
          <w:tcPr>
            <w:tcW w:w="0" w:type="auto"/>
            <w:shd w:val="clear" w:color="auto" w:fill="CCEEFF"/>
            <w:noWrap/>
            <w:vAlign w:val="bottom"/>
            <w:hideMark/>
          </w:tcPr>
          <w:p w14:paraId="747D33CC" w14:textId="77777777" w:rsidR="00C00E52" w:rsidRPr="00C736B2" w:rsidRDefault="00C00E52" w:rsidP="00C00E52">
            <w:pPr>
              <w:spacing w:after="0" w:line="240" w:lineRule="auto"/>
              <w:jc w:val="right"/>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416</w:t>
            </w:r>
          </w:p>
        </w:tc>
        <w:tc>
          <w:tcPr>
            <w:tcW w:w="0" w:type="auto"/>
            <w:shd w:val="clear" w:color="auto" w:fill="CCEEFF"/>
            <w:noWrap/>
            <w:vAlign w:val="bottom"/>
            <w:hideMark/>
          </w:tcPr>
          <w:p w14:paraId="023914BF" w14:textId="77777777" w:rsidR="00C00E52" w:rsidRPr="00C736B2" w:rsidRDefault="00C00E52" w:rsidP="00C00E52">
            <w:pPr>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 </w:t>
            </w:r>
          </w:p>
        </w:tc>
      </w:tr>
      <w:tr w:rsidR="00C00E52" w:rsidRPr="00C736B2" w14:paraId="2226EA71" w14:textId="77777777" w:rsidTr="00C00E52">
        <w:trPr>
          <w:tblCellSpacing w:w="0" w:type="dxa"/>
          <w:jc w:val="center"/>
        </w:trPr>
        <w:tc>
          <w:tcPr>
            <w:tcW w:w="0" w:type="auto"/>
            <w:tcBorders>
              <w:top w:val="single" w:sz="12" w:space="0" w:color="000000"/>
            </w:tcBorders>
            <w:shd w:val="clear" w:color="auto" w:fill="FFFFFF"/>
            <w:noWrap/>
            <w:vAlign w:val="bottom"/>
            <w:hideMark/>
          </w:tcPr>
          <w:p w14:paraId="69FCED71"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vAlign w:val="center"/>
            <w:hideMark/>
          </w:tcPr>
          <w:p w14:paraId="272DE7F6"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27288F07"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5A03BE08"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5C9E257A"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vAlign w:val="center"/>
            <w:hideMark/>
          </w:tcPr>
          <w:p w14:paraId="3A109ABA"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2A0CB082"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43DC2406" w14:textId="77777777" w:rsidR="00C00E52" w:rsidRPr="00C736B2" w:rsidRDefault="00C00E52" w:rsidP="00C00E52">
            <w:pPr>
              <w:spacing w:after="0" w:line="240" w:lineRule="auto"/>
              <w:jc w:val="right"/>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c>
          <w:tcPr>
            <w:tcW w:w="0" w:type="auto"/>
            <w:tcBorders>
              <w:top w:val="single" w:sz="12" w:space="0" w:color="000000"/>
            </w:tcBorders>
            <w:shd w:val="clear" w:color="auto" w:fill="FFFFFF"/>
            <w:noWrap/>
            <w:vAlign w:val="bottom"/>
            <w:hideMark/>
          </w:tcPr>
          <w:p w14:paraId="6F5EC7E1" w14:textId="77777777" w:rsidR="00C00E52" w:rsidRPr="00C736B2" w:rsidRDefault="00C00E52" w:rsidP="00C00E52">
            <w:pPr>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tc>
      </w:tr>
    </w:tbl>
    <w:p w14:paraId="49FCB383" w14:textId="77777777" w:rsidR="00C00E52" w:rsidRPr="00C736B2"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736B2">
        <w:rPr>
          <w:rFonts w:ascii="Times New Roman" w:eastAsia="Times New Roman" w:hAnsi="Times New Roman" w:cs="Times New Roman"/>
          <w:color w:val="000000"/>
          <w:sz w:val="2"/>
          <w:szCs w:val="2"/>
        </w:rPr>
        <w:t> </w:t>
      </w:r>
    </w:p>
    <w:p w14:paraId="7E7F86D9" w14:textId="77777777" w:rsidR="00C00E52"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736B2">
        <w:rPr>
          <w:rFonts w:ascii="Times New Roman" w:eastAsia="Times New Roman" w:hAnsi="Times New Roman" w:cs="Times New Roman"/>
          <w:color w:val="000000"/>
          <w:sz w:val="20"/>
          <w:szCs w:val="20"/>
        </w:rPr>
        <w:t>Although the company believes that it has adequately provided for all of its tax positions, amounts asserted by</w:t>
      </w:r>
      <w:r w:rsidRPr="00CC24FF">
        <w:rPr>
          <w:rFonts w:ascii="Times New Roman" w:eastAsia="Times New Roman" w:hAnsi="Times New Roman" w:cs="Times New Roman"/>
          <w:color w:val="000000"/>
          <w:sz w:val="20"/>
          <w:szCs w:val="20"/>
        </w:rPr>
        <w:t xml:space="preserve"> taxing authorities in future years could be greater than the company’s accrued positions. Accordingly, additional provisions on income tax related matters could be recorded in the future due to revised estimates, settlement or other resolution of the underlying tax matters. In addition, open tax years related to state and foreign</w:t>
      </w:r>
      <w:r>
        <w:rPr>
          <w:rFonts w:ascii="Times New Roman" w:eastAsia="Times New Roman" w:hAnsi="Times New Roman" w:cs="Times New Roman"/>
          <w:color w:val="000000"/>
          <w:sz w:val="20"/>
          <w:szCs w:val="20"/>
        </w:rPr>
        <w:t xml:space="preserve"> </w:t>
      </w:r>
      <w:r w:rsidRPr="00CC24FF">
        <w:rPr>
          <w:rFonts w:ascii="Times New Roman" w:eastAsia="Times New Roman" w:hAnsi="Times New Roman" w:cs="Times New Roman"/>
          <w:color w:val="000000"/>
          <w:sz w:val="20"/>
          <w:szCs w:val="20"/>
        </w:rPr>
        <w:t>jurisdictions remain subject to examination but are not considered material. The IRS is currently conducting an examination of the company’s tax returns for the years 2004 through 2006. It is reasonably possible that the company will reach a settlement with the IRS and Joint Committee within the next twelve months which may result in a material net reduction in the company’s liability for uncertain tax positions.</w:t>
      </w:r>
    </w:p>
    <w:p w14:paraId="7D652000"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p>
    <w:p w14:paraId="2B8992DE"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57D413A8"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0"/>
          <w:szCs w:val="20"/>
        </w:rPr>
      </w:pPr>
      <w:r w:rsidRPr="00CC24FF">
        <w:rPr>
          <w:rFonts w:ascii="Times New Roman" w:eastAsia="Times New Roman" w:hAnsi="Times New Roman" w:cs="Times New Roman"/>
          <w:color w:val="000000"/>
          <w:sz w:val="20"/>
          <w:szCs w:val="20"/>
        </w:rPr>
        <w:t>During the year ended December 31, 2009, the company recorded approximately $6 million of interest income, and during the year ended December 31, 2008, the company recorded $29 million of interest expense within its federal and foreign income tax provision.</w:t>
      </w:r>
    </w:p>
    <w:p w14:paraId="7E02F908" w14:textId="77777777" w:rsidR="00C00E52" w:rsidRPr="00CC24FF" w:rsidRDefault="00C00E52" w:rsidP="00C00E52">
      <w:pPr>
        <w:shd w:val="clear" w:color="auto" w:fill="FFFFFF"/>
        <w:spacing w:after="0" w:line="240" w:lineRule="auto"/>
        <w:rPr>
          <w:rFonts w:ascii="Times New Roman" w:eastAsia="Times New Roman" w:hAnsi="Times New Roman" w:cs="Times New Roman"/>
          <w:color w:val="000000"/>
          <w:sz w:val="2"/>
          <w:szCs w:val="2"/>
        </w:rPr>
      </w:pPr>
      <w:r w:rsidRPr="00CC24FF">
        <w:rPr>
          <w:rFonts w:ascii="Times New Roman" w:eastAsia="Times New Roman" w:hAnsi="Times New Roman" w:cs="Times New Roman"/>
          <w:color w:val="000000"/>
          <w:sz w:val="2"/>
          <w:szCs w:val="2"/>
        </w:rPr>
        <w:t> </w:t>
      </w:r>
    </w:p>
    <w:p w14:paraId="08DCF7A8" w14:textId="20BCCD46" w:rsidR="00C00E52" w:rsidRDefault="00C00E52">
      <w:pPr>
        <w:rPr>
          <w:rFonts w:ascii="Times New Roman" w:hAnsi="Times New Roman" w:cs="Times New Roman"/>
          <w:b/>
          <w:sz w:val="24"/>
          <w:szCs w:val="24"/>
        </w:rPr>
      </w:pPr>
      <w:r>
        <w:rPr>
          <w:b/>
          <w:szCs w:val="24"/>
        </w:rPr>
        <w:br w:type="page"/>
      </w:r>
    </w:p>
    <w:p w14:paraId="2997977E" w14:textId="4D7C4418" w:rsidR="00624EE6" w:rsidRPr="00331E66" w:rsidRDefault="00624EE6" w:rsidP="00624EE6">
      <w:pPr>
        <w:pStyle w:val="BodyText"/>
        <w:ind w:left="1553" w:right="2991" w:firstLine="607"/>
        <w:jc w:val="center"/>
        <w:rPr>
          <w:rFonts w:cs="Times New Roman"/>
          <w:b/>
          <w:color w:val="231F20"/>
          <w:w w:val="110"/>
          <w:sz w:val="24"/>
          <w:szCs w:val="24"/>
        </w:rPr>
      </w:pPr>
      <w:r w:rsidRPr="00331E66">
        <w:rPr>
          <w:rFonts w:cs="Times New Roman"/>
          <w:b/>
          <w:color w:val="231F20"/>
          <w:spacing w:val="-5"/>
          <w:w w:val="110"/>
          <w:sz w:val="24"/>
          <w:szCs w:val="24"/>
        </w:rPr>
        <w:t>T</w:t>
      </w:r>
      <w:r w:rsidR="005E2686">
        <w:rPr>
          <w:rFonts w:cs="Times New Roman"/>
          <w:b/>
          <w:color w:val="231F20"/>
          <w:spacing w:val="-5"/>
          <w:w w:val="110"/>
          <w:sz w:val="24"/>
          <w:szCs w:val="24"/>
        </w:rPr>
        <w:t>able</w:t>
      </w:r>
      <w:r w:rsidRPr="00331E66">
        <w:rPr>
          <w:rFonts w:cs="Times New Roman"/>
          <w:b/>
          <w:color w:val="231F20"/>
          <w:spacing w:val="-12"/>
          <w:w w:val="110"/>
          <w:sz w:val="24"/>
          <w:szCs w:val="24"/>
        </w:rPr>
        <w:t xml:space="preserve"> </w:t>
      </w:r>
      <w:r w:rsidRPr="00331E66">
        <w:rPr>
          <w:rFonts w:cs="Times New Roman"/>
          <w:b/>
          <w:color w:val="231F20"/>
          <w:w w:val="110"/>
          <w:sz w:val="24"/>
          <w:szCs w:val="24"/>
        </w:rPr>
        <w:t>1</w:t>
      </w:r>
    </w:p>
    <w:p w14:paraId="379B9796" w14:textId="77777777" w:rsidR="00624EE6" w:rsidRPr="00331E66" w:rsidRDefault="00624EE6" w:rsidP="00624EE6">
      <w:pPr>
        <w:pStyle w:val="BodyText"/>
        <w:ind w:left="1553" w:right="2991" w:firstLine="607"/>
        <w:jc w:val="center"/>
        <w:rPr>
          <w:rFonts w:cs="Times New Roman"/>
          <w:b/>
          <w:color w:val="231F20"/>
          <w:spacing w:val="-1"/>
        </w:rPr>
      </w:pPr>
      <w:r w:rsidRPr="00331E66">
        <w:rPr>
          <w:rFonts w:cs="Times New Roman"/>
          <w:b/>
          <w:color w:val="231F20"/>
          <w:spacing w:val="-1"/>
        </w:rPr>
        <w:t xml:space="preserve">Panel A: Disclosure Score Components </w:t>
      </w:r>
    </w:p>
    <w:p w14:paraId="67133506" w14:textId="3448CDCE" w:rsidR="00624EE6" w:rsidRDefault="00624EE6" w:rsidP="00624EE6">
      <w:pPr>
        <w:pStyle w:val="BodyText"/>
        <w:ind w:left="1553" w:right="2991" w:firstLine="607"/>
        <w:jc w:val="center"/>
        <w:rPr>
          <w:rFonts w:cs="Times New Roman"/>
          <w:b/>
          <w:color w:val="231F20"/>
          <w:spacing w:val="-1"/>
        </w:rPr>
      </w:pPr>
      <w:r w:rsidRPr="00331E66">
        <w:rPr>
          <w:rFonts w:cs="Times New Roman"/>
          <w:b/>
          <w:color w:val="231F20"/>
          <w:spacing w:val="-1"/>
        </w:rPr>
        <w:t>(see Appendix</w:t>
      </w:r>
      <w:r>
        <w:rPr>
          <w:rFonts w:cs="Times New Roman"/>
          <w:b/>
          <w:color w:val="231F20"/>
          <w:spacing w:val="-1"/>
        </w:rPr>
        <w:t xml:space="preserve"> </w:t>
      </w:r>
      <w:r w:rsidR="00C3183E">
        <w:rPr>
          <w:rFonts w:cs="Times New Roman"/>
          <w:b/>
          <w:color w:val="231F20"/>
          <w:spacing w:val="-1"/>
        </w:rPr>
        <w:t>A</w:t>
      </w:r>
      <w:r w:rsidRPr="00331E66">
        <w:rPr>
          <w:rFonts w:cs="Times New Roman"/>
          <w:b/>
          <w:color w:val="231F20"/>
          <w:spacing w:val="-1"/>
        </w:rPr>
        <w:t xml:space="preserve"> for more detail)</w:t>
      </w:r>
    </w:p>
    <w:p w14:paraId="104A0D6F" w14:textId="77777777" w:rsidR="00B61F35" w:rsidRPr="00331E66" w:rsidRDefault="00B61F35" w:rsidP="00624EE6">
      <w:pPr>
        <w:pStyle w:val="BodyText"/>
        <w:ind w:left="1553" w:right="2991" w:firstLine="607"/>
        <w:jc w:val="center"/>
        <w:rPr>
          <w:rFonts w:cs="Times New Roman"/>
          <w:b/>
          <w:color w:val="231F20"/>
          <w:spacing w:val="-1"/>
        </w:rPr>
      </w:pPr>
    </w:p>
    <w:tbl>
      <w:tblPr>
        <w:tblW w:w="9360" w:type="dxa"/>
        <w:tblLook w:val="04A0" w:firstRow="1" w:lastRow="0" w:firstColumn="1" w:lastColumn="0" w:noHBand="0" w:noVBand="1"/>
      </w:tblPr>
      <w:tblGrid>
        <w:gridCol w:w="1378"/>
        <w:gridCol w:w="262"/>
        <w:gridCol w:w="540"/>
        <w:gridCol w:w="270"/>
        <w:gridCol w:w="6910"/>
      </w:tblGrid>
      <w:tr w:rsidR="00B61F35" w:rsidRPr="00331E66" w14:paraId="2D4E9C1D" w14:textId="77777777" w:rsidTr="00B24510">
        <w:trPr>
          <w:trHeight w:val="360"/>
        </w:trPr>
        <w:tc>
          <w:tcPr>
            <w:tcW w:w="9360" w:type="dxa"/>
            <w:gridSpan w:val="5"/>
            <w:tcBorders>
              <w:top w:val="single" w:sz="4" w:space="0" w:color="auto"/>
              <w:left w:val="nil"/>
              <w:bottom w:val="single" w:sz="4" w:space="0" w:color="auto"/>
              <w:right w:val="nil"/>
            </w:tcBorders>
            <w:shd w:val="clear" w:color="auto" w:fill="auto"/>
            <w:noWrap/>
            <w:vAlign w:val="bottom"/>
          </w:tcPr>
          <w:p w14:paraId="4DFE3BF2" w14:textId="77777777" w:rsidR="00B61F35" w:rsidRPr="00703AE0" w:rsidRDefault="00B61F35" w:rsidP="00B61F35">
            <w:pPr>
              <w:spacing w:after="0" w:line="240" w:lineRule="auto"/>
              <w:rPr>
                <w:rFonts w:ascii="Times New Roman" w:eastAsia="Times New Roman" w:hAnsi="Times New Roman" w:cs="Times New Roman"/>
                <w:color w:val="000000"/>
              </w:rPr>
            </w:pPr>
            <w:r w:rsidRPr="00703AE0">
              <w:rPr>
                <w:rFonts w:ascii="Times New Roman" w:hAnsi="Times New Roman" w:cs="Times New Roman"/>
                <w:color w:val="231F20"/>
                <w:spacing w:val="-2"/>
              </w:rPr>
              <w:t>V</w:t>
            </w:r>
            <w:r w:rsidRPr="00703AE0">
              <w:rPr>
                <w:rFonts w:ascii="Times New Roman" w:hAnsi="Times New Roman" w:cs="Times New Roman"/>
                <w:color w:val="231F20"/>
                <w:spacing w:val="-3"/>
              </w:rPr>
              <w:t xml:space="preserve">ariable           </w:t>
            </w:r>
            <w:r w:rsidRPr="00703AE0">
              <w:rPr>
                <w:rFonts w:ascii="Times New Roman" w:hAnsi="Times New Roman" w:cs="Times New Roman"/>
                <w:color w:val="231F20"/>
                <w:spacing w:val="-3"/>
              </w:rPr>
              <w:tab/>
              <w:t xml:space="preserve">                                                           </w:t>
            </w:r>
            <w:r w:rsidRPr="00703AE0">
              <w:rPr>
                <w:rFonts w:ascii="Times New Roman" w:hAnsi="Times New Roman" w:cs="Times New Roman"/>
                <w:color w:val="231F20"/>
              </w:rPr>
              <w:t>Definition</w:t>
            </w:r>
          </w:p>
        </w:tc>
      </w:tr>
      <w:tr w:rsidR="00B61F35" w:rsidRPr="00331E66" w14:paraId="7DCD58FE" w14:textId="77777777" w:rsidTr="00B24510">
        <w:trPr>
          <w:trHeight w:val="360"/>
        </w:trPr>
        <w:tc>
          <w:tcPr>
            <w:tcW w:w="9360" w:type="dxa"/>
            <w:gridSpan w:val="5"/>
            <w:tcBorders>
              <w:top w:val="single" w:sz="4" w:space="0" w:color="auto"/>
              <w:left w:val="nil"/>
              <w:bottom w:val="nil"/>
              <w:right w:val="nil"/>
            </w:tcBorders>
            <w:shd w:val="clear" w:color="auto" w:fill="auto"/>
            <w:noWrap/>
            <w:vAlign w:val="bottom"/>
          </w:tcPr>
          <w:p w14:paraId="3BC7DF46" w14:textId="77777777" w:rsidR="00B61F35" w:rsidRPr="00331E66" w:rsidRDefault="00B61F35" w:rsidP="00B61F35">
            <w:pPr>
              <w:spacing w:after="0" w:line="240" w:lineRule="auto"/>
              <w:rPr>
                <w:rFonts w:ascii="Times New Roman" w:eastAsia="Times New Roman" w:hAnsi="Times New Roman" w:cs="Times New Roman"/>
                <w:b/>
                <w:color w:val="000000"/>
              </w:rPr>
            </w:pPr>
            <w:r w:rsidRPr="00331E66">
              <w:rPr>
                <w:rFonts w:ascii="Times New Roman" w:eastAsia="Times New Roman" w:hAnsi="Times New Roman" w:cs="Times New Roman"/>
                <w:b/>
                <w:color w:val="000000"/>
              </w:rPr>
              <w:t>COMPLETE – mandatory components</w:t>
            </w:r>
          </w:p>
        </w:tc>
      </w:tr>
      <w:tr w:rsidR="00B61F35" w:rsidRPr="00331E66" w14:paraId="6A413F68" w14:textId="77777777" w:rsidTr="00B24510">
        <w:trPr>
          <w:trHeight w:val="792"/>
        </w:trPr>
        <w:tc>
          <w:tcPr>
            <w:tcW w:w="1378" w:type="dxa"/>
            <w:tcBorders>
              <w:top w:val="nil"/>
              <w:left w:val="nil"/>
              <w:bottom w:val="nil"/>
              <w:right w:val="nil"/>
            </w:tcBorders>
            <w:shd w:val="clear" w:color="auto" w:fill="auto"/>
            <w:noWrap/>
            <w:hideMark/>
          </w:tcPr>
          <w:p w14:paraId="49DBFCF0"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1C_UTB</w:t>
            </w:r>
          </w:p>
          <w:p w14:paraId="178355FC" w14:textId="77777777" w:rsidR="00B61F35" w:rsidRPr="00331E66" w:rsidRDefault="00B61F35" w:rsidP="00B61F35">
            <w:pPr>
              <w:spacing w:after="0" w:line="240" w:lineRule="auto"/>
              <w:rPr>
                <w:rFonts w:ascii="Times New Roman" w:eastAsia="Times New Roman" w:hAnsi="Times New Roman" w:cs="Times New Roman"/>
                <w:i/>
                <w:iCs/>
                <w:color w:val="000000"/>
                <w:sz w:val="20"/>
              </w:rPr>
            </w:pPr>
          </w:p>
        </w:tc>
        <w:tc>
          <w:tcPr>
            <w:tcW w:w="262" w:type="dxa"/>
            <w:tcBorders>
              <w:top w:val="nil"/>
              <w:left w:val="nil"/>
              <w:bottom w:val="nil"/>
              <w:right w:val="nil"/>
            </w:tcBorders>
            <w:shd w:val="clear" w:color="auto" w:fill="auto"/>
            <w:noWrap/>
            <w:vAlign w:val="bottom"/>
            <w:hideMark/>
          </w:tcPr>
          <w:p w14:paraId="24867360"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5504E0A6" w14:textId="77777777" w:rsidR="00B61F35" w:rsidRPr="00331E66" w:rsidRDefault="00B61F35" w:rsidP="00B61F35">
            <w:pPr>
              <w:spacing w:after="0" w:line="240" w:lineRule="auto"/>
              <w:rPr>
                <w:rFonts w:ascii="Times New Roman" w:eastAsia="Times New Roman" w:hAnsi="Times New Roman" w:cs="Times New Roman"/>
                <w:color w:val="000000"/>
                <w:sz w:val="20"/>
              </w:rPr>
            </w:pPr>
          </w:p>
        </w:tc>
        <w:tc>
          <w:tcPr>
            <w:tcW w:w="270" w:type="dxa"/>
            <w:tcBorders>
              <w:top w:val="nil"/>
              <w:left w:val="nil"/>
              <w:bottom w:val="nil"/>
              <w:right w:val="nil"/>
            </w:tcBorders>
            <w:shd w:val="clear" w:color="auto" w:fill="auto"/>
            <w:noWrap/>
            <w:vAlign w:val="bottom"/>
            <w:hideMark/>
          </w:tcPr>
          <w:p w14:paraId="372B11AD"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0A51FDBB"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 xml:space="preserve">An indicator variable that takes the value of 1 if the firm discloses a tabular reconciliation of beginning and ending UTB reserve balance, 0 otherwise. </w:t>
            </w:r>
          </w:p>
          <w:p w14:paraId="067FA749" w14:textId="77777777" w:rsidR="00B61F35" w:rsidRPr="00331E66" w:rsidRDefault="00B61F35" w:rsidP="00B61F35">
            <w:pPr>
              <w:spacing w:after="0" w:line="240" w:lineRule="auto"/>
              <w:rPr>
                <w:rFonts w:ascii="Times New Roman" w:eastAsia="Times New Roman" w:hAnsi="Times New Roman" w:cs="Times New Roman"/>
                <w:color w:val="000000"/>
                <w:sz w:val="20"/>
              </w:rPr>
            </w:pPr>
          </w:p>
        </w:tc>
      </w:tr>
      <w:tr w:rsidR="00B61F35" w:rsidRPr="00331E66" w14:paraId="126FD952" w14:textId="77777777" w:rsidTr="00B24510">
        <w:trPr>
          <w:trHeight w:val="792"/>
        </w:trPr>
        <w:tc>
          <w:tcPr>
            <w:tcW w:w="1640" w:type="dxa"/>
            <w:gridSpan w:val="2"/>
            <w:tcBorders>
              <w:top w:val="nil"/>
              <w:left w:val="nil"/>
              <w:bottom w:val="nil"/>
              <w:right w:val="nil"/>
            </w:tcBorders>
            <w:shd w:val="clear" w:color="auto" w:fill="auto"/>
            <w:noWrap/>
            <w:hideMark/>
          </w:tcPr>
          <w:p w14:paraId="642A7935"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2C_CHANGE</w:t>
            </w:r>
          </w:p>
          <w:p w14:paraId="4C78CCD5" w14:textId="77777777" w:rsidR="00B61F35" w:rsidRPr="00331E66" w:rsidRDefault="00B61F35" w:rsidP="00B61F35">
            <w:pPr>
              <w:spacing w:after="0" w:line="240" w:lineRule="auto"/>
              <w:rPr>
                <w:rFonts w:ascii="Times New Roman" w:eastAsia="Times New Roman" w:hAnsi="Times New Roman" w:cs="Times New Roman"/>
                <w:i/>
                <w:iCs/>
                <w:color w:val="000000"/>
                <w:sz w:val="20"/>
              </w:rPr>
            </w:pPr>
          </w:p>
        </w:tc>
        <w:tc>
          <w:tcPr>
            <w:tcW w:w="540" w:type="dxa"/>
            <w:tcBorders>
              <w:top w:val="nil"/>
              <w:left w:val="nil"/>
              <w:bottom w:val="nil"/>
              <w:right w:val="nil"/>
            </w:tcBorders>
            <w:shd w:val="clear" w:color="auto" w:fill="auto"/>
            <w:noWrap/>
          </w:tcPr>
          <w:p w14:paraId="5156D468" w14:textId="77777777" w:rsidR="00B61F35" w:rsidRPr="00331E66" w:rsidRDefault="00B61F35" w:rsidP="00B61F35">
            <w:pPr>
              <w:spacing w:after="0" w:line="240" w:lineRule="auto"/>
              <w:rPr>
                <w:rFonts w:ascii="Times New Roman" w:eastAsia="Times New Roman" w:hAnsi="Times New Roman" w:cs="Times New Roman"/>
                <w:color w:val="000000"/>
                <w:sz w:val="20"/>
              </w:rPr>
            </w:pPr>
          </w:p>
        </w:tc>
        <w:tc>
          <w:tcPr>
            <w:tcW w:w="270" w:type="dxa"/>
            <w:tcBorders>
              <w:top w:val="nil"/>
              <w:left w:val="nil"/>
              <w:bottom w:val="nil"/>
              <w:right w:val="nil"/>
            </w:tcBorders>
            <w:shd w:val="clear" w:color="auto" w:fill="auto"/>
            <w:noWrap/>
            <w:vAlign w:val="bottom"/>
            <w:hideMark/>
          </w:tcPr>
          <w:p w14:paraId="0B1F6922"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4F10FE8A"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An indicator variable that takes the value of 1 if the firm disclosed a change in the UTB balance during the year and explained the reason for the change, 0 otherwise. A firm receives a 1 if there is no change to explain.</w:t>
            </w:r>
          </w:p>
          <w:p w14:paraId="5A01CF05" w14:textId="77777777" w:rsidR="00B61F35" w:rsidRPr="00331E66" w:rsidRDefault="00B61F35" w:rsidP="00B61F35">
            <w:pPr>
              <w:spacing w:after="0" w:line="240" w:lineRule="auto"/>
              <w:rPr>
                <w:rFonts w:ascii="Times New Roman" w:eastAsia="Times New Roman" w:hAnsi="Times New Roman" w:cs="Times New Roman"/>
                <w:color w:val="000000"/>
                <w:sz w:val="20"/>
              </w:rPr>
            </w:pPr>
          </w:p>
        </w:tc>
      </w:tr>
      <w:tr w:rsidR="00B61F35" w:rsidRPr="00331E66" w14:paraId="43015EC1" w14:textId="77777777" w:rsidTr="00B24510">
        <w:trPr>
          <w:trHeight w:val="792"/>
        </w:trPr>
        <w:tc>
          <w:tcPr>
            <w:tcW w:w="1378" w:type="dxa"/>
            <w:tcBorders>
              <w:top w:val="nil"/>
              <w:left w:val="nil"/>
              <w:bottom w:val="nil"/>
              <w:right w:val="nil"/>
            </w:tcBorders>
            <w:shd w:val="clear" w:color="auto" w:fill="auto"/>
            <w:noWrap/>
            <w:hideMark/>
          </w:tcPr>
          <w:p w14:paraId="67F0E4D8"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3C_ETR</w:t>
            </w:r>
          </w:p>
        </w:tc>
        <w:tc>
          <w:tcPr>
            <w:tcW w:w="262" w:type="dxa"/>
            <w:tcBorders>
              <w:top w:val="nil"/>
              <w:left w:val="nil"/>
              <w:bottom w:val="nil"/>
              <w:right w:val="nil"/>
            </w:tcBorders>
            <w:shd w:val="clear" w:color="auto" w:fill="auto"/>
            <w:noWrap/>
            <w:vAlign w:val="bottom"/>
            <w:hideMark/>
          </w:tcPr>
          <w:p w14:paraId="1F882C4E"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46186D26"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32202937"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16D9F7BA"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 variable that takes the value 1 if the beginning and ending UTB balance that would affect the ETR was disclosed or 0.5 if the UTB changed during the year and only the beginning or ending that would affect the ETR was disclosed (but not both), and 0 otherwise.</w:t>
            </w:r>
          </w:p>
        </w:tc>
      </w:tr>
      <w:tr w:rsidR="00B61F35" w:rsidRPr="00331E66" w14:paraId="07F613A0" w14:textId="77777777" w:rsidTr="00B24510">
        <w:trPr>
          <w:trHeight w:val="576"/>
        </w:trPr>
        <w:tc>
          <w:tcPr>
            <w:tcW w:w="1378" w:type="dxa"/>
            <w:tcBorders>
              <w:top w:val="nil"/>
              <w:left w:val="nil"/>
              <w:bottom w:val="nil"/>
              <w:right w:val="nil"/>
            </w:tcBorders>
            <w:shd w:val="clear" w:color="auto" w:fill="auto"/>
            <w:noWrap/>
            <w:hideMark/>
          </w:tcPr>
          <w:p w14:paraId="269CF732"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4C_INTPEN</w:t>
            </w:r>
          </w:p>
        </w:tc>
        <w:tc>
          <w:tcPr>
            <w:tcW w:w="262" w:type="dxa"/>
            <w:tcBorders>
              <w:top w:val="nil"/>
              <w:left w:val="nil"/>
              <w:bottom w:val="nil"/>
              <w:right w:val="nil"/>
            </w:tcBorders>
            <w:shd w:val="clear" w:color="auto" w:fill="auto"/>
            <w:noWrap/>
            <w:vAlign w:val="bottom"/>
            <w:hideMark/>
          </w:tcPr>
          <w:p w14:paraId="6EC3EDE9"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6D8AFF0D"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086775DC"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04212E33"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 variable that takes the value of 0.5 if accrued interest or penalty amount related to UTB reserves is disclosed, 1 if both, and 0 if neither interest nor penalty amounts are disclosed.</w:t>
            </w:r>
          </w:p>
        </w:tc>
      </w:tr>
      <w:tr w:rsidR="00B61F35" w:rsidRPr="00331E66" w14:paraId="6A1341E9" w14:textId="77777777" w:rsidTr="00B24510">
        <w:trPr>
          <w:trHeight w:val="792"/>
        </w:trPr>
        <w:tc>
          <w:tcPr>
            <w:tcW w:w="1640" w:type="dxa"/>
            <w:gridSpan w:val="2"/>
            <w:tcBorders>
              <w:top w:val="nil"/>
              <w:left w:val="nil"/>
              <w:bottom w:val="nil"/>
              <w:right w:val="nil"/>
            </w:tcBorders>
            <w:shd w:val="clear" w:color="auto" w:fill="auto"/>
            <w:noWrap/>
            <w:hideMark/>
          </w:tcPr>
          <w:p w14:paraId="065BA457"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5C_IPCLASS</w:t>
            </w:r>
          </w:p>
        </w:tc>
        <w:tc>
          <w:tcPr>
            <w:tcW w:w="540" w:type="dxa"/>
            <w:tcBorders>
              <w:top w:val="nil"/>
              <w:left w:val="nil"/>
              <w:bottom w:val="nil"/>
              <w:right w:val="nil"/>
            </w:tcBorders>
            <w:shd w:val="clear" w:color="auto" w:fill="auto"/>
            <w:noWrap/>
          </w:tcPr>
          <w:p w14:paraId="04BC4E76"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471AC8D4"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69973D30"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 variable that takes the value of 0.5 if the income statement classification is disclosed for either penalty or interest (but not both), 1 if classification is disclosed for both, and 0 if classification not disclosed.</w:t>
            </w:r>
          </w:p>
        </w:tc>
      </w:tr>
      <w:tr w:rsidR="00B61F35" w:rsidRPr="00331E66" w14:paraId="631CBF91" w14:textId="77777777" w:rsidTr="00B24510">
        <w:trPr>
          <w:trHeight w:val="576"/>
        </w:trPr>
        <w:tc>
          <w:tcPr>
            <w:tcW w:w="1378" w:type="dxa"/>
            <w:tcBorders>
              <w:top w:val="nil"/>
              <w:left w:val="nil"/>
              <w:bottom w:val="nil"/>
              <w:right w:val="nil"/>
            </w:tcBorders>
            <w:shd w:val="clear" w:color="auto" w:fill="auto"/>
            <w:noWrap/>
            <w:hideMark/>
          </w:tcPr>
          <w:p w14:paraId="7FD481ED"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6C_OPEN</w:t>
            </w:r>
          </w:p>
        </w:tc>
        <w:tc>
          <w:tcPr>
            <w:tcW w:w="262" w:type="dxa"/>
            <w:tcBorders>
              <w:top w:val="nil"/>
              <w:left w:val="nil"/>
              <w:bottom w:val="nil"/>
              <w:right w:val="nil"/>
            </w:tcBorders>
            <w:shd w:val="clear" w:color="auto" w:fill="auto"/>
            <w:noWrap/>
            <w:vAlign w:val="bottom"/>
            <w:hideMark/>
          </w:tcPr>
          <w:p w14:paraId="16894BB9"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2C2ABDF8"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7EC68AB0"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21C3799A"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An indicator variable that takes the value of 1 if the firm discloses open federal tax years, 0 otherwise.</w:t>
            </w:r>
          </w:p>
        </w:tc>
      </w:tr>
      <w:tr w:rsidR="00B61F35" w:rsidRPr="00331E66" w14:paraId="583CB547" w14:textId="77777777" w:rsidTr="00B24510">
        <w:trPr>
          <w:trHeight w:val="1008"/>
        </w:trPr>
        <w:tc>
          <w:tcPr>
            <w:tcW w:w="1378" w:type="dxa"/>
            <w:tcBorders>
              <w:top w:val="nil"/>
              <w:left w:val="nil"/>
              <w:bottom w:val="nil"/>
              <w:right w:val="nil"/>
            </w:tcBorders>
            <w:shd w:val="clear" w:color="auto" w:fill="auto"/>
            <w:noWrap/>
            <w:hideMark/>
          </w:tcPr>
          <w:p w14:paraId="60EE0779"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7C_FWD</w:t>
            </w:r>
          </w:p>
        </w:tc>
        <w:tc>
          <w:tcPr>
            <w:tcW w:w="262" w:type="dxa"/>
            <w:tcBorders>
              <w:top w:val="nil"/>
              <w:left w:val="nil"/>
              <w:bottom w:val="nil"/>
              <w:right w:val="nil"/>
            </w:tcBorders>
            <w:shd w:val="clear" w:color="auto" w:fill="auto"/>
            <w:noWrap/>
            <w:vAlign w:val="bottom"/>
            <w:hideMark/>
          </w:tcPr>
          <w:p w14:paraId="26A19915"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207A723A"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147CEC5F"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1784AF10"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 variable that takes the value of 1 if a complete forward-looking statement of expected changes to the UTB reserve balance in the next twelve months was made or 0.33 each for mention of the item, nature, and amount of the expected change; or 0 otherwise.</w:t>
            </w:r>
          </w:p>
        </w:tc>
      </w:tr>
      <w:tr w:rsidR="00B61F35" w:rsidRPr="00331E66" w14:paraId="41EAEDE1" w14:textId="77777777" w:rsidTr="00B24510">
        <w:trPr>
          <w:trHeight w:val="576"/>
        </w:trPr>
        <w:tc>
          <w:tcPr>
            <w:tcW w:w="1378" w:type="dxa"/>
            <w:tcBorders>
              <w:top w:val="nil"/>
              <w:left w:val="nil"/>
              <w:bottom w:val="nil"/>
              <w:right w:val="nil"/>
            </w:tcBorders>
            <w:shd w:val="clear" w:color="auto" w:fill="auto"/>
            <w:noWrap/>
            <w:hideMark/>
          </w:tcPr>
          <w:p w14:paraId="2C035509"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8C_ADOPT</w:t>
            </w:r>
          </w:p>
        </w:tc>
        <w:tc>
          <w:tcPr>
            <w:tcW w:w="262" w:type="dxa"/>
            <w:tcBorders>
              <w:top w:val="nil"/>
              <w:left w:val="nil"/>
              <w:bottom w:val="nil"/>
              <w:right w:val="nil"/>
            </w:tcBorders>
            <w:shd w:val="clear" w:color="auto" w:fill="auto"/>
            <w:noWrap/>
            <w:vAlign w:val="bottom"/>
            <w:hideMark/>
          </w:tcPr>
          <w:p w14:paraId="16E217DC"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7ABA0160"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4CD3B164"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70492A5C"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 variable that takes the value of 1 if the firm discloses the adoption adjustment for the initial period of adoption, 0 otherwise.</w:t>
            </w:r>
          </w:p>
        </w:tc>
      </w:tr>
      <w:tr w:rsidR="00B61F35" w:rsidRPr="00331E66" w14:paraId="682956A5" w14:textId="77777777" w:rsidTr="00B24510">
        <w:trPr>
          <w:trHeight w:val="576"/>
        </w:trPr>
        <w:tc>
          <w:tcPr>
            <w:tcW w:w="9360" w:type="dxa"/>
            <w:gridSpan w:val="5"/>
            <w:tcBorders>
              <w:top w:val="nil"/>
              <w:left w:val="nil"/>
              <w:bottom w:val="nil"/>
              <w:right w:val="nil"/>
            </w:tcBorders>
            <w:shd w:val="clear" w:color="auto" w:fill="auto"/>
            <w:noWrap/>
            <w:vAlign w:val="bottom"/>
          </w:tcPr>
          <w:p w14:paraId="6CB49E49" w14:textId="77777777" w:rsidR="00B61F35" w:rsidRPr="00331E66" w:rsidRDefault="00B61F35" w:rsidP="00B61F35">
            <w:pPr>
              <w:spacing w:after="0" w:line="240" w:lineRule="auto"/>
              <w:rPr>
                <w:rFonts w:ascii="Times New Roman" w:eastAsia="Times New Roman" w:hAnsi="Times New Roman" w:cs="Times New Roman"/>
                <w:b/>
                <w:color w:val="000000"/>
              </w:rPr>
            </w:pPr>
            <w:r w:rsidRPr="00331E66">
              <w:rPr>
                <w:rFonts w:ascii="Times New Roman" w:eastAsia="Times New Roman" w:hAnsi="Times New Roman" w:cs="Times New Roman"/>
                <w:b/>
                <w:iCs/>
                <w:color w:val="000000"/>
              </w:rPr>
              <w:t>CLARITY – discretionary components</w:t>
            </w:r>
          </w:p>
        </w:tc>
      </w:tr>
      <w:tr w:rsidR="00B61F35" w:rsidRPr="00331E66" w14:paraId="7E2795F8" w14:textId="77777777" w:rsidTr="00B24510">
        <w:trPr>
          <w:trHeight w:val="792"/>
        </w:trPr>
        <w:tc>
          <w:tcPr>
            <w:tcW w:w="1640" w:type="dxa"/>
            <w:gridSpan w:val="2"/>
            <w:tcBorders>
              <w:top w:val="nil"/>
              <w:left w:val="nil"/>
              <w:bottom w:val="nil"/>
              <w:right w:val="nil"/>
            </w:tcBorders>
            <w:shd w:val="clear" w:color="auto" w:fill="auto"/>
            <w:noWrap/>
            <w:hideMark/>
          </w:tcPr>
          <w:p w14:paraId="14EDE929"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1CL_NONETR</w:t>
            </w:r>
          </w:p>
        </w:tc>
        <w:tc>
          <w:tcPr>
            <w:tcW w:w="540" w:type="dxa"/>
            <w:tcBorders>
              <w:top w:val="nil"/>
              <w:left w:val="nil"/>
              <w:bottom w:val="nil"/>
              <w:right w:val="nil"/>
            </w:tcBorders>
            <w:shd w:val="clear" w:color="auto" w:fill="auto"/>
            <w:noWrap/>
          </w:tcPr>
          <w:p w14:paraId="06168EFB"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2A77F8CB"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579053C5" w14:textId="77777777" w:rsidR="00B61F35"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 xml:space="preserve">An indicator variable that takes the value of 1 if the firm included a discussion or amount of the UTB that does not affect the ETR (e.g., temporary differences, goodwill, or other comprehensive income adjustments) included in the UTB, 0 otherwise. </w:t>
            </w:r>
          </w:p>
          <w:p w14:paraId="56EA861B" w14:textId="77777777" w:rsidR="00B61F35" w:rsidRPr="00331E66" w:rsidRDefault="00B61F35" w:rsidP="00B61F3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If a firm discloses that their entire UTB balance would affect ETR, the indicator variable is coded as a 1.</w:t>
            </w:r>
          </w:p>
        </w:tc>
      </w:tr>
      <w:tr w:rsidR="00B61F35" w:rsidRPr="00331E66" w14:paraId="11096F9E" w14:textId="77777777" w:rsidTr="00B24510">
        <w:trPr>
          <w:trHeight w:val="792"/>
        </w:trPr>
        <w:tc>
          <w:tcPr>
            <w:tcW w:w="1378" w:type="dxa"/>
            <w:tcBorders>
              <w:top w:val="nil"/>
              <w:left w:val="nil"/>
              <w:bottom w:val="nil"/>
              <w:right w:val="nil"/>
            </w:tcBorders>
            <w:shd w:val="clear" w:color="auto" w:fill="auto"/>
            <w:noWrap/>
            <w:hideMark/>
          </w:tcPr>
          <w:p w14:paraId="4FB134F8"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2CL_GROSS</w:t>
            </w:r>
          </w:p>
        </w:tc>
        <w:tc>
          <w:tcPr>
            <w:tcW w:w="262" w:type="dxa"/>
            <w:tcBorders>
              <w:top w:val="nil"/>
              <w:left w:val="nil"/>
              <w:bottom w:val="nil"/>
              <w:right w:val="nil"/>
            </w:tcBorders>
            <w:shd w:val="clear" w:color="auto" w:fill="auto"/>
            <w:noWrap/>
            <w:hideMark/>
          </w:tcPr>
          <w:p w14:paraId="5C49DAE5"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nil"/>
              <w:right w:val="nil"/>
            </w:tcBorders>
            <w:shd w:val="clear" w:color="auto" w:fill="auto"/>
            <w:noWrap/>
          </w:tcPr>
          <w:p w14:paraId="185F6400"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nil"/>
              <w:right w:val="nil"/>
            </w:tcBorders>
            <w:shd w:val="clear" w:color="auto" w:fill="auto"/>
            <w:noWrap/>
            <w:vAlign w:val="bottom"/>
            <w:hideMark/>
          </w:tcPr>
          <w:p w14:paraId="1E8C218E"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nil"/>
              <w:right w:val="nil"/>
            </w:tcBorders>
            <w:shd w:val="clear" w:color="auto" w:fill="auto"/>
            <w:vAlign w:val="bottom"/>
            <w:hideMark/>
          </w:tcPr>
          <w:p w14:paraId="00EFF7FE"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 xml:space="preserve">An indicator variable that takes the value of 1 if the firm explicitly stated whether the reported UTB was gross or net, 0 otherwise. </w:t>
            </w:r>
          </w:p>
        </w:tc>
      </w:tr>
      <w:tr w:rsidR="00B61F35" w:rsidRPr="00331E66" w14:paraId="41923CD1" w14:textId="77777777" w:rsidTr="00B24510">
        <w:trPr>
          <w:trHeight w:val="792"/>
        </w:trPr>
        <w:tc>
          <w:tcPr>
            <w:tcW w:w="1378" w:type="dxa"/>
            <w:tcBorders>
              <w:top w:val="nil"/>
              <w:left w:val="nil"/>
              <w:right w:val="nil"/>
            </w:tcBorders>
            <w:shd w:val="clear" w:color="auto" w:fill="auto"/>
            <w:noWrap/>
            <w:hideMark/>
          </w:tcPr>
          <w:p w14:paraId="320BB78C"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3CL_INCL</w:t>
            </w:r>
          </w:p>
        </w:tc>
        <w:tc>
          <w:tcPr>
            <w:tcW w:w="262" w:type="dxa"/>
            <w:tcBorders>
              <w:top w:val="nil"/>
              <w:left w:val="nil"/>
              <w:right w:val="nil"/>
            </w:tcBorders>
            <w:shd w:val="clear" w:color="auto" w:fill="auto"/>
            <w:noWrap/>
            <w:hideMark/>
          </w:tcPr>
          <w:p w14:paraId="068D4F37"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right w:val="nil"/>
            </w:tcBorders>
            <w:shd w:val="clear" w:color="auto" w:fill="auto"/>
            <w:noWrap/>
          </w:tcPr>
          <w:p w14:paraId="7624A889"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right w:val="nil"/>
            </w:tcBorders>
            <w:shd w:val="clear" w:color="auto" w:fill="auto"/>
            <w:noWrap/>
            <w:vAlign w:val="bottom"/>
            <w:hideMark/>
          </w:tcPr>
          <w:p w14:paraId="77629720"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right w:val="nil"/>
            </w:tcBorders>
            <w:shd w:val="clear" w:color="auto" w:fill="auto"/>
            <w:vAlign w:val="bottom"/>
            <w:hideMark/>
          </w:tcPr>
          <w:p w14:paraId="1C4C98E5"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An indicator variable that takes the value of 1 if the firm explicitly stated whether the reported UTB included interest and penalties, 0 otherwise.</w:t>
            </w:r>
          </w:p>
        </w:tc>
      </w:tr>
      <w:tr w:rsidR="00B61F35" w:rsidRPr="00331E66" w14:paraId="23666541" w14:textId="77777777" w:rsidTr="00B24510">
        <w:trPr>
          <w:trHeight w:val="792"/>
        </w:trPr>
        <w:tc>
          <w:tcPr>
            <w:tcW w:w="1378" w:type="dxa"/>
            <w:tcBorders>
              <w:top w:val="nil"/>
              <w:left w:val="nil"/>
              <w:bottom w:val="single" w:sz="4" w:space="0" w:color="auto"/>
              <w:right w:val="nil"/>
            </w:tcBorders>
            <w:shd w:val="clear" w:color="auto" w:fill="auto"/>
            <w:noWrap/>
            <w:hideMark/>
          </w:tcPr>
          <w:p w14:paraId="2233FD89" w14:textId="77777777" w:rsidR="00B61F35" w:rsidRPr="00331E66" w:rsidRDefault="00B61F35" w:rsidP="00B61F35">
            <w:pPr>
              <w:spacing w:after="0" w:line="240" w:lineRule="auto"/>
              <w:rPr>
                <w:rFonts w:ascii="Times New Roman" w:eastAsia="Times New Roman" w:hAnsi="Times New Roman" w:cs="Times New Roman"/>
                <w:i/>
                <w:iCs/>
                <w:color w:val="000000"/>
              </w:rPr>
            </w:pPr>
            <w:r w:rsidRPr="00331E66">
              <w:rPr>
                <w:rFonts w:ascii="Times New Roman" w:eastAsia="Times New Roman" w:hAnsi="Times New Roman" w:cs="Times New Roman"/>
                <w:i/>
                <w:iCs/>
                <w:color w:val="000000"/>
              </w:rPr>
              <w:t>4CL_LUMP</w:t>
            </w:r>
          </w:p>
        </w:tc>
        <w:tc>
          <w:tcPr>
            <w:tcW w:w="262" w:type="dxa"/>
            <w:tcBorders>
              <w:top w:val="nil"/>
              <w:left w:val="nil"/>
              <w:bottom w:val="single" w:sz="4" w:space="0" w:color="auto"/>
              <w:right w:val="nil"/>
            </w:tcBorders>
            <w:shd w:val="clear" w:color="auto" w:fill="auto"/>
            <w:noWrap/>
            <w:hideMark/>
          </w:tcPr>
          <w:p w14:paraId="3F9241EB" w14:textId="77777777" w:rsidR="00B61F35" w:rsidRPr="00331E66" w:rsidRDefault="00B61F35" w:rsidP="00B61F35">
            <w:pPr>
              <w:spacing w:after="0" w:line="240" w:lineRule="auto"/>
              <w:rPr>
                <w:rFonts w:ascii="Times New Roman" w:eastAsia="Times New Roman" w:hAnsi="Times New Roman" w:cs="Times New Roman"/>
                <w:i/>
                <w:iCs/>
                <w:color w:val="000000"/>
              </w:rPr>
            </w:pPr>
          </w:p>
        </w:tc>
        <w:tc>
          <w:tcPr>
            <w:tcW w:w="540" w:type="dxa"/>
            <w:tcBorders>
              <w:top w:val="nil"/>
              <w:left w:val="nil"/>
              <w:bottom w:val="single" w:sz="4" w:space="0" w:color="auto"/>
              <w:right w:val="nil"/>
            </w:tcBorders>
            <w:shd w:val="clear" w:color="auto" w:fill="auto"/>
            <w:noWrap/>
          </w:tcPr>
          <w:p w14:paraId="68F7A358"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270" w:type="dxa"/>
            <w:tcBorders>
              <w:top w:val="nil"/>
              <w:left w:val="nil"/>
              <w:bottom w:val="single" w:sz="4" w:space="0" w:color="auto"/>
              <w:right w:val="nil"/>
            </w:tcBorders>
            <w:shd w:val="clear" w:color="auto" w:fill="auto"/>
            <w:noWrap/>
            <w:vAlign w:val="bottom"/>
            <w:hideMark/>
          </w:tcPr>
          <w:p w14:paraId="7F42520A" w14:textId="77777777" w:rsidR="00B61F35" w:rsidRPr="00331E66" w:rsidRDefault="00B61F35" w:rsidP="00B61F35">
            <w:pPr>
              <w:spacing w:after="0" w:line="240" w:lineRule="auto"/>
              <w:rPr>
                <w:rFonts w:ascii="Times New Roman" w:eastAsia="Times New Roman" w:hAnsi="Times New Roman" w:cs="Times New Roman"/>
                <w:color w:val="000000"/>
              </w:rPr>
            </w:pPr>
          </w:p>
        </w:tc>
        <w:tc>
          <w:tcPr>
            <w:tcW w:w="6910" w:type="dxa"/>
            <w:tcBorders>
              <w:top w:val="nil"/>
              <w:left w:val="nil"/>
              <w:bottom w:val="single" w:sz="4" w:space="0" w:color="auto"/>
              <w:right w:val="nil"/>
            </w:tcBorders>
            <w:shd w:val="clear" w:color="auto" w:fill="auto"/>
            <w:vAlign w:val="bottom"/>
            <w:hideMark/>
          </w:tcPr>
          <w:p w14:paraId="2E523921" w14:textId="77777777" w:rsidR="00B61F35" w:rsidRPr="00331E66" w:rsidRDefault="00B61F35" w:rsidP="00B61F35">
            <w:pPr>
              <w:spacing w:after="0" w:line="240" w:lineRule="auto"/>
              <w:rPr>
                <w:rFonts w:ascii="Times New Roman" w:eastAsia="Times New Roman" w:hAnsi="Times New Roman" w:cs="Times New Roman"/>
                <w:color w:val="000000"/>
              </w:rPr>
            </w:pPr>
            <w:r w:rsidRPr="00331E66">
              <w:rPr>
                <w:rFonts w:ascii="Times New Roman" w:eastAsia="Times New Roman" w:hAnsi="Times New Roman" w:cs="Times New Roman"/>
                <w:color w:val="000000"/>
              </w:rPr>
              <w:t xml:space="preserve">An indicator variable that takes the value of 1 if the firm reported accrued interest and penalties separately, 0 otherwise. </w:t>
            </w:r>
          </w:p>
        </w:tc>
      </w:tr>
    </w:tbl>
    <w:p w14:paraId="2A474648" w14:textId="77777777" w:rsidR="00B61F35" w:rsidRPr="00331E66" w:rsidRDefault="00B61F35" w:rsidP="00B61F35">
      <w:pPr>
        <w:pStyle w:val="BodyText"/>
        <w:rPr>
          <w:rFonts w:cs="Times New Roman"/>
          <w:color w:val="231F20"/>
          <w:spacing w:val="-3"/>
          <w:sz w:val="22"/>
          <w:szCs w:val="22"/>
        </w:rPr>
      </w:pPr>
    </w:p>
    <w:p w14:paraId="7CDC151F" w14:textId="5DF4BF77" w:rsidR="00B61F35" w:rsidRPr="00331E66" w:rsidRDefault="00B61F35" w:rsidP="00B61F35">
      <w:pPr>
        <w:spacing w:after="0"/>
        <w:jc w:val="center"/>
        <w:rPr>
          <w:rFonts w:ascii="Times New Roman" w:hAnsi="Times New Roman" w:cs="Times New Roman"/>
          <w:color w:val="231F20"/>
          <w:spacing w:val="-3"/>
          <w:sz w:val="24"/>
        </w:rPr>
      </w:pPr>
      <w:r w:rsidRPr="00331E66">
        <w:rPr>
          <w:rFonts w:ascii="Times New Roman" w:hAnsi="Times New Roman" w:cs="Times New Roman"/>
          <w:b/>
          <w:color w:val="231F20"/>
          <w:spacing w:val="-3"/>
          <w:sz w:val="24"/>
        </w:rPr>
        <w:t>T</w:t>
      </w:r>
      <w:r w:rsidR="005E2686">
        <w:rPr>
          <w:rFonts w:ascii="Times New Roman" w:hAnsi="Times New Roman" w:cs="Times New Roman"/>
          <w:b/>
          <w:color w:val="231F20"/>
          <w:spacing w:val="-3"/>
          <w:sz w:val="24"/>
        </w:rPr>
        <w:t>able</w:t>
      </w:r>
      <w:r w:rsidRPr="00331E66">
        <w:rPr>
          <w:rFonts w:ascii="Times New Roman" w:hAnsi="Times New Roman" w:cs="Times New Roman"/>
          <w:b/>
          <w:color w:val="231F20"/>
          <w:spacing w:val="-3"/>
          <w:sz w:val="24"/>
        </w:rPr>
        <w:t xml:space="preserve"> 1 (C</w:t>
      </w:r>
      <w:r w:rsidR="005E2686">
        <w:rPr>
          <w:rFonts w:ascii="Times New Roman" w:hAnsi="Times New Roman" w:cs="Times New Roman"/>
          <w:b/>
          <w:color w:val="231F20"/>
          <w:spacing w:val="-3"/>
          <w:sz w:val="24"/>
        </w:rPr>
        <w:t>ontinued</w:t>
      </w:r>
      <w:r w:rsidRPr="00331E66">
        <w:rPr>
          <w:rFonts w:ascii="Times New Roman" w:hAnsi="Times New Roman" w:cs="Times New Roman"/>
          <w:b/>
          <w:color w:val="231F20"/>
          <w:spacing w:val="-3"/>
          <w:sz w:val="24"/>
        </w:rPr>
        <w:t>)</w:t>
      </w:r>
    </w:p>
    <w:p w14:paraId="22232FFD" w14:textId="77777777" w:rsidR="00B61F35" w:rsidRPr="00331E66" w:rsidRDefault="00B61F35" w:rsidP="00B61F35">
      <w:pPr>
        <w:pStyle w:val="BodyText"/>
        <w:jc w:val="center"/>
        <w:rPr>
          <w:rFonts w:cs="Times New Roman"/>
          <w:b/>
          <w:color w:val="231F20"/>
          <w:spacing w:val="-3"/>
          <w:sz w:val="24"/>
          <w:szCs w:val="22"/>
        </w:rPr>
      </w:pPr>
      <w:r w:rsidRPr="00331E66">
        <w:rPr>
          <w:rFonts w:cs="Times New Roman"/>
          <w:b/>
          <w:color w:val="231F20"/>
          <w:spacing w:val="-3"/>
          <w:sz w:val="24"/>
          <w:szCs w:val="22"/>
        </w:rPr>
        <w:t>Panel B: Regression Variables</w:t>
      </w:r>
    </w:p>
    <w:p w14:paraId="3AF4BBC7" w14:textId="77777777" w:rsidR="00B61F35" w:rsidRDefault="00B61F35" w:rsidP="00B61F35">
      <w:pPr>
        <w:pStyle w:val="BodyText"/>
        <w:jc w:val="center"/>
        <w:rPr>
          <w:rFonts w:cs="Times New Roman"/>
          <w:b/>
          <w:color w:val="231F20"/>
          <w:spacing w:val="-3"/>
          <w:sz w:val="24"/>
          <w:szCs w:val="22"/>
        </w:rPr>
      </w:pPr>
    </w:p>
    <w:tbl>
      <w:tblPr>
        <w:tblW w:w="9360" w:type="dxa"/>
        <w:tblLook w:val="04A0" w:firstRow="1" w:lastRow="0" w:firstColumn="1" w:lastColumn="0" w:noHBand="0" w:noVBand="1"/>
      </w:tblPr>
      <w:tblGrid>
        <w:gridCol w:w="9360"/>
      </w:tblGrid>
      <w:tr w:rsidR="00B61F35" w14:paraId="48D800FC" w14:textId="77777777" w:rsidTr="00C3183E">
        <w:trPr>
          <w:trHeight w:val="360"/>
        </w:trPr>
        <w:tc>
          <w:tcPr>
            <w:tcW w:w="9360" w:type="dxa"/>
            <w:tcBorders>
              <w:top w:val="single" w:sz="4" w:space="0" w:color="auto"/>
              <w:left w:val="nil"/>
              <w:bottom w:val="single" w:sz="4" w:space="0" w:color="auto"/>
              <w:right w:val="nil"/>
            </w:tcBorders>
            <w:shd w:val="clear" w:color="auto" w:fill="auto"/>
            <w:noWrap/>
            <w:vAlign w:val="bottom"/>
          </w:tcPr>
          <w:p w14:paraId="59D483FA" w14:textId="77777777" w:rsidR="00B61F35" w:rsidRPr="00703AE0" w:rsidRDefault="00B61F35" w:rsidP="00B61F35">
            <w:pPr>
              <w:spacing w:after="0" w:line="240" w:lineRule="auto"/>
              <w:rPr>
                <w:rFonts w:ascii="Times New Roman" w:eastAsia="Times New Roman" w:hAnsi="Times New Roman" w:cs="Times New Roman"/>
                <w:color w:val="000000"/>
              </w:rPr>
            </w:pPr>
            <w:r w:rsidRPr="00703AE0">
              <w:rPr>
                <w:rFonts w:ascii="Times New Roman" w:hAnsi="Times New Roman" w:cs="Times New Roman"/>
                <w:color w:val="231F20"/>
                <w:spacing w:val="-2"/>
              </w:rPr>
              <w:t>V</w:t>
            </w:r>
            <w:r w:rsidRPr="00703AE0">
              <w:rPr>
                <w:rFonts w:ascii="Times New Roman" w:hAnsi="Times New Roman" w:cs="Times New Roman"/>
                <w:color w:val="231F20"/>
                <w:spacing w:val="-3"/>
              </w:rPr>
              <w:t xml:space="preserve">ariable           </w:t>
            </w:r>
            <w:r w:rsidRPr="00703AE0">
              <w:rPr>
                <w:rFonts w:ascii="Times New Roman" w:hAnsi="Times New Roman" w:cs="Times New Roman"/>
                <w:color w:val="231F20"/>
                <w:spacing w:val="-3"/>
              </w:rPr>
              <w:tab/>
              <w:t xml:space="preserve">                                                           </w:t>
            </w:r>
            <w:r w:rsidRPr="00703AE0">
              <w:rPr>
                <w:rFonts w:ascii="Times New Roman" w:hAnsi="Times New Roman" w:cs="Times New Roman"/>
                <w:color w:val="231F20"/>
              </w:rPr>
              <w:t>Definition</w:t>
            </w:r>
          </w:p>
        </w:tc>
      </w:tr>
    </w:tbl>
    <w:p w14:paraId="21AAA45B" w14:textId="77777777" w:rsidR="00B61F35" w:rsidRPr="00703AE0" w:rsidRDefault="00B61F35" w:rsidP="00B61F35">
      <w:pPr>
        <w:tabs>
          <w:tab w:val="left" w:pos="1344"/>
          <w:tab w:val="left" w:pos="2029"/>
        </w:tabs>
        <w:spacing w:before="52" w:after="0" w:line="254" w:lineRule="auto"/>
        <w:ind w:left="2208" w:right="265" w:hanging="2092"/>
        <w:jc w:val="both"/>
        <w:rPr>
          <w:rFonts w:ascii="Times New Roman" w:eastAsia="Times New Roman" w:hAnsi="Times New Roman" w:cs="Times New Roman"/>
          <w:i/>
          <w:color w:val="231F20"/>
          <w:w w:val="95"/>
          <w:sz w:val="8"/>
          <w:szCs w:val="8"/>
        </w:rPr>
      </w:pPr>
    </w:p>
    <w:p w14:paraId="2A70049C" w14:textId="77777777" w:rsidR="00B61F35" w:rsidRPr="00331E66" w:rsidRDefault="00B61F35" w:rsidP="00B61F35">
      <w:pPr>
        <w:tabs>
          <w:tab w:val="left" w:pos="1344"/>
          <w:tab w:val="left" w:pos="2029"/>
        </w:tabs>
        <w:spacing w:before="52" w:line="254" w:lineRule="auto"/>
        <w:ind w:left="2208" w:right="265" w:hanging="2092"/>
        <w:jc w:val="both"/>
        <w:rPr>
          <w:rFonts w:ascii="Times New Roman" w:eastAsia="Times New Roman" w:hAnsi="Times New Roman" w:cs="Times New Roman"/>
          <w:color w:val="231F20"/>
          <w:w w:val="95"/>
          <w:szCs w:val="24"/>
        </w:rPr>
      </w:pPr>
      <w:r w:rsidRPr="00331E66">
        <w:rPr>
          <w:rFonts w:ascii="Times New Roman" w:eastAsia="Times New Roman" w:hAnsi="Times New Roman" w:cs="Times New Roman"/>
          <w:i/>
          <w:color w:val="231F20"/>
          <w:w w:val="95"/>
          <w:szCs w:val="24"/>
        </w:rPr>
        <w:t xml:space="preserve">COMPLETE   </w:t>
      </w:r>
      <w:r w:rsidRPr="00331E66">
        <w:rPr>
          <w:rFonts w:ascii="Times New Roman" w:eastAsia="Times New Roman" w:hAnsi="Times New Roman" w:cs="Times New Roman"/>
          <w:i/>
          <w:color w:val="231F20"/>
          <w:w w:val="95"/>
          <w:szCs w:val="24"/>
        </w:rPr>
        <w:tab/>
      </w:r>
      <w:r w:rsidRPr="00331E66">
        <w:rPr>
          <w:rFonts w:ascii="Times New Roman" w:eastAsia="Times New Roman" w:hAnsi="Times New Roman" w:cs="Times New Roman"/>
          <w:color w:val="231F20"/>
          <w:w w:val="95"/>
          <w:szCs w:val="24"/>
        </w:rPr>
        <w:t xml:space="preserve">The adjusted sum for six required disclosure score components: 2C_CHG, 3C_ETR, 4C_INTPEN, 5C_CLASS, 6C_OPEN, and 7C_FWD. </w:t>
      </w:r>
    </w:p>
    <w:p w14:paraId="266DAE70" w14:textId="77777777" w:rsidR="00B61F35" w:rsidRPr="00331E66" w:rsidRDefault="00B61F35" w:rsidP="00B61F35">
      <w:pPr>
        <w:tabs>
          <w:tab w:val="left" w:pos="1344"/>
          <w:tab w:val="left" w:pos="2029"/>
        </w:tabs>
        <w:spacing w:before="52" w:line="254" w:lineRule="auto"/>
        <w:ind w:left="2208" w:right="265" w:hanging="2092"/>
        <w:jc w:val="both"/>
        <w:rPr>
          <w:rFonts w:ascii="Times New Roman" w:eastAsia="Times New Roman" w:hAnsi="Times New Roman" w:cs="Times New Roman"/>
          <w:i/>
          <w:color w:val="231F20"/>
          <w:w w:val="95"/>
          <w:szCs w:val="24"/>
        </w:rPr>
      </w:pPr>
      <w:r w:rsidRPr="00331E66">
        <w:rPr>
          <w:rFonts w:ascii="Times New Roman" w:eastAsia="Times New Roman" w:hAnsi="Times New Roman" w:cs="Times New Roman"/>
          <w:i/>
          <w:color w:val="231F20"/>
          <w:w w:val="95"/>
          <w:szCs w:val="24"/>
        </w:rPr>
        <w:t>CLARITY</w:t>
      </w:r>
      <w:r w:rsidRPr="00331E66">
        <w:rPr>
          <w:rFonts w:ascii="Times New Roman" w:eastAsia="Times New Roman" w:hAnsi="Times New Roman" w:cs="Times New Roman"/>
          <w:i/>
          <w:color w:val="231F20"/>
          <w:w w:val="95"/>
          <w:szCs w:val="24"/>
        </w:rPr>
        <w:tab/>
      </w:r>
      <w:r w:rsidRPr="00331E66">
        <w:rPr>
          <w:rFonts w:ascii="Times New Roman" w:eastAsia="Times New Roman" w:hAnsi="Times New Roman" w:cs="Times New Roman"/>
          <w:i/>
          <w:color w:val="231F20"/>
          <w:w w:val="95"/>
          <w:szCs w:val="24"/>
        </w:rPr>
        <w:tab/>
      </w:r>
      <w:r w:rsidRPr="00331E66">
        <w:rPr>
          <w:rFonts w:ascii="Times New Roman" w:eastAsia="Times New Roman" w:hAnsi="Times New Roman" w:cs="Times New Roman"/>
          <w:color w:val="231F20"/>
          <w:w w:val="95"/>
          <w:szCs w:val="24"/>
        </w:rPr>
        <w:t>The sum of four disclosure score components: 1CL_NONETR, 2CL_GROSS, 3CL_INCL, and 4CL_LUMP.</w:t>
      </w:r>
      <w:r w:rsidRPr="00331E66">
        <w:rPr>
          <w:rFonts w:ascii="Times New Roman" w:eastAsia="Times New Roman" w:hAnsi="Times New Roman" w:cs="Times New Roman"/>
          <w:i/>
          <w:color w:val="231F20"/>
          <w:w w:val="95"/>
          <w:szCs w:val="24"/>
        </w:rPr>
        <w:t xml:space="preserve"> </w:t>
      </w:r>
    </w:p>
    <w:p w14:paraId="58C9C964" w14:textId="77777777" w:rsidR="00B61F35" w:rsidRPr="00331E66" w:rsidRDefault="00B61F35" w:rsidP="00B61F35">
      <w:pPr>
        <w:tabs>
          <w:tab w:val="left" w:pos="1344"/>
          <w:tab w:val="left" w:pos="2029"/>
        </w:tabs>
        <w:spacing w:before="52" w:line="254" w:lineRule="auto"/>
        <w:ind w:left="2208" w:right="265" w:hanging="2092"/>
        <w:jc w:val="both"/>
        <w:rPr>
          <w:rFonts w:ascii="Times New Roman" w:eastAsia="Times New Roman" w:hAnsi="Times New Roman" w:cs="Times New Roman"/>
          <w:color w:val="231F20"/>
          <w:w w:val="95"/>
          <w:szCs w:val="24"/>
        </w:rPr>
      </w:pPr>
      <w:proofErr w:type="spellStart"/>
      <w:r w:rsidRPr="00331E66">
        <w:rPr>
          <w:rFonts w:ascii="Times New Roman" w:eastAsia="Times New Roman" w:hAnsi="Times New Roman" w:cs="Times New Roman"/>
          <w:i/>
          <w:color w:val="231F20"/>
          <w:w w:val="95"/>
          <w:szCs w:val="24"/>
        </w:rPr>
        <w:t>SchUTP</w:t>
      </w:r>
      <w:proofErr w:type="spellEnd"/>
      <w:r w:rsidRPr="00331E66">
        <w:rPr>
          <w:rFonts w:ascii="Times New Roman" w:eastAsia="Times New Roman" w:hAnsi="Times New Roman" w:cs="Times New Roman"/>
          <w:i/>
          <w:color w:val="231F20"/>
          <w:w w:val="95"/>
          <w:szCs w:val="24"/>
        </w:rPr>
        <w:tab/>
      </w:r>
      <w:r w:rsidRPr="00331E66">
        <w:rPr>
          <w:rFonts w:ascii="Times New Roman" w:eastAsia="Times New Roman" w:hAnsi="Times New Roman" w:cs="Times New Roman"/>
          <w:color w:val="231F20"/>
          <w:w w:val="95"/>
          <w:szCs w:val="24"/>
        </w:rPr>
        <w:tab/>
        <w:t>An indicator variable set to 1 for 2010 firm-years, and 0 otherwise.</w:t>
      </w:r>
    </w:p>
    <w:p w14:paraId="503FDED7" w14:textId="77777777" w:rsidR="00B61F35" w:rsidRPr="00331E66" w:rsidRDefault="00B61F35" w:rsidP="00B61F35">
      <w:pPr>
        <w:tabs>
          <w:tab w:val="left" w:pos="1344"/>
          <w:tab w:val="left" w:pos="2029"/>
        </w:tabs>
        <w:spacing w:before="52" w:line="254" w:lineRule="auto"/>
        <w:ind w:left="2208" w:right="265" w:hanging="2092"/>
        <w:jc w:val="both"/>
        <w:rPr>
          <w:rFonts w:ascii="Times New Roman" w:eastAsia="Times New Roman" w:hAnsi="Times New Roman" w:cs="Times New Roman"/>
          <w:color w:val="231F20"/>
          <w:szCs w:val="24"/>
        </w:rPr>
      </w:pPr>
      <w:r w:rsidRPr="00331E66">
        <w:rPr>
          <w:rFonts w:ascii="Times New Roman" w:eastAsia="Times New Roman" w:hAnsi="Times New Roman" w:cs="Times New Roman"/>
          <w:i/>
          <w:color w:val="231F20"/>
          <w:w w:val="95"/>
          <w:szCs w:val="24"/>
        </w:rPr>
        <w:t>CETR</w:t>
      </w:r>
      <w:r w:rsidRPr="00331E66">
        <w:rPr>
          <w:rFonts w:ascii="Times New Roman" w:eastAsia="Times New Roman" w:hAnsi="Times New Roman" w:cs="Times New Roman"/>
          <w:i/>
          <w:color w:val="231F20"/>
          <w:w w:val="95"/>
          <w:szCs w:val="24"/>
        </w:rPr>
        <w:tab/>
      </w:r>
      <w:r w:rsidRPr="00331E66">
        <w:rPr>
          <w:rFonts w:ascii="Times New Roman" w:eastAsia="Times New Roman" w:hAnsi="Times New Roman" w:cs="Times New Roman"/>
          <w:color w:val="231F20"/>
          <w:w w:val="95"/>
          <w:szCs w:val="24"/>
        </w:rPr>
        <w:tab/>
      </w:r>
      <w:r w:rsidRPr="00331E66">
        <w:rPr>
          <w:rFonts w:ascii="Times New Roman" w:eastAsia="Times New Roman" w:hAnsi="Times New Roman" w:cs="Times New Roman"/>
          <w:color w:val="231F20"/>
          <w:szCs w:val="24"/>
        </w:rPr>
        <w:t>3-year</w:t>
      </w:r>
      <w:r w:rsidRPr="00331E66">
        <w:rPr>
          <w:rFonts w:ascii="Times New Roman" w:eastAsia="Times New Roman" w:hAnsi="Times New Roman" w:cs="Times New Roman"/>
          <w:color w:val="231F20"/>
          <w:spacing w:val="5"/>
          <w:szCs w:val="24"/>
        </w:rPr>
        <w:t xml:space="preserve"> </w:t>
      </w:r>
      <w:r w:rsidRPr="00331E66">
        <w:rPr>
          <w:rFonts w:ascii="Times New Roman" w:eastAsia="Times New Roman" w:hAnsi="Times New Roman" w:cs="Times New Roman"/>
          <w:color w:val="231F20"/>
          <w:szCs w:val="24"/>
        </w:rPr>
        <w:t>cash</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effective</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tax</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rate,</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measured</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as</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the</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sum</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of</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cash</w:t>
      </w:r>
      <w:r w:rsidRPr="00331E66">
        <w:rPr>
          <w:rFonts w:ascii="Times New Roman" w:eastAsia="Times New Roman" w:hAnsi="Times New Roman" w:cs="Times New Roman"/>
          <w:color w:val="231F20"/>
          <w:spacing w:val="5"/>
          <w:szCs w:val="24"/>
        </w:rPr>
        <w:t xml:space="preserve"> </w:t>
      </w:r>
      <w:r w:rsidRPr="00331E66">
        <w:rPr>
          <w:rFonts w:ascii="Times New Roman" w:eastAsia="Times New Roman" w:hAnsi="Times New Roman" w:cs="Times New Roman"/>
          <w:color w:val="231F20"/>
          <w:szCs w:val="24"/>
        </w:rPr>
        <w:t>taxes</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paid</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TXPD)</w:t>
      </w:r>
      <w:r w:rsidRPr="00331E66">
        <w:rPr>
          <w:rFonts w:ascii="Times New Roman" w:eastAsia="Times New Roman" w:hAnsi="Times New Roman" w:cs="Times New Roman"/>
          <w:color w:val="231F20"/>
          <w:w w:val="98"/>
          <w:szCs w:val="24"/>
        </w:rPr>
        <w:t xml:space="preserve"> </w:t>
      </w:r>
      <w:r w:rsidRPr="00331E66">
        <w:rPr>
          <w:rFonts w:ascii="Times New Roman" w:eastAsia="Times New Roman" w:hAnsi="Times New Roman" w:cs="Times New Roman"/>
          <w:color w:val="231F20"/>
          <w:szCs w:val="24"/>
        </w:rPr>
        <w:t>from</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three lagged years</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divided</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by</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the</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sum</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of</w:t>
      </w:r>
      <w:r w:rsidRPr="00331E66">
        <w:rPr>
          <w:rFonts w:ascii="Times New Roman" w:eastAsia="Times New Roman" w:hAnsi="Times New Roman" w:cs="Times New Roman"/>
          <w:color w:val="231F20"/>
          <w:spacing w:val="8"/>
          <w:szCs w:val="24"/>
        </w:rPr>
        <w:t xml:space="preserve"> </w:t>
      </w:r>
      <w:r w:rsidRPr="00331E66">
        <w:rPr>
          <w:rFonts w:ascii="Times New Roman" w:eastAsia="Times New Roman" w:hAnsi="Times New Roman" w:cs="Times New Roman"/>
          <w:color w:val="231F20"/>
          <w:szCs w:val="24"/>
        </w:rPr>
        <w:t>total</w:t>
      </w:r>
      <w:r w:rsidRPr="00331E66">
        <w:rPr>
          <w:rFonts w:ascii="Times New Roman" w:eastAsia="Times New Roman" w:hAnsi="Times New Roman" w:cs="Times New Roman"/>
          <w:color w:val="231F20"/>
          <w:spacing w:val="6"/>
          <w:szCs w:val="24"/>
        </w:rPr>
        <w:t xml:space="preserve"> </w:t>
      </w:r>
      <w:r w:rsidRPr="00331E66">
        <w:rPr>
          <w:rFonts w:ascii="Times New Roman" w:eastAsia="Times New Roman" w:hAnsi="Times New Roman" w:cs="Times New Roman"/>
          <w:color w:val="231F20"/>
          <w:szCs w:val="24"/>
        </w:rPr>
        <w:t>pre-tax</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zCs w:val="24"/>
        </w:rPr>
        <w:t>income</w:t>
      </w:r>
      <w:r w:rsidRPr="00331E66">
        <w:rPr>
          <w:rFonts w:ascii="Times New Roman" w:eastAsia="Times New Roman" w:hAnsi="Times New Roman" w:cs="Times New Roman"/>
          <w:color w:val="231F20"/>
          <w:spacing w:val="7"/>
          <w:szCs w:val="24"/>
        </w:rPr>
        <w:t xml:space="preserve"> </w:t>
      </w:r>
      <w:r w:rsidRPr="00331E66">
        <w:rPr>
          <w:rFonts w:ascii="Times New Roman" w:eastAsia="Times New Roman" w:hAnsi="Times New Roman" w:cs="Times New Roman"/>
          <w:color w:val="231F20"/>
          <w:spacing w:val="1"/>
          <w:szCs w:val="24"/>
        </w:rPr>
        <w:t>(PI)</w:t>
      </w:r>
      <w:r w:rsidRPr="00331E66">
        <w:rPr>
          <w:rFonts w:ascii="Times New Roman" w:eastAsia="Times New Roman" w:hAnsi="Times New Roman" w:cs="Times New Roman"/>
          <w:color w:val="231F20"/>
          <w:spacing w:val="8"/>
          <w:szCs w:val="24"/>
        </w:rPr>
        <w:t xml:space="preserve"> </w:t>
      </w:r>
      <w:r w:rsidRPr="00331E66">
        <w:rPr>
          <w:rFonts w:ascii="Times New Roman" w:eastAsia="Times New Roman" w:hAnsi="Times New Roman" w:cs="Times New Roman"/>
          <w:color w:val="231F20"/>
          <w:szCs w:val="24"/>
        </w:rPr>
        <w:t>from three lagged years.</w:t>
      </w:r>
    </w:p>
    <w:p w14:paraId="3D54ABF5" w14:textId="77777777" w:rsidR="00B61F35" w:rsidRPr="00331E66" w:rsidRDefault="00B61F35" w:rsidP="00B61F35">
      <w:pPr>
        <w:tabs>
          <w:tab w:val="left" w:pos="1344"/>
          <w:tab w:val="left" w:pos="2029"/>
        </w:tabs>
        <w:spacing w:before="52" w:line="254" w:lineRule="auto"/>
        <w:ind w:left="2208" w:right="265" w:hanging="2092"/>
        <w:jc w:val="both"/>
        <w:rPr>
          <w:rFonts w:ascii="Times New Roman" w:eastAsia="Times New Roman" w:hAnsi="Times New Roman" w:cs="Times New Roman"/>
          <w:color w:val="231F20"/>
          <w:szCs w:val="24"/>
        </w:rPr>
      </w:pPr>
      <w:r w:rsidRPr="00331E66">
        <w:rPr>
          <w:rFonts w:ascii="Times New Roman" w:eastAsia="Times New Roman" w:hAnsi="Times New Roman" w:cs="Times New Roman"/>
          <w:i/>
          <w:color w:val="231F20"/>
          <w:w w:val="95"/>
          <w:szCs w:val="24"/>
        </w:rPr>
        <w:t>UTB</w:t>
      </w:r>
      <w:r w:rsidRPr="00331E66">
        <w:rPr>
          <w:rFonts w:ascii="Times New Roman" w:eastAsia="Times New Roman" w:hAnsi="Times New Roman" w:cs="Times New Roman"/>
          <w:i/>
          <w:color w:val="231F20"/>
          <w:w w:val="95"/>
          <w:szCs w:val="24"/>
        </w:rPr>
        <w:tab/>
        <w:t xml:space="preserve">   </w:t>
      </w:r>
      <w:r w:rsidRPr="00331E66">
        <w:rPr>
          <w:rFonts w:ascii="Times New Roman" w:eastAsia="Times New Roman" w:hAnsi="Times New Roman" w:cs="Times New Roman"/>
          <w:color w:val="231F20"/>
          <w:szCs w:val="24"/>
        </w:rPr>
        <w:tab/>
        <w:t>The log of year-end UTB tax reserve balance.</w:t>
      </w:r>
    </w:p>
    <w:p w14:paraId="7455A546" w14:textId="77777777" w:rsidR="00B61F35" w:rsidRPr="00331E66" w:rsidRDefault="00B61F35" w:rsidP="00B61F35">
      <w:pPr>
        <w:tabs>
          <w:tab w:val="left" w:pos="1571"/>
          <w:tab w:val="left" w:pos="2069"/>
        </w:tabs>
        <w:spacing w:before="51" w:line="240" w:lineRule="auto"/>
        <w:ind w:left="2248" w:right="530" w:hanging="2092"/>
        <w:jc w:val="both"/>
        <w:rPr>
          <w:rFonts w:ascii="Times New Roman" w:eastAsia="Times New Roman" w:hAnsi="Times New Roman" w:cs="Times New Roman"/>
        </w:rPr>
      </w:pPr>
      <w:r w:rsidRPr="00331E66">
        <w:rPr>
          <w:rFonts w:ascii="Times New Roman" w:hAnsi="Times New Roman" w:cs="Times New Roman"/>
          <w:i/>
          <w:color w:val="231F20"/>
          <w:w w:val="95"/>
        </w:rPr>
        <w:t xml:space="preserve">SIZE                  </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Firm</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size</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at</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year end,</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measured</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log</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total</w:t>
      </w:r>
      <w:r w:rsidRPr="00331E66">
        <w:rPr>
          <w:rFonts w:ascii="Times New Roman" w:hAnsi="Times New Roman" w:cs="Times New Roman"/>
          <w:color w:val="231F20"/>
          <w:w w:val="97"/>
        </w:rPr>
        <w:t xml:space="preserve"> </w:t>
      </w:r>
      <w:r w:rsidRPr="00331E66">
        <w:rPr>
          <w:rFonts w:ascii="Times New Roman" w:hAnsi="Times New Roman" w:cs="Times New Roman"/>
          <w:color w:val="231F20"/>
        </w:rPr>
        <w:t>assets</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spacing w:val="1"/>
        </w:rPr>
        <w:t>(AT).</w:t>
      </w:r>
    </w:p>
    <w:p w14:paraId="14B27561" w14:textId="77777777" w:rsidR="00B61F35" w:rsidRPr="00331E66" w:rsidRDefault="00B61F35" w:rsidP="00B61F35">
      <w:pPr>
        <w:tabs>
          <w:tab w:val="left" w:pos="1571"/>
          <w:tab w:val="left" w:pos="2069"/>
        </w:tabs>
        <w:spacing w:before="39" w:line="240" w:lineRule="auto"/>
        <w:ind w:left="2248" w:right="302" w:hanging="2092"/>
        <w:jc w:val="both"/>
        <w:rPr>
          <w:rFonts w:ascii="Times New Roman" w:eastAsia="Times New Roman" w:hAnsi="Times New Roman" w:cs="Times New Roman"/>
        </w:rPr>
      </w:pPr>
      <w:r w:rsidRPr="00331E66">
        <w:rPr>
          <w:rFonts w:ascii="Times New Roman" w:hAnsi="Times New Roman" w:cs="Times New Roman"/>
          <w:i/>
          <w:color w:val="231F20"/>
          <w:w w:val="95"/>
        </w:rPr>
        <w:t xml:space="preserve">PFT                   </w:t>
      </w:r>
      <w:r w:rsidRPr="00331E66">
        <w:rPr>
          <w:rFonts w:ascii="Times New Roman" w:hAnsi="Times New Roman" w:cs="Times New Roman"/>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Profit</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margin</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at</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year end,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measured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income</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before</w:t>
      </w:r>
      <w:r w:rsidRPr="00331E66">
        <w:rPr>
          <w:rFonts w:ascii="Times New Roman" w:hAnsi="Times New Roman" w:cs="Times New Roman"/>
          <w:color w:val="231F20"/>
          <w:w w:val="98"/>
        </w:rPr>
        <w:t xml:space="preserve"> </w:t>
      </w:r>
      <w:r w:rsidRPr="00331E66">
        <w:rPr>
          <w:rFonts w:ascii="Times New Roman" w:hAnsi="Times New Roman" w:cs="Times New Roman"/>
          <w:color w:val="231F20"/>
        </w:rPr>
        <w:t>extraordinary</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items</w:t>
      </w:r>
      <w:r w:rsidRPr="00331E66">
        <w:rPr>
          <w:rFonts w:ascii="Times New Roman" w:hAnsi="Times New Roman" w:cs="Times New Roman"/>
          <w:color w:val="231F20"/>
          <w:spacing w:val="2"/>
        </w:rPr>
        <w:t xml:space="preserve"> </w:t>
      </w:r>
      <w:r w:rsidRPr="00331E66">
        <w:rPr>
          <w:rFonts w:ascii="Times New Roman" w:hAnsi="Times New Roman" w:cs="Times New Roman"/>
          <w:color w:val="231F20"/>
          <w:spacing w:val="1"/>
        </w:rPr>
        <w:t>(IB)</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divided</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by</w:t>
      </w:r>
      <w:r w:rsidRPr="00331E66">
        <w:rPr>
          <w:rFonts w:ascii="Times New Roman" w:hAnsi="Times New Roman" w:cs="Times New Roman"/>
          <w:color w:val="231F20"/>
          <w:spacing w:val="2"/>
        </w:rPr>
        <w:t xml:space="preserve"> </w:t>
      </w:r>
      <w:r w:rsidRPr="00331E66">
        <w:rPr>
          <w:rFonts w:ascii="Times New Roman" w:hAnsi="Times New Roman" w:cs="Times New Roman"/>
          <w:color w:val="231F20"/>
        </w:rPr>
        <w:t>sales</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spacing w:val="1"/>
        </w:rPr>
        <w:t>(SALE).</w:t>
      </w:r>
    </w:p>
    <w:p w14:paraId="1D4DC2F6" w14:textId="77777777" w:rsidR="00B61F35" w:rsidRPr="00331E66" w:rsidRDefault="00B61F35" w:rsidP="00B61F35">
      <w:pPr>
        <w:tabs>
          <w:tab w:val="left" w:pos="1542"/>
          <w:tab w:val="left" w:pos="2069"/>
        </w:tabs>
        <w:spacing w:before="28" w:line="240" w:lineRule="auto"/>
        <w:ind w:left="2248" w:right="188" w:hanging="2092"/>
        <w:jc w:val="both"/>
        <w:rPr>
          <w:rFonts w:ascii="Times New Roman" w:eastAsia="Times New Roman" w:hAnsi="Times New Roman" w:cs="Times New Roman"/>
        </w:rPr>
      </w:pPr>
      <w:r w:rsidRPr="00331E66">
        <w:rPr>
          <w:rFonts w:ascii="Times New Roman" w:hAnsi="Times New Roman" w:cs="Times New Roman"/>
          <w:i/>
          <w:color w:val="231F20"/>
          <w:w w:val="95"/>
        </w:rPr>
        <w:t>CAPINT</w:t>
      </w:r>
      <w:r w:rsidRPr="00331E66">
        <w:rPr>
          <w:rFonts w:ascii="Times New Roman" w:hAnsi="Times New Roman" w:cs="Times New Roman"/>
          <w:i/>
          <w:color w:val="231F20"/>
          <w:w w:val="95"/>
        </w:rPr>
        <w:tab/>
      </w:r>
      <w:r w:rsidRPr="00331E66">
        <w:rPr>
          <w:rFonts w:ascii="Times New Roman" w:hAnsi="Times New Roman" w:cs="Times New Roman"/>
          <w:color w:val="231F20"/>
        </w:rPr>
        <w:tab/>
        <w:t>Capital</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intensity</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at</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year end,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measured</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net</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property,</w:t>
      </w:r>
      <w:r w:rsidRPr="00331E66">
        <w:rPr>
          <w:rFonts w:ascii="Times New Roman" w:hAnsi="Times New Roman" w:cs="Times New Roman"/>
          <w:color w:val="231F20"/>
          <w:w w:val="98"/>
        </w:rPr>
        <w:t xml:space="preserve"> </w:t>
      </w:r>
      <w:r w:rsidRPr="00331E66">
        <w:rPr>
          <w:rFonts w:ascii="Times New Roman" w:hAnsi="Times New Roman" w:cs="Times New Roman"/>
          <w:color w:val="231F20"/>
        </w:rPr>
        <w:t>plant,</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and</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equipment</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spacing w:val="1"/>
        </w:rPr>
        <w:t>(PPENT)</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divided</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by</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total</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assets</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spacing w:val="1"/>
        </w:rPr>
        <w:t>(AT).</w:t>
      </w:r>
    </w:p>
    <w:p w14:paraId="4B3D1E19" w14:textId="77777777" w:rsidR="00B61F35" w:rsidRPr="00331E66" w:rsidRDefault="00B61F35" w:rsidP="00B61F35">
      <w:pPr>
        <w:tabs>
          <w:tab w:val="left" w:pos="1571"/>
          <w:tab w:val="left" w:pos="2069"/>
        </w:tabs>
        <w:spacing w:before="42" w:line="240" w:lineRule="auto"/>
        <w:ind w:left="2248" w:right="423" w:hanging="2092"/>
        <w:jc w:val="both"/>
        <w:rPr>
          <w:rFonts w:ascii="Times New Roman" w:eastAsia="Times New Roman" w:hAnsi="Times New Roman" w:cs="Times New Roman"/>
        </w:rPr>
      </w:pPr>
      <w:r w:rsidRPr="00331E66">
        <w:rPr>
          <w:rFonts w:ascii="Times New Roman" w:hAnsi="Times New Roman" w:cs="Times New Roman"/>
          <w:i/>
          <w:color w:val="231F20"/>
          <w:w w:val="95"/>
        </w:rPr>
        <w:t>LTDA</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Debt-to-assets</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at</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year end,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measured</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long-term</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debt</w:t>
      </w:r>
      <w:r w:rsidRPr="00331E66">
        <w:rPr>
          <w:rFonts w:ascii="Times New Roman" w:hAnsi="Times New Roman" w:cs="Times New Roman"/>
          <w:color w:val="231F20"/>
          <w:w w:val="98"/>
        </w:rPr>
        <w:t xml:space="preserve"> </w:t>
      </w:r>
      <w:r w:rsidRPr="00331E66">
        <w:rPr>
          <w:rFonts w:ascii="Times New Roman" w:hAnsi="Times New Roman" w:cs="Times New Roman"/>
          <w:color w:val="231F20"/>
          <w:spacing w:val="1"/>
        </w:rPr>
        <w:t>(DLT)</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divided</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by</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total</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assets</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spacing w:val="1"/>
        </w:rPr>
        <w:t>(AT).</w:t>
      </w:r>
    </w:p>
    <w:p w14:paraId="02B890E8" w14:textId="77777777" w:rsidR="00B61F35" w:rsidRPr="00331E66" w:rsidRDefault="00B61F35" w:rsidP="00B61F35">
      <w:pPr>
        <w:tabs>
          <w:tab w:val="left" w:pos="1571"/>
          <w:tab w:val="left" w:pos="2069"/>
        </w:tabs>
        <w:spacing w:before="40" w:line="240" w:lineRule="auto"/>
        <w:ind w:left="2248" w:right="352" w:hanging="2092"/>
        <w:jc w:val="both"/>
        <w:rPr>
          <w:rFonts w:ascii="Times New Roman" w:eastAsia="Times New Roman" w:hAnsi="Times New Roman" w:cs="Times New Roman"/>
        </w:rPr>
      </w:pPr>
      <w:r w:rsidRPr="00331E66">
        <w:rPr>
          <w:rFonts w:ascii="Times New Roman" w:hAnsi="Times New Roman" w:cs="Times New Roman"/>
          <w:i/>
          <w:color w:val="231F20"/>
          <w:w w:val="95"/>
        </w:rPr>
        <w:t>MB</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Market-to-book</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ratio</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year end,</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measured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the</w:t>
      </w:r>
      <w:r w:rsidRPr="00331E66">
        <w:rPr>
          <w:rFonts w:ascii="Times New Roman" w:hAnsi="Times New Roman" w:cs="Times New Roman"/>
          <w:color w:val="231F20"/>
          <w:w w:val="98"/>
        </w:rPr>
        <w:t xml:space="preserve"> </w:t>
      </w:r>
      <w:r w:rsidRPr="00331E66">
        <w:rPr>
          <w:rFonts w:ascii="Times New Roman" w:hAnsi="Times New Roman" w:cs="Times New Roman"/>
          <w:color w:val="231F20"/>
        </w:rPr>
        <w:t>market</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value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equity</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(PRCC_F</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position w:val="1"/>
        </w:rPr>
        <w:t>*</w:t>
      </w:r>
      <w:r w:rsidRPr="00331E66">
        <w:rPr>
          <w:rFonts w:ascii="Times New Roman" w:hAnsi="Times New Roman" w:cs="Times New Roman"/>
          <w:color w:val="231F20"/>
          <w:spacing w:val="3"/>
          <w:position w:val="1"/>
        </w:rPr>
        <w:t xml:space="preserve"> </w:t>
      </w:r>
      <w:r w:rsidRPr="00331E66">
        <w:rPr>
          <w:rFonts w:ascii="Times New Roman" w:hAnsi="Times New Roman" w:cs="Times New Roman"/>
          <w:color w:val="231F20"/>
        </w:rPr>
        <w:t>CSHO)</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divided</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by</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book</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common</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equity</w:t>
      </w:r>
      <w:r w:rsidRPr="00331E66">
        <w:rPr>
          <w:rFonts w:ascii="Times New Roman" w:hAnsi="Times New Roman" w:cs="Times New Roman"/>
          <w:color w:val="231F20"/>
          <w:spacing w:val="24"/>
          <w:w w:val="98"/>
        </w:rPr>
        <w:t xml:space="preserve"> </w:t>
      </w:r>
      <w:r w:rsidRPr="00331E66">
        <w:rPr>
          <w:rFonts w:ascii="Times New Roman" w:hAnsi="Times New Roman" w:cs="Times New Roman"/>
          <w:color w:val="231F20"/>
          <w:spacing w:val="1"/>
        </w:rPr>
        <w:t>(CEQ).</w:t>
      </w:r>
    </w:p>
    <w:p w14:paraId="7D9BD65D" w14:textId="77777777" w:rsidR="00B61F35" w:rsidRPr="00331E66" w:rsidRDefault="00B61F35" w:rsidP="00B61F35">
      <w:pPr>
        <w:tabs>
          <w:tab w:val="left" w:pos="1542"/>
          <w:tab w:val="left" w:pos="2069"/>
        </w:tabs>
        <w:spacing w:before="38" w:line="240" w:lineRule="auto"/>
        <w:ind w:left="2249" w:right="738" w:hanging="2092"/>
        <w:jc w:val="both"/>
        <w:rPr>
          <w:rFonts w:ascii="Times New Roman" w:eastAsia="Times New Roman" w:hAnsi="Times New Roman" w:cs="Times New Roman"/>
        </w:rPr>
      </w:pPr>
      <w:r w:rsidRPr="00331E66">
        <w:rPr>
          <w:rFonts w:ascii="Times New Roman" w:hAnsi="Times New Roman" w:cs="Times New Roman"/>
          <w:i/>
          <w:color w:val="231F20"/>
          <w:w w:val="95"/>
        </w:rPr>
        <w:t>BIG4</w:t>
      </w:r>
      <w:r w:rsidRPr="00331E66">
        <w:rPr>
          <w:rFonts w:ascii="Times New Roman" w:hAnsi="Times New Roman" w:cs="Times New Roman"/>
          <w:i/>
          <w:color w:val="231F20"/>
          <w:w w:val="95"/>
        </w:rPr>
        <w:tab/>
      </w:r>
      <w:r w:rsidRPr="00331E66">
        <w:rPr>
          <w:rFonts w:ascii="Times New Roman" w:hAnsi="Times New Roman" w:cs="Times New Roman"/>
          <w:color w:val="231F20"/>
        </w:rPr>
        <w:tab/>
        <w:t>An</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indicator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variable</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set</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to</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1</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if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retains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7"/>
        </w:rPr>
        <w:t xml:space="preserve"> B</w:t>
      </w:r>
      <w:r w:rsidRPr="00331E66">
        <w:rPr>
          <w:rFonts w:ascii="Times New Roman" w:hAnsi="Times New Roman" w:cs="Times New Roman"/>
          <w:color w:val="231F20"/>
        </w:rPr>
        <w:t>ig-four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audit</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and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0</w:t>
      </w:r>
      <w:r w:rsidRPr="00331E66">
        <w:rPr>
          <w:rFonts w:ascii="Times New Roman" w:hAnsi="Times New Roman" w:cs="Times New Roman"/>
          <w:color w:val="231F20"/>
          <w:w w:val="99"/>
        </w:rPr>
        <w:t xml:space="preserve"> </w:t>
      </w:r>
      <w:r w:rsidRPr="00331E66">
        <w:rPr>
          <w:rFonts w:ascii="Times New Roman" w:hAnsi="Times New Roman" w:cs="Times New Roman"/>
          <w:color w:val="231F20"/>
        </w:rPr>
        <w:t>otherwise.</w:t>
      </w:r>
    </w:p>
    <w:p w14:paraId="5E7BB5EE"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spacing w:val="7"/>
        </w:rPr>
      </w:pPr>
      <w:r w:rsidRPr="00331E66">
        <w:rPr>
          <w:rFonts w:ascii="Times New Roman" w:hAnsi="Times New Roman" w:cs="Times New Roman"/>
          <w:i/>
          <w:color w:val="231F20"/>
          <w:w w:val="95"/>
        </w:rPr>
        <w:t>BODINSIDE</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The</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percentage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insiders</w:t>
      </w:r>
      <w:r w:rsidRPr="00331E66">
        <w:rPr>
          <w:rFonts w:ascii="Times New Roman" w:hAnsi="Times New Roman" w:cs="Times New Roman"/>
          <w:color w:val="231F20"/>
          <w:spacing w:val="6"/>
        </w:rPr>
        <w:t xml:space="preserve"> (</w:t>
      </w:r>
      <w:r w:rsidRPr="00331E66">
        <w:rPr>
          <w:rFonts w:ascii="Times New Roman" w:hAnsi="Times New Roman" w:cs="Times New Roman"/>
        </w:rPr>
        <w:t xml:space="preserve">all directors who are officers or employees) </w:t>
      </w:r>
      <w:r w:rsidRPr="00331E66">
        <w:rPr>
          <w:rFonts w:ascii="Times New Roman" w:hAnsi="Times New Roman" w:cs="Times New Roman"/>
          <w:color w:val="231F20"/>
        </w:rPr>
        <w:t>on</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7"/>
        </w:rPr>
        <w:t xml:space="preserve"> </w:t>
      </w:r>
    </w:p>
    <w:p w14:paraId="4AFF5DE0"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rPr>
      </w:pP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color w:val="231F20"/>
        </w:rPr>
        <w:t>board</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directors.</w:t>
      </w:r>
      <w:r w:rsidRPr="00331E66">
        <w:rPr>
          <w:rFonts w:ascii="Times New Roman" w:hAnsi="Times New Roman" w:cs="Times New Roman"/>
          <w:color w:val="231F20"/>
          <w:spacing w:val="7"/>
        </w:rPr>
        <w:t xml:space="preserve"> Insiders are defined as </w:t>
      </w:r>
      <w:r w:rsidRPr="00331E66">
        <w:rPr>
          <w:rFonts w:ascii="Times New Roman" w:hAnsi="Times New Roman" w:cs="Times New Roman"/>
        </w:rPr>
        <w:t xml:space="preserve">all directors who are officers or </w:t>
      </w:r>
    </w:p>
    <w:p w14:paraId="41C1423A"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rPr>
      </w:pPr>
      <w:r w:rsidRPr="00331E66">
        <w:rPr>
          <w:rFonts w:ascii="Times New Roman" w:hAnsi="Times New Roman" w:cs="Times New Roman"/>
        </w:rPr>
        <w:tab/>
      </w:r>
      <w:r w:rsidRPr="00331E66">
        <w:rPr>
          <w:rFonts w:ascii="Times New Roman" w:hAnsi="Times New Roman" w:cs="Times New Roman"/>
        </w:rPr>
        <w:tab/>
      </w:r>
      <w:r w:rsidRPr="00331E66">
        <w:rPr>
          <w:rFonts w:ascii="Times New Roman" w:hAnsi="Times New Roman" w:cs="Times New Roman"/>
        </w:rPr>
        <w:tab/>
      </w:r>
      <w:r w:rsidRPr="00331E66">
        <w:rPr>
          <w:rFonts w:ascii="Times New Roman" w:hAnsi="Times New Roman" w:cs="Times New Roman"/>
        </w:rPr>
        <w:tab/>
        <w:t>employees of the company.</w:t>
      </w:r>
      <w:r w:rsidRPr="00331E66">
        <w:rPr>
          <w:rFonts w:ascii="Times New Roman" w:hAnsi="Times New Roman" w:cs="Times New Roman"/>
          <w:color w:val="231F20"/>
        </w:rPr>
        <w:t xml:space="preserve"> Risk Metrics.</w:t>
      </w:r>
    </w:p>
    <w:p w14:paraId="2E167B78"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rPr>
      </w:pPr>
    </w:p>
    <w:p w14:paraId="2F8B809D"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rPr>
      </w:pPr>
      <w:r w:rsidRPr="00331E66">
        <w:rPr>
          <w:rFonts w:ascii="Times New Roman" w:hAnsi="Times New Roman" w:cs="Times New Roman"/>
          <w:i/>
          <w:color w:val="231F20"/>
          <w:w w:val="95"/>
        </w:rPr>
        <w:t>BODLOCKS</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 xml:space="preserve">The number of interlocks (where board members serve on other company boards </w:t>
      </w:r>
    </w:p>
    <w:p w14:paraId="15D1CE98"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rPr>
      </w:pPr>
      <w:r w:rsidRPr="00331E66">
        <w:rPr>
          <w:rFonts w:ascii="Times New Roman" w:hAnsi="Times New Roman" w:cs="Times New Roman"/>
          <w:color w:val="231F20"/>
        </w:rPr>
        <w:tab/>
      </w:r>
      <w:r w:rsidRPr="00331E66">
        <w:rPr>
          <w:rFonts w:ascii="Times New Roman" w:hAnsi="Times New Roman" w:cs="Times New Roman"/>
          <w:color w:val="231F20"/>
        </w:rPr>
        <w:tab/>
      </w:r>
      <w:r w:rsidRPr="00331E66">
        <w:rPr>
          <w:rFonts w:ascii="Times New Roman" w:hAnsi="Times New Roman" w:cs="Times New Roman"/>
          <w:color w:val="231F20"/>
        </w:rPr>
        <w:tab/>
        <w:t>together) on the board of directors. Risk Metrics.</w:t>
      </w:r>
    </w:p>
    <w:p w14:paraId="2CEF629B" w14:textId="77777777" w:rsidR="00B61F35" w:rsidRPr="00331E66" w:rsidRDefault="00B61F35" w:rsidP="00B61F35">
      <w:pPr>
        <w:tabs>
          <w:tab w:val="left" w:pos="1572"/>
          <w:tab w:val="left" w:pos="2069"/>
        </w:tabs>
        <w:spacing w:after="0" w:line="240" w:lineRule="auto"/>
        <w:ind w:left="1582" w:hanging="1425"/>
        <w:jc w:val="both"/>
        <w:rPr>
          <w:rFonts w:ascii="Times New Roman" w:hAnsi="Times New Roman" w:cs="Times New Roman"/>
          <w:color w:val="231F20"/>
        </w:rPr>
      </w:pPr>
    </w:p>
    <w:p w14:paraId="76A68F6D" w14:textId="77777777" w:rsidR="00B61F35" w:rsidRPr="00331E66" w:rsidRDefault="00B61F35" w:rsidP="00B61F35">
      <w:pPr>
        <w:tabs>
          <w:tab w:val="left" w:pos="1572"/>
          <w:tab w:val="left" w:pos="2069"/>
        </w:tabs>
        <w:spacing w:after="0" w:line="240" w:lineRule="auto"/>
        <w:ind w:left="720" w:hanging="563"/>
        <w:jc w:val="both"/>
        <w:rPr>
          <w:rFonts w:ascii="Times New Roman" w:hAnsi="Times New Roman" w:cs="Times New Roman"/>
          <w:color w:val="231F20"/>
        </w:rPr>
      </w:pPr>
      <w:r w:rsidRPr="00331E66">
        <w:rPr>
          <w:rFonts w:ascii="Times New Roman" w:hAnsi="Times New Roman" w:cs="Times New Roman"/>
          <w:i/>
          <w:color w:val="231F20"/>
          <w:w w:val="95"/>
        </w:rPr>
        <w:t>BODOTHER</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The</w:t>
      </w:r>
      <w:r w:rsidRPr="00331E66">
        <w:rPr>
          <w:rFonts w:ascii="Times New Roman" w:hAnsi="Times New Roman" w:cs="Times New Roman"/>
          <w:color w:val="231F20"/>
          <w:spacing w:val="6"/>
        </w:rPr>
        <w:t xml:space="preserve"> average </w:t>
      </w:r>
      <w:r w:rsidRPr="00331E66">
        <w:rPr>
          <w:rFonts w:ascii="Times New Roman" w:hAnsi="Times New Roman" w:cs="Times New Roman"/>
          <w:color w:val="231F20"/>
        </w:rPr>
        <w:t>number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other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major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boards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directors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 xml:space="preserve">on which current board </w:t>
      </w:r>
    </w:p>
    <w:p w14:paraId="6ED92E7F" w14:textId="77777777" w:rsidR="00B61F35" w:rsidRDefault="00B61F35" w:rsidP="00B61F35">
      <w:pPr>
        <w:tabs>
          <w:tab w:val="left" w:pos="1572"/>
          <w:tab w:val="left" w:pos="2069"/>
        </w:tabs>
        <w:spacing w:after="0" w:line="240" w:lineRule="auto"/>
        <w:ind w:left="720" w:hanging="563"/>
        <w:jc w:val="both"/>
        <w:rPr>
          <w:rFonts w:ascii="Times New Roman" w:hAnsi="Times New Roman" w:cs="Times New Roman"/>
          <w:color w:val="231F20"/>
        </w:rPr>
      </w:pP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i/>
          <w:color w:val="231F20"/>
          <w:w w:val="95"/>
        </w:rPr>
        <w:tab/>
      </w:r>
      <w:r w:rsidRPr="00331E66">
        <w:rPr>
          <w:rFonts w:ascii="Times New Roman" w:hAnsi="Times New Roman" w:cs="Times New Roman"/>
          <w:color w:val="231F20"/>
        </w:rPr>
        <w:t>members serve. Risk Metrics.</w:t>
      </w:r>
    </w:p>
    <w:tbl>
      <w:tblPr>
        <w:tblW w:w="9360" w:type="dxa"/>
        <w:tblBorders>
          <w:bottom w:val="single" w:sz="4" w:space="0" w:color="auto"/>
        </w:tblBorders>
        <w:tblLook w:val="04A0" w:firstRow="1" w:lastRow="0" w:firstColumn="1" w:lastColumn="0" w:noHBand="0" w:noVBand="1"/>
      </w:tblPr>
      <w:tblGrid>
        <w:gridCol w:w="1378"/>
        <w:gridCol w:w="262"/>
        <w:gridCol w:w="540"/>
        <w:gridCol w:w="270"/>
        <w:gridCol w:w="6910"/>
      </w:tblGrid>
      <w:tr w:rsidR="00B61F35" w:rsidRPr="00331E66" w14:paraId="7DE0156B" w14:textId="77777777" w:rsidTr="00C3183E">
        <w:trPr>
          <w:trHeight w:val="63"/>
        </w:trPr>
        <w:tc>
          <w:tcPr>
            <w:tcW w:w="1378" w:type="dxa"/>
            <w:shd w:val="clear" w:color="auto" w:fill="auto"/>
            <w:noWrap/>
          </w:tcPr>
          <w:p w14:paraId="1CD9BF8A" w14:textId="77777777" w:rsidR="00B61F35" w:rsidRPr="00703AE0" w:rsidRDefault="00B61F35" w:rsidP="00B61F35">
            <w:pPr>
              <w:spacing w:after="0" w:line="240" w:lineRule="auto"/>
              <w:rPr>
                <w:rFonts w:ascii="Times New Roman" w:eastAsia="Times New Roman" w:hAnsi="Times New Roman" w:cs="Times New Roman"/>
                <w:i/>
                <w:iCs/>
                <w:color w:val="000000"/>
                <w:sz w:val="8"/>
                <w:szCs w:val="8"/>
              </w:rPr>
            </w:pPr>
          </w:p>
        </w:tc>
        <w:tc>
          <w:tcPr>
            <w:tcW w:w="262" w:type="dxa"/>
            <w:shd w:val="clear" w:color="auto" w:fill="auto"/>
            <w:noWrap/>
          </w:tcPr>
          <w:p w14:paraId="6895DF48" w14:textId="77777777" w:rsidR="00B61F35" w:rsidRPr="00703AE0" w:rsidRDefault="00B61F35" w:rsidP="00B61F35">
            <w:pPr>
              <w:spacing w:after="0" w:line="240" w:lineRule="auto"/>
              <w:rPr>
                <w:rFonts w:ascii="Times New Roman" w:eastAsia="Times New Roman" w:hAnsi="Times New Roman" w:cs="Times New Roman"/>
                <w:i/>
                <w:iCs/>
                <w:color w:val="000000"/>
                <w:sz w:val="8"/>
                <w:szCs w:val="8"/>
              </w:rPr>
            </w:pPr>
          </w:p>
        </w:tc>
        <w:tc>
          <w:tcPr>
            <w:tcW w:w="540" w:type="dxa"/>
            <w:shd w:val="clear" w:color="auto" w:fill="auto"/>
            <w:noWrap/>
          </w:tcPr>
          <w:p w14:paraId="58A3B84D" w14:textId="77777777" w:rsidR="00B61F35" w:rsidRPr="00703AE0" w:rsidRDefault="00B61F35" w:rsidP="00B61F35">
            <w:pPr>
              <w:spacing w:after="0" w:line="240" w:lineRule="auto"/>
              <w:rPr>
                <w:rFonts w:ascii="Times New Roman" w:eastAsia="Times New Roman" w:hAnsi="Times New Roman" w:cs="Times New Roman"/>
                <w:color w:val="000000"/>
                <w:sz w:val="8"/>
                <w:szCs w:val="8"/>
              </w:rPr>
            </w:pPr>
          </w:p>
        </w:tc>
        <w:tc>
          <w:tcPr>
            <w:tcW w:w="270" w:type="dxa"/>
            <w:shd w:val="clear" w:color="auto" w:fill="auto"/>
            <w:noWrap/>
            <w:vAlign w:val="bottom"/>
          </w:tcPr>
          <w:p w14:paraId="1BE25870" w14:textId="77777777" w:rsidR="00B61F35" w:rsidRPr="00703AE0" w:rsidRDefault="00B61F35" w:rsidP="00B61F35">
            <w:pPr>
              <w:spacing w:after="0" w:line="240" w:lineRule="auto"/>
              <w:rPr>
                <w:rFonts w:ascii="Times New Roman" w:eastAsia="Times New Roman" w:hAnsi="Times New Roman" w:cs="Times New Roman"/>
                <w:color w:val="000000"/>
                <w:sz w:val="8"/>
                <w:szCs w:val="8"/>
              </w:rPr>
            </w:pPr>
          </w:p>
        </w:tc>
        <w:tc>
          <w:tcPr>
            <w:tcW w:w="6910" w:type="dxa"/>
            <w:shd w:val="clear" w:color="auto" w:fill="auto"/>
            <w:vAlign w:val="bottom"/>
          </w:tcPr>
          <w:p w14:paraId="55677AD5" w14:textId="77777777" w:rsidR="00B61F35" w:rsidRPr="00703AE0" w:rsidRDefault="00B61F35" w:rsidP="00B61F35">
            <w:pPr>
              <w:spacing w:after="0" w:line="240" w:lineRule="auto"/>
              <w:rPr>
                <w:rFonts w:ascii="Times New Roman" w:eastAsia="Times New Roman" w:hAnsi="Times New Roman" w:cs="Times New Roman"/>
                <w:color w:val="000000"/>
                <w:sz w:val="8"/>
                <w:szCs w:val="8"/>
              </w:rPr>
            </w:pPr>
          </w:p>
        </w:tc>
      </w:tr>
    </w:tbl>
    <w:p w14:paraId="18A2941F" w14:textId="77777777" w:rsidR="00B61F35" w:rsidRPr="00331E66" w:rsidRDefault="00B61F35" w:rsidP="00B61F35">
      <w:pPr>
        <w:tabs>
          <w:tab w:val="left" w:pos="1572"/>
          <w:tab w:val="left" w:pos="2069"/>
        </w:tabs>
        <w:spacing w:after="0" w:line="240" w:lineRule="auto"/>
        <w:ind w:left="720" w:hanging="563"/>
        <w:jc w:val="both"/>
        <w:rPr>
          <w:rFonts w:ascii="Times New Roman" w:eastAsia="Times New Roman" w:hAnsi="Times New Roman" w:cs="Times New Roman"/>
        </w:rPr>
      </w:pPr>
    </w:p>
    <w:p w14:paraId="3019329E" w14:textId="77777777" w:rsidR="00B61F35" w:rsidRPr="00331E66" w:rsidRDefault="00B61F35" w:rsidP="00B61F35">
      <w:pPr>
        <w:rPr>
          <w:rFonts w:ascii="Times New Roman" w:hAnsi="Times New Roman" w:cs="Times New Roman"/>
          <w:b/>
          <w:color w:val="231F20"/>
          <w:spacing w:val="-3"/>
          <w:sz w:val="24"/>
        </w:rPr>
      </w:pPr>
      <w:r w:rsidRPr="00331E66">
        <w:rPr>
          <w:rFonts w:ascii="Times New Roman" w:hAnsi="Times New Roman" w:cs="Times New Roman"/>
          <w:b/>
          <w:color w:val="231F20"/>
          <w:spacing w:val="-3"/>
          <w:sz w:val="24"/>
        </w:rPr>
        <w:br w:type="page"/>
      </w:r>
    </w:p>
    <w:p w14:paraId="51B7AA91" w14:textId="465370C2" w:rsidR="00B61F35" w:rsidRPr="00331E66" w:rsidRDefault="00B61F35" w:rsidP="00B61F35">
      <w:pPr>
        <w:spacing w:after="0"/>
        <w:jc w:val="center"/>
        <w:rPr>
          <w:rFonts w:ascii="Times New Roman" w:hAnsi="Times New Roman" w:cs="Times New Roman"/>
          <w:b/>
          <w:color w:val="231F20"/>
          <w:spacing w:val="-3"/>
          <w:sz w:val="24"/>
        </w:rPr>
      </w:pPr>
      <w:r w:rsidRPr="00331E66">
        <w:rPr>
          <w:rFonts w:ascii="Times New Roman" w:hAnsi="Times New Roman" w:cs="Times New Roman"/>
          <w:b/>
          <w:color w:val="231F20"/>
          <w:spacing w:val="-3"/>
          <w:sz w:val="24"/>
        </w:rPr>
        <w:t>T</w:t>
      </w:r>
      <w:r w:rsidR="005E2686">
        <w:rPr>
          <w:rFonts w:ascii="Times New Roman" w:hAnsi="Times New Roman" w:cs="Times New Roman"/>
          <w:b/>
          <w:color w:val="231F20"/>
          <w:spacing w:val="-3"/>
          <w:sz w:val="24"/>
        </w:rPr>
        <w:t>able</w:t>
      </w:r>
      <w:r w:rsidRPr="00331E66">
        <w:rPr>
          <w:rFonts w:ascii="Times New Roman" w:hAnsi="Times New Roman" w:cs="Times New Roman"/>
          <w:b/>
          <w:color w:val="231F20"/>
          <w:spacing w:val="-3"/>
          <w:sz w:val="24"/>
        </w:rPr>
        <w:t xml:space="preserve"> 1 (C</w:t>
      </w:r>
      <w:r w:rsidR="005E2686">
        <w:rPr>
          <w:rFonts w:ascii="Times New Roman" w:hAnsi="Times New Roman" w:cs="Times New Roman"/>
          <w:b/>
          <w:color w:val="231F20"/>
          <w:spacing w:val="-3"/>
          <w:sz w:val="24"/>
        </w:rPr>
        <w:t>ontinued</w:t>
      </w:r>
      <w:r w:rsidRPr="00331E66">
        <w:rPr>
          <w:rFonts w:ascii="Times New Roman" w:hAnsi="Times New Roman" w:cs="Times New Roman"/>
          <w:b/>
          <w:color w:val="231F20"/>
          <w:spacing w:val="-3"/>
          <w:sz w:val="24"/>
        </w:rPr>
        <w:t>)</w:t>
      </w:r>
    </w:p>
    <w:p w14:paraId="0E176E58" w14:textId="77777777" w:rsidR="00B61F35" w:rsidRPr="00331E66" w:rsidRDefault="00B61F35" w:rsidP="00B61F35">
      <w:pPr>
        <w:pStyle w:val="BodyText"/>
        <w:jc w:val="center"/>
        <w:rPr>
          <w:rFonts w:cs="Times New Roman"/>
          <w:b/>
          <w:color w:val="231F20"/>
          <w:spacing w:val="-3"/>
          <w:sz w:val="24"/>
          <w:szCs w:val="22"/>
        </w:rPr>
      </w:pPr>
      <w:r w:rsidRPr="00331E66">
        <w:rPr>
          <w:rFonts w:cs="Times New Roman"/>
          <w:b/>
          <w:color w:val="231F20"/>
          <w:spacing w:val="-3"/>
          <w:sz w:val="24"/>
          <w:szCs w:val="22"/>
        </w:rPr>
        <w:t>Panel B: Regression Variables</w:t>
      </w:r>
    </w:p>
    <w:p w14:paraId="33F0EE80" w14:textId="77777777" w:rsidR="00B61F35" w:rsidRPr="00331E66" w:rsidRDefault="00B61F35" w:rsidP="00B61F35">
      <w:pPr>
        <w:pStyle w:val="BodyText"/>
        <w:jc w:val="center"/>
        <w:rPr>
          <w:rFonts w:cs="Times New Roman"/>
          <w:b/>
          <w:color w:val="231F20"/>
          <w:spacing w:val="-3"/>
          <w:sz w:val="24"/>
          <w:szCs w:val="22"/>
        </w:rPr>
      </w:pPr>
    </w:p>
    <w:tbl>
      <w:tblPr>
        <w:tblW w:w="0" w:type="auto"/>
        <w:tblInd w:w="102" w:type="dxa"/>
        <w:tblLayout w:type="fixed"/>
        <w:tblCellMar>
          <w:left w:w="0" w:type="dxa"/>
          <w:right w:w="0" w:type="dxa"/>
        </w:tblCellMar>
        <w:tblLook w:val="01E0" w:firstRow="1" w:lastRow="1" w:firstColumn="1" w:lastColumn="1" w:noHBand="0" w:noVBand="0"/>
      </w:tblPr>
      <w:tblGrid>
        <w:gridCol w:w="1185"/>
        <w:gridCol w:w="561"/>
        <w:gridCol w:w="7332"/>
      </w:tblGrid>
      <w:tr w:rsidR="00B61F35" w:rsidRPr="00331E66" w14:paraId="4D3F1988" w14:textId="77777777" w:rsidTr="00B61F35">
        <w:trPr>
          <w:trHeight w:hRule="exact" w:val="415"/>
        </w:trPr>
        <w:tc>
          <w:tcPr>
            <w:tcW w:w="1185" w:type="dxa"/>
            <w:tcBorders>
              <w:top w:val="single" w:sz="4" w:space="0" w:color="auto"/>
              <w:left w:val="nil"/>
              <w:bottom w:val="single" w:sz="4" w:space="0" w:color="auto"/>
              <w:right w:val="nil"/>
            </w:tcBorders>
          </w:tcPr>
          <w:p w14:paraId="3CFA77BF" w14:textId="77777777" w:rsidR="00B61F35" w:rsidRPr="00703AE0" w:rsidRDefault="00B61F35" w:rsidP="00B61F35">
            <w:pPr>
              <w:pStyle w:val="TableParagraph"/>
              <w:spacing w:before="10"/>
              <w:ind w:left="55"/>
              <w:rPr>
                <w:rFonts w:ascii="Times New Roman" w:hAnsi="Times New Roman" w:cs="Times New Roman"/>
                <w:i/>
                <w:color w:val="231F20"/>
              </w:rPr>
            </w:pPr>
            <w:r w:rsidRPr="00703AE0">
              <w:rPr>
                <w:rFonts w:ascii="Times New Roman" w:hAnsi="Times New Roman" w:cs="Times New Roman"/>
                <w:color w:val="231F20"/>
                <w:spacing w:val="-2"/>
              </w:rPr>
              <w:t>V</w:t>
            </w:r>
            <w:r w:rsidRPr="00703AE0">
              <w:rPr>
                <w:rFonts w:ascii="Times New Roman" w:hAnsi="Times New Roman" w:cs="Times New Roman"/>
                <w:color w:val="231F20"/>
                <w:spacing w:val="-3"/>
              </w:rPr>
              <w:t>ariable</w:t>
            </w:r>
          </w:p>
        </w:tc>
        <w:tc>
          <w:tcPr>
            <w:tcW w:w="561" w:type="dxa"/>
            <w:tcBorders>
              <w:top w:val="single" w:sz="4" w:space="0" w:color="auto"/>
              <w:left w:val="nil"/>
              <w:bottom w:val="single" w:sz="4" w:space="0" w:color="auto"/>
              <w:right w:val="nil"/>
            </w:tcBorders>
          </w:tcPr>
          <w:p w14:paraId="6FD0ACA8" w14:textId="77777777" w:rsidR="00B61F35" w:rsidRPr="00703AE0" w:rsidRDefault="00B61F35" w:rsidP="00B61F35">
            <w:pPr>
              <w:pStyle w:val="TableParagraph"/>
              <w:ind w:left="42"/>
              <w:jc w:val="center"/>
              <w:rPr>
                <w:rFonts w:ascii="Times New Roman" w:eastAsia="Century Gothic" w:hAnsi="Times New Roman" w:cs="Times New Roman"/>
              </w:rPr>
            </w:pPr>
          </w:p>
        </w:tc>
        <w:tc>
          <w:tcPr>
            <w:tcW w:w="7332" w:type="dxa"/>
            <w:tcBorders>
              <w:top w:val="single" w:sz="4" w:space="0" w:color="auto"/>
              <w:left w:val="nil"/>
              <w:bottom w:val="single" w:sz="4" w:space="0" w:color="auto"/>
              <w:right w:val="nil"/>
            </w:tcBorders>
          </w:tcPr>
          <w:p w14:paraId="337C93CE" w14:textId="77777777" w:rsidR="00B61F35" w:rsidRPr="00703AE0" w:rsidRDefault="00B61F35" w:rsidP="00B61F35">
            <w:pPr>
              <w:pStyle w:val="TableParagraph"/>
              <w:spacing w:before="10"/>
              <w:ind w:left="373" w:right="309" w:hanging="180"/>
              <w:jc w:val="center"/>
              <w:rPr>
                <w:rFonts w:ascii="Times New Roman" w:hAnsi="Times New Roman" w:cs="Times New Roman"/>
                <w:color w:val="231F20"/>
              </w:rPr>
            </w:pPr>
            <w:r w:rsidRPr="00703AE0">
              <w:rPr>
                <w:rFonts w:ascii="Times New Roman" w:hAnsi="Times New Roman" w:cs="Times New Roman"/>
                <w:color w:val="231F20"/>
              </w:rPr>
              <w:t>Definition</w:t>
            </w:r>
          </w:p>
        </w:tc>
      </w:tr>
      <w:tr w:rsidR="00B61F35" w:rsidRPr="00331E66" w14:paraId="7B36C9AD" w14:textId="77777777" w:rsidTr="00B61F35">
        <w:trPr>
          <w:trHeight w:hRule="exact" w:val="873"/>
        </w:trPr>
        <w:tc>
          <w:tcPr>
            <w:tcW w:w="1185" w:type="dxa"/>
            <w:tcBorders>
              <w:top w:val="single" w:sz="4" w:space="0" w:color="auto"/>
              <w:left w:val="nil"/>
              <w:bottom w:val="nil"/>
              <w:right w:val="nil"/>
            </w:tcBorders>
          </w:tcPr>
          <w:p w14:paraId="08C34C21" w14:textId="77777777" w:rsidR="00B61F35" w:rsidRPr="00331E66" w:rsidRDefault="00B61F35" w:rsidP="00B61F35">
            <w:pPr>
              <w:pStyle w:val="TableParagraph"/>
              <w:spacing w:before="10"/>
              <w:ind w:left="55"/>
              <w:rPr>
                <w:rFonts w:ascii="Times New Roman" w:eastAsia="Times New Roman" w:hAnsi="Times New Roman" w:cs="Times New Roman"/>
              </w:rPr>
            </w:pPr>
            <w:r w:rsidRPr="00331E66">
              <w:rPr>
                <w:rFonts w:ascii="Times New Roman" w:hAnsi="Times New Roman" w:cs="Times New Roman"/>
                <w:i/>
                <w:color w:val="231F20"/>
              </w:rPr>
              <w:t>LITDUM</w:t>
            </w:r>
          </w:p>
        </w:tc>
        <w:tc>
          <w:tcPr>
            <w:tcW w:w="561" w:type="dxa"/>
            <w:tcBorders>
              <w:top w:val="single" w:sz="4" w:space="0" w:color="auto"/>
              <w:left w:val="nil"/>
              <w:bottom w:val="nil"/>
              <w:right w:val="nil"/>
            </w:tcBorders>
          </w:tcPr>
          <w:p w14:paraId="474C39AC" w14:textId="77777777" w:rsidR="00B61F35" w:rsidRPr="00331E66" w:rsidRDefault="00B61F35" w:rsidP="00B61F35">
            <w:pPr>
              <w:pStyle w:val="TableParagraph"/>
              <w:ind w:left="42"/>
              <w:jc w:val="center"/>
              <w:rPr>
                <w:rFonts w:ascii="Times New Roman" w:eastAsia="Century Gothic" w:hAnsi="Times New Roman" w:cs="Times New Roman"/>
              </w:rPr>
            </w:pPr>
          </w:p>
        </w:tc>
        <w:tc>
          <w:tcPr>
            <w:tcW w:w="7332" w:type="dxa"/>
            <w:tcBorders>
              <w:top w:val="single" w:sz="4" w:space="0" w:color="auto"/>
              <w:left w:val="nil"/>
              <w:bottom w:val="nil"/>
              <w:right w:val="nil"/>
            </w:tcBorders>
          </w:tcPr>
          <w:p w14:paraId="524D515A" w14:textId="77777777" w:rsidR="00B61F35" w:rsidRPr="00331E66" w:rsidRDefault="00B61F35" w:rsidP="00B61F35">
            <w:pPr>
              <w:pStyle w:val="TableParagraph"/>
              <w:spacing w:before="10"/>
              <w:ind w:left="373" w:right="309" w:hanging="180"/>
              <w:jc w:val="both"/>
              <w:rPr>
                <w:rFonts w:ascii="Times New Roman" w:eastAsia="Times New Roman" w:hAnsi="Times New Roman" w:cs="Times New Roman"/>
              </w:rPr>
            </w:pPr>
            <w:r w:rsidRPr="00331E66">
              <w:rPr>
                <w:rFonts w:ascii="Times New Roman" w:hAnsi="Times New Roman" w:cs="Times New Roman"/>
                <w:color w:val="231F20"/>
              </w:rPr>
              <w:t>An</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indicator</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variable</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set</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to</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1</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if</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is</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in</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high litigation</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industry,</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and</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0</w:t>
            </w:r>
            <w:r w:rsidRPr="00331E66">
              <w:rPr>
                <w:rFonts w:ascii="Times New Roman" w:hAnsi="Times New Roman" w:cs="Times New Roman"/>
                <w:color w:val="231F20"/>
                <w:w w:val="99"/>
              </w:rPr>
              <w:t xml:space="preserve"> </w:t>
            </w:r>
            <w:r w:rsidRPr="00331E66">
              <w:rPr>
                <w:rFonts w:ascii="Times New Roman" w:hAnsi="Times New Roman" w:cs="Times New Roman"/>
                <w:color w:val="231F20"/>
              </w:rPr>
              <w:t xml:space="preserve">otherwise. Four-digit SIC codes = 2833–2836, 8731–8734, 7371–7379, 3570–3577, and 3600–3674 </w:t>
            </w:r>
            <w:r w:rsidRPr="00331E66">
              <w:rPr>
                <w:rFonts w:ascii="Times New Roman" w:hAnsi="Times New Roman" w:cs="Times New Roman"/>
                <w:color w:val="231F20"/>
              </w:rPr>
              <w:fldChar w:fldCharType="begin"/>
            </w:r>
            <w:r w:rsidRPr="00331E66">
              <w:rPr>
                <w:rFonts w:ascii="Times New Roman" w:hAnsi="Times New Roman" w:cs="Times New Roman"/>
                <w:color w:val="231F20"/>
              </w:rPr>
              <w:instrText xml:space="preserve"> ADDIN EN.CITE &lt;EndNote&gt;&lt;Cite&gt;&lt;Author&gt;Francis&lt;/Author&gt;&lt;Year&gt;1994&lt;/Year&gt;&lt;RecNum&gt;253&lt;/RecNum&gt;&lt;DisplayText&gt;(Francis et al. 1994)&lt;/DisplayText&gt;&lt;record&gt;&lt;rec-number&gt;253&lt;/rec-number&gt;&lt;foreign-keys&gt;&lt;key app="EN" db-id="0epr20wz6v0vdyes25e5vdd8ssfd2e0srwex" timestamp="1461800398"&gt;253&lt;/key&gt;&lt;/foreign-keys&gt;&lt;ref-type name="Journal Article"&gt;17&lt;/ref-type&gt;&lt;contributors&gt;&lt;authors&gt;&lt;author&gt;Francis, Jennifer&lt;/author&gt;&lt;author&gt;Philbrick, Donna&lt;/author&gt;&lt;author&gt;Schipper, Katherine&lt;/author&gt;&lt;/authors&gt;&lt;/contributors&gt;&lt;titles&gt;&lt;title&gt;Shareholder litigation and corporate disclosures&lt;/title&gt;&lt;secondary-title&gt;Journal of accounting research&lt;/secondary-title&gt;&lt;/titles&gt;&lt;periodical&gt;&lt;full-title&gt;Journal of Accounting Research&lt;/full-title&gt;&lt;/periodical&gt;&lt;pages&gt;137-164&lt;/pages&gt;&lt;dates&gt;&lt;year&gt;1994&lt;/year&gt;&lt;/dates&gt;&lt;isbn&gt;0021-8456&lt;/isbn&gt;&lt;urls&gt;&lt;/urls&gt;&lt;/record&gt;&lt;/Cite&gt;&lt;/EndNote&gt;</w:instrText>
            </w:r>
            <w:r w:rsidRPr="00331E66">
              <w:rPr>
                <w:rFonts w:ascii="Times New Roman" w:hAnsi="Times New Roman" w:cs="Times New Roman"/>
                <w:color w:val="231F20"/>
              </w:rPr>
              <w:fldChar w:fldCharType="separate"/>
            </w:r>
            <w:r w:rsidRPr="00331E66">
              <w:rPr>
                <w:rFonts w:ascii="Times New Roman" w:hAnsi="Times New Roman" w:cs="Times New Roman"/>
                <w:noProof/>
                <w:color w:val="231F20"/>
              </w:rPr>
              <w:t>(Francis et al. 1994)</w:t>
            </w:r>
            <w:r w:rsidRPr="00331E66">
              <w:rPr>
                <w:rFonts w:ascii="Times New Roman" w:hAnsi="Times New Roman" w:cs="Times New Roman"/>
                <w:color w:val="231F20"/>
              </w:rPr>
              <w:fldChar w:fldCharType="end"/>
            </w:r>
            <w:r w:rsidRPr="00331E66">
              <w:rPr>
                <w:rFonts w:ascii="Times New Roman" w:hAnsi="Times New Roman" w:cs="Times New Roman"/>
                <w:color w:val="231F20"/>
              </w:rPr>
              <w:t>.</w:t>
            </w:r>
          </w:p>
        </w:tc>
      </w:tr>
    </w:tbl>
    <w:p w14:paraId="7FE3E5D5" w14:textId="77777777" w:rsidR="00B61F35" w:rsidRPr="00331E66" w:rsidRDefault="00B61F35" w:rsidP="00B61F35">
      <w:pPr>
        <w:tabs>
          <w:tab w:val="left" w:pos="1542"/>
          <w:tab w:val="left" w:pos="2069"/>
        </w:tabs>
        <w:spacing w:before="25" w:line="240" w:lineRule="auto"/>
        <w:ind w:left="2248" w:right="351" w:hanging="2092"/>
        <w:jc w:val="both"/>
        <w:rPr>
          <w:rFonts w:ascii="Times New Roman" w:hAnsi="Times New Roman" w:cs="Times New Roman"/>
          <w:color w:val="231F20"/>
        </w:rPr>
      </w:pPr>
      <w:r w:rsidRPr="00331E66">
        <w:rPr>
          <w:rFonts w:ascii="Times New Roman" w:hAnsi="Times New Roman" w:cs="Times New Roman"/>
          <w:i/>
          <w:color w:val="231F20"/>
        </w:rPr>
        <w:t>REGDUM</w:t>
      </w:r>
      <w:r w:rsidRPr="00331E66">
        <w:rPr>
          <w:rFonts w:ascii="Times New Roman" w:hAnsi="Times New Roman" w:cs="Times New Roman"/>
          <w:i/>
          <w:color w:val="231F20"/>
        </w:rPr>
        <w:tab/>
      </w:r>
      <w:r w:rsidRPr="00331E66">
        <w:rPr>
          <w:rFonts w:ascii="Times New Roman" w:hAnsi="Times New Roman" w:cs="Times New Roman"/>
          <w:color w:val="231F20"/>
          <w:w w:val="110"/>
        </w:rPr>
        <w:tab/>
      </w:r>
      <w:r w:rsidRPr="00331E66">
        <w:rPr>
          <w:rFonts w:ascii="Times New Roman" w:hAnsi="Times New Roman" w:cs="Times New Roman"/>
          <w:color w:val="231F20"/>
        </w:rPr>
        <w:t>An</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indicator</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variable</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set</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to</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1</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if</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is</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in</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highly</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regulated</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industry</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 xml:space="preserve">and 0 otherwise.  Four-digit SIC codes = 4812–4813, 4833, 4841, 4811–4899, 4922–4924, 4931, 4941, 6021–6023, 6035–6036, 6141, 6311, 6321, 6331 </w:t>
      </w:r>
      <w:r w:rsidRPr="00331E66">
        <w:rPr>
          <w:rFonts w:ascii="Times New Roman" w:hAnsi="Times New Roman" w:cs="Times New Roman"/>
          <w:color w:val="231F20"/>
        </w:rPr>
        <w:fldChar w:fldCharType="begin"/>
      </w:r>
      <w:r w:rsidRPr="00331E66">
        <w:rPr>
          <w:rFonts w:ascii="Times New Roman" w:hAnsi="Times New Roman" w:cs="Times New Roman"/>
          <w:color w:val="231F20"/>
        </w:rPr>
        <w:instrText xml:space="preserve"> ADDIN EN.CITE &lt;EndNote&gt;&lt;Cite&gt;&lt;Author&gt;Warfield&lt;/Author&gt;&lt;Year&gt;1995&lt;/Year&gt;&lt;RecNum&gt;389&lt;/RecNum&gt;&lt;DisplayText&gt;(Warfield et al. 1995)&lt;/DisplayText&gt;&lt;record&gt;&lt;rec-number&gt;389&lt;/rec-number&gt;&lt;foreign-keys&gt;&lt;key app="EN" db-id="0epr20wz6v0vdyes25e5vdd8ssfd2e0srwex" timestamp="1461800462"&gt;389&lt;/key&gt;&lt;/foreign-keys&gt;&lt;ref-type name="Journal Article"&gt;17&lt;/ref-type&gt;&lt;contributors&gt;&lt;authors&gt;&lt;author&gt;Warfield, Terry D&lt;/author&gt;&lt;author&gt;Wild, John J&lt;/author&gt;&lt;author&gt;Wild, Kenneth L&lt;/author&gt;&lt;/authors&gt;&lt;/contributors&gt;&lt;titles&gt;&lt;title&gt;Managerial ownership, accounting choices, and informativeness of earnings&lt;/title&gt;&lt;secondary-title&gt;Journal of accounting and economics&lt;/secondary-title&gt;&lt;/titles&gt;&lt;periodical&gt;&lt;full-title&gt;Journal of Accounting and Economics&lt;/full-title&gt;&lt;/periodical&gt;&lt;pages&gt;61-91&lt;/pages&gt;&lt;volume&gt;20&lt;/volume&gt;&lt;number&gt;1&lt;/number&gt;&lt;dates&gt;&lt;year&gt;1995&lt;/year&gt;&lt;/dates&gt;&lt;isbn&gt;0165-4101&lt;/isbn&gt;&lt;urls&gt;&lt;/urls&gt;&lt;/record&gt;&lt;/Cite&gt;&lt;/EndNote&gt;</w:instrText>
      </w:r>
      <w:r w:rsidRPr="00331E66">
        <w:rPr>
          <w:rFonts w:ascii="Times New Roman" w:hAnsi="Times New Roman" w:cs="Times New Roman"/>
          <w:color w:val="231F20"/>
        </w:rPr>
        <w:fldChar w:fldCharType="separate"/>
      </w:r>
      <w:r w:rsidRPr="00331E66">
        <w:rPr>
          <w:rFonts w:ascii="Times New Roman" w:hAnsi="Times New Roman" w:cs="Times New Roman"/>
          <w:noProof/>
          <w:color w:val="231F20"/>
        </w:rPr>
        <w:t>(Warfield et al. 1995)</w:t>
      </w:r>
      <w:r w:rsidRPr="00331E66">
        <w:rPr>
          <w:rFonts w:ascii="Times New Roman" w:hAnsi="Times New Roman" w:cs="Times New Roman"/>
          <w:color w:val="231F20"/>
        </w:rPr>
        <w:fldChar w:fldCharType="end"/>
      </w:r>
      <w:r w:rsidRPr="00331E66">
        <w:rPr>
          <w:rFonts w:ascii="Times New Roman" w:hAnsi="Times New Roman" w:cs="Times New Roman"/>
          <w:color w:val="231F20"/>
        </w:rPr>
        <w:t>.</w:t>
      </w:r>
    </w:p>
    <w:p w14:paraId="64F52379" w14:textId="77777777" w:rsidR="00B61F35" w:rsidRPr="00331E66" w:rsidRDefault="00B61F35" w:rsidP="00B61F35">
      <w:pPr>
        <w:tabs>
          <w:tab w:val="left" w:pos="1542"/>
          <w:tab w:val="left" w:pos="2069"/>
        </w:tabs>
        <w:spacing w:before="25" w:line="240" w:lineRule="auto"/>
        <w:ind w:left="2248" w:right="351" w:hanging="2092"/>
        <w:jc w:val="both"/>
        <w:rPr>
          <w:rFonts w:ascii="Times New Roman" w:eastAsia="Times New Roman" w:hAnsi="Times New Roman" w:cs="Times New Roman"/>
        </w:rPr>
      </w:pPr>
      <w:r w:rsidRPr="00331E66">
        <w:rPr>
          <w:rFonts w:ascii="Times New Roman" w:hAnsi="Times New Roman" w:cs="Times New Roman"/>
          <w:i/>
          <w:color w:val="231F20"/>
          <w:w w:val="95"/>
        </w:rPr>
        <w:t>TAXFEES</w:t>
      </w:r>
      <w:r w:rsidRPr="00331E66">
        <w:rPr>
          <w:rFonts w:ascii="Times New Roman" w:hAnsi="Times New Roman" w:cs="Times New Roman"/>
          <w:i/>
          <w:color w:val="231F20"/>
          <w:w w:val="95"/>
        </w:rPr>
        <w:tab/>
      </w:r>
      <w:r w:rsidRPr="00331E66">
        <w:rPr>
          <w:rFonts w:ascii="Times New Roman" w:hAnsi="Times New Roman" w:cs="Times New Roman"/>
          <w:color w:val="231F20"/>
        </w:rPr>
        <w:tab/>
        <w:t>Ratio</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tax</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fees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to</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total</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fees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paid</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to</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financial</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statement</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auditor</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in</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year</w:t>
      </w:r>
      <w:r w:rsidRPr="00331E66">
        <w:rPr>
          <w:rFonts w:ascii="Times New Roman" w:hAnsi="Times New Roman" w:cs="Times New Roman"/>
          <w:color w:val="231F20"/>
          <w:w w:val="98"/>
        </w:rPr>
        <w:t xml:space="preserve"> </w:t>
      </w:r>
      <w:r w:rsidRPr="00331E66">
        <w:rPr>
          <w:rFonts w:ascii="Times New Roman" w:hAnsi="Times New Roman" w:cs="Times New Roman"/>
          <w:color w:val="231F20"/>
        </w:rPr>
        <w:t>preceding</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FIN</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48</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disclosure.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Audit</w:t>
      </w:r>
      <w:r w:rsidRPr="00331E66">
        <w:rPr>
          <w:rFonts w:ascii="Times New Roman" w:hAnsi="Times New Roman" w:cs="Times New Roman"/>
          <w:color w:val="231F20"/>
          <w:spacing w:val="3"/>
        </w:rPr>
        <w:t xml:space="preserve"> </w:t>
      </w:r>
      <w:r w:rsidRPr="00331E66">
        <w:rPr>
          <w:rFonts w:ascii="Times New Roman" w:hAnsi="Times New Roman" w:cs="Times New Roman"/>
          <w:color w:val="231F20"/>
        </w:rPr>
        <w:t>Analytics</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database.</w:t>
      </w:r>
    </w:p>
    <w:p w14:paraId="2B5EC5FB" w14:textId="77777777" w:rsidR="00B61F35" w:rsidRPr="00331E66" w:rsidRDefault="00B61F35" w:rsidP="00B61F35">
      <w:pPr>
        <w:tabs>
          <w:tab w:val="left" w:pos="1571"/>
        </w:tabs>
        <w:spacing w:before="42" w:line="240" w:lineRule="auto"/>
        <w:ind w:left="2248" w:right="251" w:hanging="2092"/>
        <w:rPr>
          <w:rFonts w:ascii="Times New Roman" w:eastAsia="Times New Roman" w:hAnsi="Times New Roman" w:cs="Times New Roman"/>
        </w:rPr>
      </w:pPr>
      <w:r w:rsidRPr="00331E66">
        <w:rPr>
          <w:rFonts w:ascii="Times New Roman" w:hAnsi="Times New Roman" w:cs="Times New Roman"/>
          <w:i/>
          <w:color w:val="231F20"/>
          <w:w w:val="95"/>
        </w:rPr>
        <w:t>FOROPS</w:t>
      </w:r>
      <w:r w:rsidRPr="00331E66">
        <w:rPr>
          <w:rFonts w:ascii="Times New Roman" w:hAnsi="Times New Roman" w:cs="Times New Roman"/>
          <w:i/>
          <w:color w:val="231F20"/>
          <w:w w:val="95"/>
        </w:rPr>
        <w:tab/>
        <w:t xml:space="preserve"> </w:t>
      </w:r>
      <w:r w:rsidRPr="00331E66">
        <w:rPr>
          <w:rFonts w:ascii="Times New Roman" w:hAnsi="Times New Roman" w:cs="Times New Roman"/>
          <w:color w:val="231F20"/>
        </w:rPr>
        <w:t xml:space="preserve">      </w:t>
      </w:r>
      <w:r w:rsidRPr="00331E66">
        <w:rPr>
          <w:rFonts w:ascii="Times New Roman" w:hAnsi="Times New Roman" w:cs="Times New Roman"/>
          <w:color w:val="231F20"/>
          <w:spacing w:val="19"/>
        </w:rPr>
        <w:t xml:space="preserve"> </w:t>
      </w:r>
      <w:r w:rsidRPr="00331E66">
        <w:rPr>
          <w:rFonts w:ascii="Times New Roman" w:hAnsi="Times New Roman" w:cs="Times New Roman"/>
          <w:color w:val="231F20"/>
        </w:rPr>
        <w:t>Number</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10"/>
        </w:rPr>
        <w:t xml:space="preserve"> </w:t>
      </w:r>
      <w:r w:rsidRPr="00331E66">
        <w:rPr>
          <w:rFonts w:ascii="Times New Roman" w:hAnsi="Times New Roman" w:cs="Times New Roman"/>
          <w:color w:val="231F20"/>
        </w:rPr>
        <w:t>times</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10"/>
        </w:rPr>
        <w:t xml:space="preserve"> </w:t>
      </w:r>
      <w:r w:rsidRPr="00331E66">
        <w:rPr>
          <w:rFonts w:ascii="Times New Roman" w:hAnsi="Times New Roman" w:cs="Times New Roman"/>
          <w:color w:val="231F20"/>
        </w:rPr>
        <w:t>reports</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foreign</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pretax</w:t>
      </w:r>
      <w:r w:rsidRPr="00331E66">
        <w:rPr>
          <w:rFonts w:ascii="Times New Roman" w:hAnsi="Times New Roman" w:cs="Times New Roman"/>
          <w:color w:val="231F20"/>
          <w:spacing w:val="10"/>
        </w:rPr>
        <w:t xml:space="preserve"> </w:t>
      </w:r>
      <w:r w:rsidRPr="00331E66">
        <w:rPr>
          <w:rFonts w:ascii="Times New Roman" w:hAnsi="Times New Roman" w:cs="Times New Roman"/>
          <w:color w:val="231F20"/>
        </w:rPr>
        <w:t>income</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(PIFO)</w:t>
      </w:r>
      <w:r w:rsidRPr="00331E66">
        <w:rPr>
          <w:rFonts w:ascii="Times New Roman" w:hAnsi="Times New Roman" w:cs="Times New Roman"/>
          <w:color w:val="231F20"/>
          <w:spacing w:val="10"/>
        </w:rPr>
        <w:t xml:space="preserve"> </w:t>
      </w:r>
      <w:r w:rsidRPr="00331E66">
        <w:rPr>
          <w:rFonts w:ascii="Times New Roman" w:hAnsi="Times New Roman" w:cs="Times New Roman"/>
          <w:color w:val="231F20"/>
        </w:rPr>
        <w:t>as</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percentage</w:t>
      </w:r>
      <w:r w:rsidRPr="00331E66">
        <w:rPr>
          <w:rFonts w:ascii="Times New Roman" w:hAnsi="Times New Roman" w:cs="Times New Roman"/>
          <w:color w:val="231F20"/>
          <w:spacing w:val="9"/>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23"/>
          <w:w w:val="98"/>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number</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times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a</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firm</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reports</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total</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pretax</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income</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(over</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previous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five</w:t>
      </w:r>
      <w:r w:rsidRPr="00331E66">
        <w:rPr>
          <w:rFonts w:ascii="Times New Roman" w:hAnsi="Times New Roman" w:cs="Times New Roman"/>
          <w:color w:val="231F20"/>
          <w:w w:val="95"/>
        </w:rPr>
        <w:t xml:space="preserve"> </w:t>
      </w:r>
      <w:r w:rsidRPr="00331E66">
        <w:rPr>
          <w:rFonts w:ascii="Times New Roman" w:hAnsi="Times New Roman" w:cs="Times New Roman"/>
          <w:color w:val="231F20"/>
        </w:rPr>
        <w:t>years).</w:t>
      </w:r>
    </w:p>
    <w:p w14:paraId="6DDDECAC" w14:textId="77777777" w:rsidR="00B61F35" w:rsidRPr="00331E66" w:rsidRDefault="00B61F35" w:rsidP="00B61F35">
      <w:pPr>
        <w:tabs>
          <w:tab w:val="left" w:pos="1571"/>
          <w:tab w:val="left" w:pos="2069"/>
        </w:tabs>
        <w:spacing w:before="41" w:line="240" w:lineRule="auto"/>
        <w:ind w:left="2248" w:right="413" w:hanging="2092"/>
        <w:jc w:val="both"/>
        <w:rPr>
          <w:rFonts w:ascii="Times New Roman" w:eastAsia="Times New Roman" w:hAnsi="Times New Roman" w:cs="Times New Roman"/>
        </w:rPr>
      </w:pPr>
      <w:r w:rsidRPr="00331E66">
        <w:rPr>
          <w:rFonts w:ascii="Times New Roman" w:hAnsi="Times New Roman" w:cs="Times New Roman"/>
          <w:i/>
          <w:color w:val="231F20"/>
          <w:w w:val="95"/>
        </w:rPr>
        <w:t>DAYSFILE</w:t>
      </w:r>
      <w:r w:rsidRPr="00331E66">
        <w:rPr>
          <w:rFonts w:ascii="Times New Roman" w:hAnsi="Times New Roman" w:cs="Times New Roman"/>
          <w:i/>
          <w:color w:val="231F20"/>
          <w:w w:val="95"/>
        </w:rPr>
        <w:tab/>
      </w:r>
      <w:r w:rsidRPr="00331E66">
        <w:rPr>
          <w:rFonts w:ascii="Times New Roman" w:hAnsi="Times New Roman" w:cs="Times New Roman"/>
          <w:color w:val="231F20"/>
          <w:w w:val="95"/>
        </w:rPr>
        <w:tab/>
      </w:r>
      <w:r w:rsidRPr="00331E66">
        <w:rPr>
          <w:rFonts w:ascii="Times New Roman" w:hAnsi="Times New Roman" w:cs="Times New Roman"/>
          <w:color w:val="231F20"/>
        </w:rPr>
        <w:t>Number</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days</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between</w:t>
      </w:r>
      <w:r w:rsidRPr="00331E66">
        <w:rPr>
          <w:rFonts w:ascii="Times New Roman" w:hAnsi="Times New Roman" w:cs="Times New Roman"/>
          <w:color w:val="231F20"/>
          <w:spacing w:val="8"/>
        </w:rPr>
        <w:t xml:space="preserve"> </w:t>
      </w:r>
      <w:r w:rsidRPr="00331E66">
        <w:rPr>
          <w:rFonts w:ascii="Times New Roman" w:hAnsi="Times New Roman" w:cs="Times New Roman"/>
          <w:color w:val="231F20"/>
        </w:rPr>
        <w:t>yearend and</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actual</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filing</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date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spacing w:val="1"/>
        </w:rPr>
        <w:t>10-K.</w:t>
      </w:r>
    </w:p>
    <w:p w14:paraId="75CD6F0D" w14:textId="77777777" w:rsidR="00B61F35" w:rsidRPr="00331E66" w:rsidRDefault="00B61F35" w:rsidP="00B61F35">
      <w:pPr>
        <w:tabs>
          <w:tab w:val="left" w:pos="1421"/>
          <w:tab w:val="left" w:pos="2026"/>
        </w:tabs>
        <w:spacing w:before="89" w:line="240" w:lineRule="auto"/>
        <w:ind w:left="2205" w:right="648" w:hanging="2092"/>
        <w:jc w:val="both"/>
        <w:rPr>
          <w:rFonts w:ascii="Times New Roman" w:eastAsia="Times New Roman" w:hAnsi="Times New Roman" w:cs="Times New Roman"/>
        </w:rPr>
      </w:pPr>
      <w:r w:rsidRPr="00331E66">
        <w:rPr>
          <w:rFonts w:ascii="Times New Roman" w:hAnsi="Times New Roman" w:cs="Times New Roman"/>
          <w:i/>
          <w:color w:val="231F20"/>
          <w:w w:val="95"/>
        </w:rPr>
        <w:t>BUS_SEG</w:t>
      </w:r>
      <w:r w:rsidRPr="00331E66">
        <w:rPr>
          <w:rFonts w:ascii="Times New Roman" w:hAnsi="Times New Roman" w:cs="Times New Roman"/>
          <w:i/>
          <w:color w:val="231F20"/>
          <w:w w:val="95"/>
        </w:rPr>
        <w:tab/>
        <w:t xml:space="preserve">   </w:t>
      </w:r>
      <w:r w:rsidRPr="00331E66">
        <w:rPr>
          <w:rFonts w:ascii="Times New Roman" w:hAnsi="Times New Roman" w:cs="Times New Roman"/>
          <w:color w:val="231F20"/>
          <w:w w:val="95"/>
        </w:rPr>
        <w:tab/>
      </w:r>
      <w:r w:rsidRPr="00331E66">
        <w:rPr>
          <w:rFonts w:ascii="Times New Roman" w:hAnsi="Times New Roman" w:cs="Times New Roman"/>
          <w:color w:val="231F20"/>
        </w:rPr>
        <w:t>The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logarithm</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1</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plus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number</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7"/>
        </w:rPr>
        <w:t xml:space="preserve"> </w:t>
      </w:r>
      <w:r w:rsidRPr="00331E66">
        <w:rPr>
          <w:rFonts w:ascii="Times New Roman" w:hAnsi="Times New Roman" w:cs="Times New Roman"/>
          <w:color w:val="231F20"/>
        </w:rPr>
        <w:t>business</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segments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from</w:t>
      </w:r>
      <w:r w:rsidRPr="00331E66">
        <w:rPr>
          <w:rFonts w:ascii="Times New Roman" w:hAnsi="Times New Roman" w:cs="Times New Roman"/>
          <w:color w:val="231F20"/>
          <w:spacing w:val="6"/>
        </w:rPr>
        <w:t xml:space="preserve"> </w:t>
      </w:r>
      <w:proofErr w:type="spellStart"/>
      <w:r w:rsidRPr="00331E66">
        <w:rPr>
          <w:rFonts w:ascii="Times New Roman" w:hAnsi="Times New Roman" w:cs="Times New Roman"/>
          <w:color w:val="231F20"/>
        </w:rPr>
        <w:t>Compustat</w:t>
      </w:r>
      <w:proofErr w:type="spellEnd"/>
      <w:r w:rsidRPr="00331E66">
        <w:rPr>
          <w:rFonts w:ascii="Times New Roman" w:hAnsi="Times New Roman" w:cs="Times New Roman"/>
          <w:color w:val="231F20"/>
          <w:w w:val="98"/>
        </w:rPr>
        <w:t xml:space="preserve"> </w:t>
      </w:r>
      <w:r w:rsidRPr="00331E66">
        <w:rPr>
          <w:rFonts w:ascii="Times New Roman" w:hAnsi="Times New Roman" w:cs="Times New Roman"/>
          <w:color w:val="231F20"/>
        </w:rPr>
        <w:t>segment</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data.</w:t>
      </w:r>
    </w:p>
    <w:p w14:paraId="652A4D91" w14:textId="77777777" w:rsidR="00B61F35" w:rsidRPr="00331E66" w:rsidRDefault="00B61F35" w:rsidP="00B61F35">
      <w:pPr>
        <w:tabs>
          <w:tab w:val="left" w:pos="1421"/>
          <w:tab w:val="left" w:pos="2026"/>
        </w:tabs>
        <w:spacing w:before="41" w:line="240" w:lineRule="auto"/>
        <w:ind w:left="2205" w:right="461" w:hanging="2092"/>
        <w:jc w:val="both"/>
        <w:rPr>
          <w:rFonts w:ascii="Times New Roman" w:hAnsi="Times New Roman" w:cs="Times New Roman"/>
          <w:color w:val="231F20"/>
        </w:rPr>
      </w:pPr>
      <w:r w:rsidRPr="00331E66">
        <w:rPr>
          <w:rFonts w:ascii="Times New Roman" w:hAnsi="Times New Roman" w:cs="Times New Roman"/>
          <w:i/>
          <w:color w:val="231F20"/>
          <w:w w:val="95"/>
        </w:rPr>
        <w:t>GEO_SEG</w:t>
      </w:r>
      <w:r w:rsidRPr="00331E66">
        <w:rPr>
          <w:rFonts w:ascii="Times New Roman" w:hAnsi="Times New Roman" w:cs="Times New Roman"/>
          <w:i/>
          <w:color w:val="231F20"/>
          <w:w w:val="95"/>
        </w:rPr>
        <w:tab/>
        <w:t xml:space="preserve">   </w:t>
      </w:r>
      <w:r w:rsidRPr="00331E66">
        <w:rPr>
          <w:rFonts w:ascii="Times New Roman" w:hAnsi="Times New Roman" w:cs="Times New Roman"/>
          <w:color w:val="231F20"/>
          <w:w w:val="95"/>
        </w:rPr>
        <w:tab/>
      </w:r>
      <w:r w:rsidRPr="00331E66">
        <w:rPr>
          <w:rFonts w:ascii="Times New Roman" w:hAnsi="Times New Roman" w:cs="Times New Roman"/>
          <w:color w:val="231F20"/>
        </w:rPr>
        <w:t>The</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logarithm</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1</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plus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the</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number</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of</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geographic</w:t>
      </w:r>
      <w:r w:rsidRPr="00331E66">
        <w:rPr>
          <w:rFonts w:ascii="Times New Roman" w:hAnsi="Times New Roman" w:cs="Times New Roman"/>
          <w:color w:val="231F20"/>
          <w:spacing w:val="5"/>
        </w:rPr>
        <w:t xml:space="preserve"> </w:t>
      </w:r>
      <w:r w:rsidRPr="00331E66">
        <w:rPr>
          <w:rFonts w:ascii="Times New Roman" w:hAnsi="Times New Roman" w:cs="Times New Roman"/>
          <w:color w:val="231F20"/>
        </w:rPr>
        <w:t>segments</w:t>
      </w:r>
      <w:r w:rsidRPr="00331E66">
        <w:rPr>
          <w:rFonts w:ascii="Times New Roman" w:hAnsi="Times New Roman" w:cs="Times New Roman"/>
          <w:color w:val="231F20"/>
          <w:spacing w:val="6"/>
        </w:rPr>
        <w:t xml:space="preserve"> </w:t>
      </w:r>
      <w:r w:rsidRPr="00331E66">
        <w:rPr>
          <w:rFonts w:ascii="Times New Roman" w:hAnsi="Times New Roman" w:cs="Times New Roman"/>
          <w:color w:val="231F20"/>
        </w:rPr>
        <w:t>from</w:t>
      </w:r>
      <w:r w:rsidRPr="00331E66">
        <w:rPr>
          <w:rFonts w:ascii="Times New Roman" w:hAnsi="Times New Roman" w:cs="Times New Roman"/>
          <w:color w:val="231F20"/>
          <w:spacing w:val="6"/>
        </w:rPr>
        <w:t xml:space="preserve"> </w:t>
      </w:r>
      <w:proofErr w:type="spellStart"/>
      <w:r w:rsidRPr="00331E66">
        <w:rPr>
          <w:rFonts w:ascii="Times New Roman" w:hAnsi="Times New Roman" w:cs="Times New Roman"/>
          <w:color w:val="231F20"/>
        </w:rPr>
        <w:t>Compustat</w:t>
      </w:r>
      <w:proofErr w:type="spellEnd"/>
      <w:r w:rsidRPr="00331E66">
        <w:rPr>
          <w:rFonts w:ascii="Times New Roman" w:hAnsi="Times New Roman" w:cs="Times New Roman"/>
          <w:color w:val="231F20"/>
          <w:w w:val="98"/>
        </w:rPr>
        <w:t xml:space="preserve"> </w:t>
      </w:r>
      <w:r w:rsidRPr="00331E66">
        <w:rPr>
          <w:rFonts w:ascii="Times New Roman" w:hAnsi="Times New Roman" w:cs="Times New Roman"/>
          <w:color w:val="231F20"/>
        </w:rPr>
        <w:t>segment</w:t>
      </w:r>
      <w:r w:rsidRPr="00331E66">
        <w:rPr>
          <w:rFonts w:ascii="Times New Roman" w:hAnsi="Times New Roman" w:cs="Times New Roman"/>
          <w:color w:val="231F20"/>
          <w:spacing w:val="-4"/>
        </w:rPr>
        <w:t xml:space="preserve"> </w:t>
      </w:r>
      <w:r w:rsidRPr="00331E66">
        <w:rPr>
          <w:rFonts w:ascii="Times New Roman" w:hAnsi="Times New Roman" w:cs="Times New Roman"/>
          <w:color w:val="231F20"/>
        </w:rPr>
        <w:t>data.</w:t>
      </w:r>
    </w:p>
    <w:p w14:paraId="22EE99A8" w14:textId="77777777" w:rsidR="00B61F35" w:rsidRPr="00331E66" w:rsidRDefault="00B61F35" w:rsidP="00B61F35">
      <w:pPr>
        <w:widowControl w:val="0"/>
        <w:autoSpaceDE w:val="0"/>
        <w:autoSpaceDN w:val="0"/>
        <w:adjustRightInd w:val="0"/>
        <w:spacing w:after="0" w:line="240" w:lineRule="auto"/>
        <w:ind w:left="-787" w:firstLine="900"/>
        <w:jc w:val="both"/>
        <w:rPr>
          <w:rFonts w:ascii="Times New Roman" w:hAnsi="Times New Roman" w:cs="Times New Roman"/>
        </w:rPr>
      </w:pPr>
      <w:r w:rsidRPr="00331E66">
        <w:rPr>
          <w:rFonts w:ascii="Times New Roman" w:hAnsi="Times New Roman" w:cs="Times New Roman"/>
          <w:i/>
          <w:color w:val="231F20"/>
          <w:w w:val="95"/>
        </w:rPr>
        <w:t>TAXRISK</w:t>
      </w:r>
      <w:r w:rsidRPr="00331E66">
        <w:rPr>
          <w:rFonts w:ascii="Times New Roman" w:hAnsi="Times New Roman" w:cs="Times New Roman"/>
          <w:i/>
          <w:color w:val="231F20"/>
          <w:w w:val="95"/>
        </w:rPr>
        <w:tab/>
        <w:t xml:space="preserve">   </w:t>
      </w:r>
      <w:r w:rsidRPr="00331E66">
        <w:rPr>
          <w:rFonts w:ascii="Times New Roman" w:eastAsia="Times New Roman" w:hAnsi="Times New Roman" w:cs="Times New Roman"/>
        </w:rPr>
        <w:t xml:space="preserve">       The </w:t>
      </w:r>
      <w:r w:rsidRPr="00331E66">
        <w:rPr>
          <w:rFonts w:ascii="Times New Roman" w:hAnsi="Times New Roman" w:cs="Times New Roman"/>
        </w:rPr>
        <w:t xml:space="preserve">standard deviation of annual cash ETRs measured over a five-year period, </w:t>
      </w:r>
    </w:p>
    <w:p w14:paraId="36897DAD" w14:textId="77777777" w:rsidR="00B61F35" w:rsidRPr="00331E66" w:rsidRDefault="00B61F35" w:rsidP="00B61F35">
      <w:pPr>
        <w:widowControl w:val="0"/>
        <w:autoSpaceDE w:val="0"/>
        <w:autoSpaceDN w:val="0"/>
        <w:adjustRightInd w:val="0"/>
        <w:spacing w:after="0" w:line="240" w:lineRule="auto"/>
        <w:ind w:left="1980" w:firstLine="180"/>
        <w:jc w:val="both"/>
        <w:rPr>
          <w:rFonts w:ascii="Times New Roman" w:hAnsi="Times New Roman" w:cs="Times New Roman"/>
        </w:rPr>
      </w:pPr>
      <w:r w:rsidRPr="00331E66">
        <w:rPr>
          <w:rFonts w:ascii="Times New Roman" w:hAnsi="Times New Roman" w:cs="Times New Roman"/>
          <w:i/>
        </w:rPr>
        <w:t>t</w:t>
      </w:r>
      <w:r w:rsidRPr="00331E66">
        <w:rPr>
          <w:rFonts w:ascii="Times New Roman" w:hAnsi="Times New Roman" w:cs="Times New Roman"/>
        </w:rPr>
        <w:t xml:space="preserve">-4 to </w:t>
      </w:r>
      <w:r w:rsidRPr="00331E66">
        <w:rPr>
          <w:rFonts w:ascii="Times New Roman" w:hAnsi="Times New Roman" w:cs="Times New Roman"/>
          <w:i/>
        </w:rPr>
        <w:t>t</w:t>
      </w:r>
      <w:r w:rsidRPr="00331E66">
        <w:rPr>
          <w:rFonts w:ascii="Times New Roman" w:hAnsi="Times New Roman" w:cs="Times New Roman"/>
        </w:rPr>
        <w:t xml:space="preserve">. </w:t>
      </w:r>
    </w:p>
    <w:tbl>
      <w:tblPr>
        <w:tblW w:w="0" w:type="auto"/>
        <w:tblInd w:w="102" w:type="dxa"/>
        <w:tblBorders>
          <w:bottom w:val="single" w:sz="4" w:space="0" w:color="auto"/>
        </w:tblBorders>
        <w:tblLayout w:type="fixed"/>
        <w:tblCellMar>
          <w:left w:w="0" w:type="dxa"/>
          <w:right w:w="0" w:type="dxa"/>
        </w:tblCellMar>
        <w:tblLook w:val="01E0" w:firstRow="1" w:lastRow="1" w:firstColumn="1" w:lastColumn="1" w:noHBand="0" w:noVBand="0"/>
      </w:tblPr>
      <w:tblGrid>
        <w:gridCol w:w="1185"/>
        <w:gridCol w:w="561"/>
        <w:gridCol w:w="7332"/>
      </w:tblGrid>
      <w:tr w:rsidR="00B61F35" w:rsidRPr="00703AE0" w14:paraId="68903F0D" w14:textId="77777777" w:rsidTr="00B61F35">
        <w:trPr>
          <w:trHeight w:hRule="exact" w:val="63"/>
        </w:trPr>
        <w:tc>
          <w:tcPr>
            <w:tcW w:w="1185" w:type="dxa"/>
          </w:tcPr>
          <w:p w14:paraId="53A71FCD" w14:textId="77777777" w:rsidR="00B61F35" w:rsidRPr="00703AE0" w:rsidRDefault="00B61F35" w:rsidP="00B61F35">
            <w:pPr>
              <w:pStyle w:val="TableParagraph"/>
              <w:spacing w:before="10"/>
              <w:ind w:left="55"/>
              <w:rPr>
                <w:rFonts w:ascii="Times New Roman" w:hAnsi="Times New Roman" w:cs="Times New Roman"/>
                <w:i/>
                <w:color w:val="231F20"/>
              </w:rPr>
            </w:pPr>
          </w:p>
        </w:tc>
        <w:tc>
          <w:tcPr>
            <w:tcW w:w="561" w:type="dxa"/>
          </w:tcPr>
          <w:p w14:paraId="4D7BE007" w14:textId="77777777" w:rsidR="00B61F35" w:rsidRPr="00703AE0" w:rsidRDefault="00B61F35" w:rsidP="00B61F35">
            <w:pPr>
              <w:pStyle w:val="TableParagraph"/>
              <w:ind w:left="42"/>
              <w:jc w:val="center"/>
              <w:rPr>
                <w:rFonts w:ascii="Times New Roman" w:eastAsia="Century Gothic" w:hAnsi="Times New Roman" w:cs="Times New Roman"/>
              </w:rPr>
            </w:pPr>
          </w:p>
        </w:tc>
        <w:tc>
          <w:tcPr>
            <w:tcW w:w="7332" w:type="dxa"/>
          </w:tcPr>
          <w:p w14:paraId="244E3D3E" w14:textId="77777777" w:rsidR="00B61F35" w:rsidRPr="00703AE0" w:rsidRDefault="00B61F35" w:rsidP="00B61F35">
            <w:pPr>
              <w:pStyle w:val="TableParagraph"/>
              <w:spacing w:before="10"/>
              <w:ind w:left="373" w:right="309" w:hanging="180"/>
              <w:jc w:val="center"/>
              <w:rPr>
                <w:rFonts w:ascii="Times New Roman" w:hAnsi="Times New Roman" w:cs="Times New Roman"/>
                <w:color w:val="231F20"/>
              </w:rPr>
            </w:pPr>
          </w:p>
        </w:tc>
      </w:tr>
    </w:tbl>
    <w:p w14:paraId="00CFB32A" w14:textId="77777777" w:rsidR="00B61F35" w:rsidRPr="00331E66" w:rsidRDefault="00B61F35" w:rsidP="00B61F35">
      <w:pPr>
        <w:tabs>
          <w:tab w:val="left" w:pos="1421"/>
          <w:tab w:val="left" w:pos="2026"/>
        </w:tabs>
        <w:spacing w:before="41" w:line="240" w:lineRule="auto"/>
        <w:ind w:left="2205" w:right="461" w:hanging="2092"/>
        <w:rPr>
          <w:rFonts w:ascii="Times New Roman" w:eastAsia="Times New Roman" w:hAnsi="Times New Roman" w:cs="Times New Roman"/>
        </w:rPr>
      </w:pPr>
    </w:p>
    <w:p w14:paraId="7D545746" w14:textId="77777777" w:rsidR="00624EE6" w:rsidRPr="00331E66" w:rsidRDefault="00624EE6" w:rsidP="00624EE6">
      <w:pPr>
        <w:rPr>
          <w:rFonts w:ascii="Times New Roman" w:hAnsi="Times New Roman" w:cs="Times New Roman"/>
          <w:b/>
          <w:noProof/>
          <w:sz w:val="24"/>
          <w:szCs w:val="24"/>
        </w:rPr>
      </w:pPr>
      <w:r w:rsidRPr="00331E66">
        <w:rPr>
          <w:rFonts w:ascii="Times New Roman" w:hAnsi="Times New Roman" w:cs="Times New Roman"/>
          <w:b/>
          <w:szCs w:val="24"/>
        </w:rPr>
        <w:br w:type="page"/>
      </w:r>
    </w:p>
    <w:p w14:paraId="27A50E72"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Table 2</w:t>
      </w:r>
    </w:p>
    <w:p w14:paraId="0227E231"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Sample Selection</w:t>
      </w:r>
    </w:p>
    <w:p w14:paraId="4F1D1CCF" w14:textId="77777777" w:rsidR="00624EE6" w:rsidRPr="00331E66" w:rsidRDefault="00624EE6" w:rsidP="00624EE6">
      <w:pPr>
        <w:spacing w:after="0"/>
        <w:jc w:val="center"/>
        <w:rPr>
          <w:rFonts w:ascii="Times New Roman" w:hAnsi="Times New Roman" w:cs="Times New Roman"/>
          <w:b/>
          <w:sz w:val="24"/>
          <w:szCs w:val="24"/>
        </w:rPr>
      </w:pPr>
    </w:p>
    <w:tbl>
      <w:tblPr>
        <w:tblW w:w="8100" w:type="dxa"/>
        <w:tblLook w:val="04A0" w:firstRow="1" w:lastRow="0" w:firstColumn="1" w:lastColumn="0" w:noHBand="0" w:noVBand="1"/>
      </w:tblPr>
      <w:tblGrid>
        <w:gridCol w:w="4670"/>
        <w:gridCol w:w="940"/>
        <w:gridCol w:w="1120"/>
        <w:gridCol w:w="1370"/>
      </w:tblGrid>
      <w:tr w:rsidR="00624EE6" w:rsidRPr="003B4F48" w14:paraId="011EA4CB" w14:textId="77777777" w:rsidTr="005E7AC2">
        <w:trPr>
          <w:trHeight w:val="315"/>
        </w:trPr>
        <w:tc>
          <w:tcPr>
            <w:tcW w:w="4670" w:type="dxa"/>
            <w:tcBorders>
              <w:top w:val="single" w:sz="4" w:space="0" w:color="auto"/>
              <w:left w:val="nil"/>
              <w:bottom w:val="single" w:sz="4" w:space="0" w:color="auto"/>
              <w:right w:val="nil"/>
            </w:tcBorders>
            <w:shd w:val="clear" w:color="auto" w:fill="auto"/>
            <w:noWrap/>
            <w:vAlign w:val="bottom"/>
            <w:hideMark/>
          </w:tcPr>
          <w:p w14:paraId="7E2095F9" w14:textId="77777777" w:rsidR="00624EE6" w:rsidRPr="003B4F48" w:rsidRDefault="00624EE6" w:rsidP="005E7AC2">
            <w:pPr>
              <w:spacing w:after="0" w:line="240" w:lineRule="auto"/>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Criteria</w:t>
            </w:r>
          </w:p>
        </w:tc>
        <w:tc>
          <w:tcPr>
            <w:tcW w:w="940" w:type="dxa"/>
            <w:tcBorders>
              <w:top w:val="single" w:sz="4" w:space="0" w:color="auto"/>
              <w:left w:val="nil"/>
              <w:bottom w:val="single" w:sz="4" w:space="0" w:color="auto"/>
              <w:right w:val="nil"/>
            </w:tcBorders>
            <w:shd w:val="clear" w:color="auto" w:fill="auto"/>
            <w:noWrap/>
            <w:vAlign w:val="bottom"/>
            <w:hideMark/>
          </w:tcPr>
          <w:p w14:paraId="43267F5F"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 </w:t>
            </w:r>
          </w:p>
        </w:tc>
        <w:tc>
          <w:tcPr>
            <w:tcW w:w="1120" w:type="dxa"/>
            <w:tcBorders>
              <w:top w:val="single" w:sz="4" w:space="0" w:color="auto"/>
              <w:left w:val="nil"/>
              <w:bottom w:val="single" w:sz="4" w:space="0" w:color="auto"/>
              <w:right w:val="nil"/>
            </w:tcBorders>
            <w:shd w:val="clear" w:color="auto" w:fill="auto"/>
            <w:noWrap/>
            <w:vAlign w:val="bottom"/>
            <w:hideMark/>
          </w:tcPr>
          <w:p w14:paraId="36F13A8D"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Firms</w:t>
            </w:r>
          </w:p>
        </w:tc>
        <w:tc>
          <w:tcPr>
            <w:tcW w:w="1370" w:type="dxa"/>
            <w:tcBorders>
              <w:top w:val="single" w:sz="4" w:space="0" w:color="auto"/>
              <w:left w:val="nil"/>
              <w:bottom w:val="single" w:sz="4" w:space="0" w:color="auto"/>
              <w:right w:val="nil"/>
            </w:tcBorders>
            <w:shd w:val="clear" w:color="auto" w:fill="auto"/>
            <w:noWrap/>
            <w:vAlign w:val="bottom"/>
            <w:hideMark/>
          </w:tcPr>
          <w:p w14:paraId="5F60014C"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Firm-years</w:t>
            </w:r>
          </w:p>
        </w:tc>
      </w:tr>
      <w:tr w:rsidR="00624EE6" w:rsidRPr="003B4F48" w14:paraId="339E84D7" w14:textId="77777777" w:rsidTr="005E7AC2">
        <w:trPr>
          <w:trHeight w:val="315"/>
        </w:trPr>
        <w:tc>
          <w:tcPr>
            <w:tcW w:w="4670" w:type="dxa"/>
            <w:tcBorders>
              <w:top w:val="nil"/>
              <w:left w:val="nil"/>
              <w:bottom w:val="nil"/>
              <w:right w:val="nil"/>
            </w:tcBorders>
            <w:shd w:val="clear" w:color="auto" w:fill="auto"/>
            <w:noWrap/>
            <w:vAlign w:val="bottom"/>
            <w:hideMark/>
          </w:tcPr>
          <w:p w14:paraId="0FA4AD9B"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2009 S&amp;P 1500 </w:t>
            </w:r>
          </w:p>
        </w:tc>
        <w:tc>
          <w:tcPr>
            <w:tcW w:w="940" w:type="dxa"/>
            <w:tcBorders>
              <w:top w:val="nil"/>
              <w:left w:val="nil"/>
              <w:bottom w:val="nil"/>
              <w:right w:val="nil"/>
            </w:tcBorders>
            <w:shd w:val="clear" w:color="auto" w:fill="auto"/>
            <w:noWrap/>
            <w:vAlign w:val="bottom"/>
            <w:hideMark/>
          </w:tcPr>
          <w:p w14:paraId="3BA4CD14"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3C5C5F54"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1,500</w:t>
            </w:r>
          </w:p>
        </w:tc>
        <w:tc>
          <w:tcPr>
            <w:tcW w:w="1370" w:type="dxa"/>
            <w:tcBorders>
              <w:top w:val="nil"/>
              <w:left w:val="nil"/>
              <w:bottom w:val="nil"/>
              <w:right w:val="nil"/>
            </w:tcBorders>
            <w:shd w:val="clear" w:color="auto" w:fill="auto"/>
            <w:noWrap/>
            <w:vAlign w:val="bottom"/>
            <w:hideMark/>
          </w:tcPr>
          <w:p w14:paraId="3EC2009E"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6E1D9778" w14:textId="77777777" w:rsidTr="005E7AC2">
        <w:trPr>
          <w:trHeight w:val="315"/>
        </w:trPr>
        <w:tc>
          <w:tcPr>
            <w:tcW w:w="4670" w:type="dxa"/>
            <w:tcBorders>
              <w:top w:val="nil"/>
              <w:left w:val="nil"/>
              <w:bottom w:val="nil"/>
              <w:right w:val="nil"/>
            </w:tcBorders>
            <w:shd w:val="clear" w:color="auto" w:fill="auto"/>
            <w:noWrap/>
            <w:vAlign w:val="bottom"/>
            <w:hideMark/>
          </w:tcPr>
          <w:p w14:paraId="635B04F8"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Non-December 31 year-end</w:t>
            </w:r>
          </w:p>
        </w:tc>
        <w:tc>
          <w:tcPr>
            <w:tcW w:w="940" w:type="dxa"/>
            <w:tcBorders>
              <w:top w:val="nil"/>
              <w:left w:val="nil"/>
              <w:bottom w:val="nil"/>
              <w:right w:val="nil"/>
            </w:tcBorders>
            <w:shd w:val="clear" w:color="auto" w:fill="auto"/>
            <w:noWrap/>
            <w:vAlign w:val="bottom"/>
            <w:hideMark/>
          </w:tcPr>
          <w:p w14:paraId="35DA8845"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(450)</w:t>
            </w:r>
          </w:p>
        </w:tc>
        <w:tc>
          <w:tcPr>
            <w:tcW w:w="1120" w:type="dxa"/>
            <w:tcBorders>
              <w:top w:val="nil"/>
              <w:left w:val="nil"/>
              <w:bottom w:val="nil"/>
              <w:right w:val="nil"/>
            </w:tcBorders>
            <w:shd w:val="clear" w:color="auto" w:fill="auto"/>
            <w:noWrap/>
            <w:vAlign w:val="bottom"/>
            <w:hideMark/>
          </w:tcPr>
          <w:p w14:paraId="1BAA814E"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1,050</w:t>
            </w:r>
          </w:p>
        </w:tc>
        <w:tc>
          <w:tcPr>
            <w:tcW w:w="1370" w:type="dxa"/>
            <w:tcBorders>
              <w:top w:val="nil"/>
              <w:left w:val="nil"/>
              <w:bottom w:val="nil"/>
              <w:right w:val="nil"/>
            </w:tcBorders>
            <w:shd w:val="clear" w:color="auto" w:fill="auto"/>
            <w:noWrap/>
            <w:vAlign w:val="bottom"/>
            <w:hideMark/>
          </w:tcPr>
          <w:p w14:paraId="772F56B0"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1689FCC2" w14:textId="77777777" w:rsidTr="005E7AC2">
        <w:trPr>
          <w:trHeight w:val="315"/>
        </w:trPr>
        <w:tc>
          <w:tcPr>
            <w:tcW w:w="4670" w:type="dxa"/>
            <w:tcBorders>
              <w:top w:val="nil"/>
              <w:left w:val="nil"/>
              <w:bottom w:val="nil"/>
              <w:right w:val="nil"/>
            </w:tcBorders>
            <w:shd w:val="clear" w:color="auto" w:fill="auto"/>
            <w:noWrap/>
            <w:vAlign w:val="bottom"/>
            <w:hideMark/>
          </w:tcPr>
          <w:p w14:paraId="0048C86A"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No </w:t>
            </w:r>
            <w:proofErr w:type="spellStart"/>
            <w:r w:rsidRPr="003B4F48">
              <w:rPr>
                <w:rFonts w:ascii="Times New Roman" w:eastAsia="Times New Roman" w:hAnsi="Times New Roman" w:cs="Times New Roman"/>
                <w:color w:val="000000"/>
                <w:sz w:val="24"/>
                <w:szCs w:val="24"/>
              </w:rPr>
              <w:t>Compustat</w:t>
            </w:r>
            <w:proofErr w:type="spellEnd"/>
            <w:r w:rsidRPr="003B4F48">
              <w:rPr>
                <w:rFonts w:ascii="Times New Roman" w:eastAsia="Times New Roman" w:hAnsi="Times New Roman" w:cs="Times New Roman"/>
                <w:color w:val="000000"/>
                <w:sz w:val="24"/>
                <w:szCs w:val="24"/>
              </w:rPr>
              <w:t xml:space="preserve"> Reported UTB balance</w:t>
            </w:r>
          </w:p>
        </w:tc>
        <w:tc>
          <w:tcPr>
            <w:tcW w:w="940" w:type="dxa"/>
            <w:tcBorders>
              <w:top w:val="nil"/>
              <w:left w:val="nil"/>
              <w:bottom w:val="nil"/>
              <w:right w:val="nil"/>
            </w:tcBorders>
            <w:shd w:val="clear" w:color="auto" w:fill="auto"/>
            <w:noWrap/>
            <w:vAlign w:val="bottom"/>
            <w:hideMark/>
          </w:tcPr>
          <w:p w14:paraId="033D3AB1"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(296)</w:t>
            </w:r>
          </w:p>
        </w:tc>
        <w:tc>
          <w:tcPr>
            <w:tcW w:w="1120" w:type="dxa"/>
            <w:tcBorders>
              <w:top w:val="nil"/>
              <w:left w:val="nil"/>
              <w:bottom w:val="nil"/>
              <w:right w:val="nil"/>
            </w:tcBorders>
            <w:shd w:val="clear" w:color="auto" w:fill="auto"/>
            <w:noWrap/>
            <w:vAlign w:val="bottom"/>
            <w:hideMark/>
          </w:tcPr>
          <w:p w14:paraId="5F0143E9"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754 </w:t>
            </w:r>
          </w:p>
        </w:tc>
        <w:tc>
          <w:tcPr>
            <w:tcW w:w="1370" w:type="dxa"/>
            <w:tcBorders>
              <w:top w:val="nil"/>
              <w:left w:val="nil"/>
              <w:bottom w:val="nil"/>
              <w:right w:val="nil"/>
            </w:tcBorders>
            <w:shd w:val="clear" w:color="auto" w:fill="auto"/>
            <w:noWrap/>
            <w:vAlign w:val="bottom"/>
            <w:hideMark/>
          </w:tcPr>
          <w:p w14:paraId="4E971EEB"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36E4D113" w14:textId="77777777" w:rsidTr="005E7AC2">
        <w:trPr>
          <w:trHeight w:val="315"/>
        </w:trPr>
        <w:tc>
          <w:tcPr>
            <w:tcW w:w="4670" w:type="dxa"/>
            <w:tcBorders>
              <w:top w:val="nil"/>
              <w:left w:val="nil"/>
              <w:bottom w:val="nil"/>
              <w:right w:val="nil"/>
            </w:tcBorders>
            <w:shd w:val="clear" w:color="auto" w:fill="auto"/>
            <w:noWrap/>
            <w:vAlign w:val="bottom"/>
            <w:hideMark/>
          </w:tcPr>
          <w:p w14:paraId="46B25AB8"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          (beginning or ending)</w:t>
            </w:r>
          </w:p>
        </w:tc>
        <w:tc>
          <w:tcPr>
            <w:tcW w:w="940" w:type="dxa"/>
            <w:tcBorders>
              <w:top w:val="nil"/>
              <w:left w:val="nil"/>
              <w:bottom w:val="nil"/>
              <w:right w:val="nil"/>
            </w:tcBorders>
            <w:shd w:val="clear" w:color="auto" w:fill="auto"/>
            <w:noWrap/>
            <w:vAlign w:val="bottom"/>
            <w:hideMark/>
          </w:tcPr>
          <w:p w14:paraId="434F202E"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4D926EA9"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1370" w:type="dxa"/>
            <w:tcBorders>
              <w:top w:val="nil"/>
              <w:left w:val="nil"/>
              <w:bottom w:val="nil"/>
              <w:right w:val="nil"/>
            </w:tcBorders>
            <w:shd w:val="clear" w:color="auto" w:fill="auto"/>
            <w:noWrap/>
            <w:vAlign w:val="bottom"/>
            <w:hideMark/>
          </w:tcPr>
          <w:p w14:paraId="05AC1D18"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r>
      <w:tr w:rsidR="00624EE6" w:rsidRPr="003B4F48" w14:paraId="4B3C24BC" w14:textId="77777777" w:rsidTr="005E7AC2">
        <w:trPr>
          <w:trHeight w:val="315"/>
        </w:trPr>
        <w:tc>
          <w:tcPr>
            <w:tcW w:w="4670" w:type="dxa"/>
            <w:tcBorders>
              <w:top w:val="nil"/>
              <w:left w:val="nil"/>
              <w:bottom w:val="nil"/>
              <w:right w:val="nil"/>
            </w:tcBorders>
            <w:shd w:val="clear" w:color="auto" w:fill="auto"/>
            <w:noWrap/>
            <w:vAlign w:val="bottom"/>
            <w:hideMark/>
          </w:tcPr>
          <w:p w14:paraId="033597F4"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Additional observations identified </w:t>
            </w:r>
          </w:p>
        </w:tc>
        <w:tc>
          <w:tcPr>
            <w:tcW w:w="940" w:type="dxa"/>
            <w:tcBorders>
              <w:top w:val="nil"/>
              <w:left w:val="nil"/>
              <w:bottom w:val="nil"/>
              <w:right w:val="nil"/>
            </w:tcBorders>
            <w:shd w:val="clear" w:color="auto" w:fill="auto"/>
            <w:noWrap/>
            <w:vAlign w:val="bottom"/>
            <w:hideMark/>
          </w:tcPr>
          <w:p w14:paraId="3A131B25"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112 </w:t>
            </w:r>
          </w:p>
        </w:tc>
        <w:tc>
          <w:tcPr>
            <w:tcW w:w="1120" w:type="dxa"/>
            <w:tcBorders>
              <w:top w:val="nil"/>
              <w:left w:val="nil"/>
              <w:bottom w:val="nil"/>
              <w:right w:val="nil"/>
            </w:tcBorders>
            <w:shd w:val="clear" w:color="auto" w:fill="auto"/>
            <w:noWrap/>
            <w:vAlign w:val="bottom"/>
            <w:hideMark/>
          </w:tcPr>
          <w:p w14:paraId="0A053A6E"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866 </w:t>
            </w:r>
          </w:p>
        </w:tc>
        <w:tc>
          <w:tcPr>
            <w:tcW w:w="1370" w:type="dxa"/>
            <w:tcBorders>
              <w:top w:val="nil"/>
              <w:left w:val="nil"/>
              <w:bottom w:val="nil"/>
              <w:right w:val="nil"/>
            </w:tcBorders>
            <w:shd w:val="clear" w:color="auto" w:fill="auto"/>
            <w:noWrap/>
            <w:vAlign w:val="bottom"/>
            <w:hideMark/>
          </w:tcPr>
          <w:p w14:paraId="059F4C3B"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18678294" w14:textId="77777777" w:rsidTr="005E7AC2">
        <w:trPr>
          <w:trHeight w:val="315"/>
        </w:trPr>
        <w:tc>
          <w:tcPr>
            <w:tcW w:w="4670" w:type="dxa"/>
            <w:tcBorders>
              <w:top w:val="nil"/>
              <w:left w:val="nil"/>
              <w:bottom w:val="nil"/>
              <w:right w:val="nil"/>
            </w:tcBorders>
            <w:shd w:val="clear" w:color="auto" w:fill="auto"/>
            <w:noWrap/>
            <w:vAlign w:val="bottom"/>
            <w:hideMark/>
          </w:tcPr>
          <w:p w14:paraId="5D5A2E11"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          using Python Coding</w:t>
            </w:r>
          </w:p>
        </w:tc>
        <w:tc>
          <w:tcPr>
            <w:tcW w:w="940" w:type="dxa"/>
            <w:tcBorders>
              <w:top w:val="nil"/>
              <w:left w:val="nil"/>
              <w:bottom w:val="nil"/>
              <w:right w:val="nil"/>
            </w:tcBorders>
            <w:shd w:val="clear" w:color="auto" w:fill="auto"/>
            <w:noWrap/>
            <w:vAlign w:val="bottom"/>
            <w:hideMark/>
          </w:tcPr>
          <w:p w14:paraId="67A61FFC"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6B25F045"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1370" w:type="dxa"/>
            <w:tcBorders>
              <w:top w:val="nil"/>
              <w:left w:val="nil"/>
              <w:bottom w:val="nil"/>
              <w:right w:val="nil"/>
            </w:tcBorders>
            <w:shd w:val="clear" w:color="auto" w:fill="auto"/>
            <w:noWrap/>
            <w:vAlign w:val="bottom"/>
            <w:hideMark/>
          </w:tcPr>
          <w:p w14:paraId="297F6C39"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r>
      <w:tr w:rsidR="00624EE6" w:rsidRPr="003B4F48" w14:paraId="1A91DC0B" w14:textId="77777777" w:rsidTr="005E7AC2">
        <w:trPr>
          <w:trHeight w:val="315"/>
        </w:trPr>
        <w:tc>
          <w:tcPr>
            <w:tcW w:w="4670" w:type="dxa"/>
            <w:tcBorders>
              <w:top w:val="nil"/>
              <w:left w:val="nil"/>
              <w:bottom w:val="nil"/>
              <w:right w:val="nil"/>
            </w:tcBorders>
            <w:shd w:val="clear" w:color="auto" w:fill="auto"/>
            <w:noWrap/>
            <w:vAlign w:val="bottom"/>
            <w:hideMark/>
          </w:tcPr>
          <w:p w14:paraId="56092043"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*Missing FIN 48 disclosure in one or both years</w:t>
            </w:r>
          </w:p>
        </w:tc>
        <w:tc>
          <w:tcPr>
            <w:tcW w:w="940" w:type="dxa"/>
            <w:tcBorders>
              <w:top w:val="nil"/>
              <w:left w:val="nil"/>
              <w:bottom w:val="nil"/>
              <w:right w:val="nil"/>
            </w:tcBorders>
            <w:shd w:val="clear" w:color="auto" w:fill="auto"/>
            <w:noWrap/>
            <w:vAlign w:val="bottom"/>
            <w:hideMark/>
          </w:tcPr>
          <w:p w14:paraId="37278288"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(31)</w:t>
            </w:r>
          </w:p>
        </w:tc>
        <w:tc>
          <w:tcPr>
            <w:tcW w:w="1120" w:type="dxa"/>
            <w:tcBorders>
              <w:top w:val="nil"/>
              <w:left w:val="nil"/>
              <w:bottom w:val="nil"/>
              <w:right w:val="nil"/>
            </w:tcBorders>
            <w:shd w:val="clear" w:color="auto" w:fill="auto"/>
            <w:noWrap/>
            <w:vAlign w:val="bottom"/>
            <w:hideMark/>
          </w:tcPr>
          <w:p w14:paraId="01C76D3B"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835 </w:t>
            </w:r>
          </w:p>
        </w:tc>
        <w:tc>
          <w:tcPr>
            <w:tcW w:w="1370" w:type="dxa"/>
            <w:tcBorders>
              <w:top w:val="nil"/>
              <w:left w:val="nil"/>
              <w:bottom w:val="nil"/>
              <w:right w:val="nil"/>
            </w:tcBorders>
            <w:shd w:val="clear" w:color="auto" w:fill="auto"/>
            <w:noWrap/>
            <w:vAlign w:val="bottom"/>
            <w:hideMark/>
          </w:tcPr>
          <w:p w14:paraId="5AB63165"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56503C15" w14:textId="77777777" w:rsidTr="005E7AC2">
        <w:trPr>
          <w:trHeight w:val="315"/>
        </w:trPr>
        <w:tc>
          <w:tcPr>
            <w:tcW w:w="4670" w:type="dxa"/>
            <w:tcBorders>
              <w:top w:val="nil"/>
              <w:left w:val="nil"/>
              <w:bottom w:val="nil"/>
              <w:right w:val="nil"/>
            </w:tcBorders>
            <w:shd w:val="clear" w:color="auto" w:fill="auto"/>
            <w:noWrap/>
            <w:vAlign w:val="bottom"/>
            <w:hideMark/>
          </w:tcPr>
          <w:p w14:paraId="68B34F23"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Drop observations with missing</w:t>
            </w:r>
          </w:p>
        </w:tc>
        <w:tc>
          <w:tcPr>
            <w:tcW w:w="940" w:type="dxa"/>
            <w:tcBorders>
              <w:top w:val="nil"/>
              <w:left w:val="nil"/>
              <w:bottom w:val="nil"/>
              <w:right w:val="nil"/>
            </w:tcBorders>
            <w:shd w:val="clear" w:color="auto" w:fill="auto"/>
            <w:noWrap/>
            <w:vAlign w:val="bottom"/>
            <w:hideMark/>
          </w:tcPr>
          <w:p w14:paraId="41EFD3F2"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(107)</w:t>
            </w:r>
          </w:p>
        </w:tc>
        <w:tc>
          <w:tcPr>
            <w:tcW w:w="1120" w:type="dxa"/>
            <w:tcBorders>
              <w:top w:val="nil"/>
              <w:left w:val="nil"/>
              <w:bottom w:val="nil"/>
              <w:right w:val="nil"/>
            </w:tcBorders>
            <w:shd w:val="clear" w:color="auto" w:fill="auto"/>
            <w:noWrap/>
            <w:vAlign w:val="bottom"/>
            <w:hideMark/>
          </w:tcPr>
          <w:p w14:paraId="28A2C9C6"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728 </w:t>
            </w:r>
          </w:p>
        </w:tc>
        <w:tc>
          <w:tcPr>
            <w:tcW w:w="1370" w:type="dxa"/>
            <w:tcBorders>
              <w:top w:val="nil"/>
              <w:left w:val="nil"/>
              <w:bottom w:val="nil"/>
              <w:right w:val="nil"/>
            </w:tcBorders>
            <w:shd w:val="clear" w:color="auto" w:fill="auto"/>
            <w:noWrap/>
            <w:vAlign w:val="bottom"/>
            <w:hideMark/>
          </w:tcPr>
          <w:p w14:paraId="08238920"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p>
        </w:tc>
      </w:tr>
      <w:tr w:rsidR="00624EE6" w:rsidRPr="003B4F48" w14:paraId="589C2216" w14:textId="77777777" w:rsidTr="005E7AC2">
        <w:trPr>
          <w:trHeight w:val="315"/>
        </w:trPr>
        <w:tc>
          <w:tcPr>
            <w:tcW w:w="4670" w:type="dxa"/>
            <w:tcBorders>
              <w:top w:val="nil"/>
              <w:left w:val="nil"/>
              <w:bottom w:val="nil"/>
              <w:right w:val="nil"/>
            </w:tcBorders>
            <w:shd w:val="clear" w:color="auto" w:fill="auto"/>
            <w:noWrap/>
            <w:vAlign w:val="bottom"/>
            <w:hideMark/>
          </w:tcPr>
          <w:p w14:paraId="5F1DD8F4"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          regression variables in 2009 or 2010</w:t>
            </w:r>
          </w:p>
        </w:tc>
        <w:tc>
          <w:tcPr>
            <w:tcW w:w="940" w:type="dxa"/>
            <w:tcBorders>
              <w:top w:val="nil"/>
              <w:left w:val="nil"/>
              <w:bottom w:val="nil"/>
              <w:right w:val="nil"/>
            </w:tcBorders>
            <w:shd w:val="clear" w:color="auto" w:fill="auto"/>
            <w:noWrap/>
            <w:vAlign w:val="bottom"/>
            <w:hideMark/>
          </w:tcPr>
          <w:p w14:paraId="1718F4FD"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14:paraId="337B5A6A"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1370" w:type="dxa"/>
            <w:tcBorders>
              <w:top w:val="nil"/>
              <w:left w:val="nil"/>
              <w:bottom w:val="nil"/>
              <w:right w:val="nil"/>
            </w:tcBorders>
            <w:shd w:val="clear" w:color="auto" w:fill="auto"/>
            <w:noWrap/>
            <w:vAlign w:val="bottom"/>
            <w:hideMark/>
          </w:tcPr>
          <w:p w14:paraId="1E485972"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r>
      <w:tr w:rsidR="00624EE6" w:rsidRPr="003B4F48" w14:paraId="05741DBD" w14:textId="77777777" w:rsidTr="005E7AC2">
        <w:trPr>
          <w:trHeight w:val="315"/>
        </w:trPr>
        <w:tc>
          <w:tcPr>
            <w:tcW w:w="4670" w:type="dxa"/>
            <w:tcBorders>
              <w:top w:val="nil"/>
              <w:left w:val="nil"/>
              <w:bottom w:val="single" w:sz="4" w:space="0" w:color="auto"/>
              <w:right w:val="nil"/>
            </w:tcBorders>
            <w:shd w:val="clear" w:color="auto" w:fill="auto"/>
            <w:noWrap/>
            <w:vAlign w:val="bottom"/>
            <w:hideMark/>
          </w:tcPr>
          <w:p w14:paraId="78D47E41"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Final sample for balanced panel 2009-2010</w:t>
            </w:r>
          </w:p>
        </w:tc>
        <w:tc>
          <w:tcPr>
            <w:tcW w:w="940" w:type="dxa"/>
            <w:tcBorders>
              <w:top w:val="nil"/>
              <w:left w:val="nil"/>
              <w:bottom w:val="single" w:sz="4" w:space="0" w:color="auto"/>
              <w:right w:val="nil"/>
            </w:tcBorders>
            <w:shd w:val="clear" w:color="auto" w:fill="auto"/>
            <w:noWrap/>
            <w:vAlign w:val="bottom"/>
            <w:hideMark/>
          </w:tcPr>
          <w:p w14:paraId="0AFC82C5"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w:t>
            </w:r>
          </w:p>
        </w:tc>
        <w:tc>
          <w:tcPr>
            <w:tcW w:w="1120" w:type="dxa"/>
            <w:tcBorders>
              <w:top w:val="nil"/>
              <w:left w:val="nil"/>
              <w:bottom w:val="single" w:sz="4" w:space="0" w:color="auto"/>
              <w:right w:val="nil"/>
            </w:tcBorders>
            <w:shd w:val="clear" w:color="auto" w:fill="auto"/>
            <w:noWrap/>
            <w:vAlign w:val="bottom"/>
            <w:hideMark/>
          </w:tcPr>
          <w:p w14:paraId="14317C7C"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xml:space="preserve">728 </w:t>
            </w:r>
          </w:p>
        </w:tc>
        <w:tc>
          <w:tcPr>
            <w:tcW w:w="1370" w:type="dxa"/>
            <w:tcBorders>
              <w:top w:val="nil"/>
              <w:left w:val="nil"/>
              <w:bottom w:val="single" w:sz="4" w:space="0" w:color="auto"/>
              <w:right w:val="nil"/>
            </w:tcBorders>
            <w:shd w:val="clear" w:color="auto" w:fill="auto"/>
            <w:noWrap/>
            <w:vAlign w:val="bottom"/>
            <w:hideMark/>
          </w:tcPr>
          <w:p w14:paraId="49816E5F"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1,456</w:t>
            </w:r>
          </w:p>
        </w:tc>
      </w:tr>
    </w:tbl>
    <w:p w14:paraId="52A58C5D" w14:textId="77777777" w:rsidR="00624EE6" w:rsidRPr="00331E66" w:rsidRDefault="00624EE6" w:rsidP="00624EE6">
      <w:pPr>
        <w:spacing w:after="0"/>
        <w:ind w:left="-720" w:firstLine="720"/>
        <w:rPr>
          <w:rFonts w:ascii="Times New Roman" w:hAnsi="Times New Roman" w:cs="Times New Roman"/>
        </w:rPr>
      </w:pPr>
      <w:r w:rsidRPr="007775D8">
        <w:rPr>
          <w:rFonts w:ascii="Times New Roman" w:hAnsi="Times New Roman" w:cs="Times New Roman"/>
        </w:rPr>
        <w:t>*FIN 48 Disclosure describes Uncertain Tax Benefits as immaterial and/or missing tabular reconcil</w:t>
      </w:r>
      <w:r>
        <w:rPr>
          <w:rFonts w:ascii="Times New Roman" w:hAnsi="Times New Roman" w:cs="Times New Roman"/>
        </w:rPr>
        <w:t>i</w:t>
      </w:r>
      <w:r w:rsidRPr="007775D8">
        <w:rPr>
          <w:rFonts w:ascii="Times New Roman" w:hAnsi="Times New Roman" w:cs="Times New Roman"/>
        </w:rPr>
        <w:t>ation</w:t>
      </w:r>
    </w:p>
    <w:p w14:paraId="3406A82C" w14:textId="77777777" w:rsidR="00624EE6" w:rsidRPr="00331E66" w:rsidRDefault="00624EE6" w:rsidP="00624EE6">
      <w:pPr>
        <w:spacing w:after="0"/>
        <w:ind w:left="-720" w:firstLine="720"/>
        <w:rPr>
          <w:rFonts w:ascii="Times New Roman" w:hAnsi="Times New Roman" w:cs="Times New Roman"/>
        </w:rPr>
      </w:pPr>
    </w:p>
    <w:p w14:paraId="7E6E7865" w14:textId="77777777" w:rsidR="00624EE6" w:rsidRPr="00331E66" w:rsidRDefault="00624EE6" w:rsidP="00624EE6">
      <w:pPr>
        <w:spacing w:after="0"/>
        <w:ind w:left="-720" w:firstLine="720"/>
        <w:rPr>
          <w:rFonts w:ascii="Times New Roman" w:hAnsi="Times New Roman" w:cs="Times New Roman"/>
          <w:b/>
          <w:sz w:val="24"/>
          <w:szCs w:val="24"/>
        </w:rPr>
      </w:pPr>
    </w:p>
    <w:p w14:paraId="6F0DC7C7" w14:textId="77777777" w:rsidR="00624EE6" w:rsidRPr="00331E66" w:rsidRDefault="00624EE6" w:rsidP="00624EE6">
      <w:pPr>
        <w:rPr>
          <w:rFonts w:ascii="Times New Roman" w:hAnsi="Times New Roman" w:cs="Times New Roman"/>
          <w:b/>
          <w:sz w:val="24"/>
          <w:szCs w:val="24"/>
        </w:rPr>
      </w:pPr>
      <w:r w:rsidRPr="00331E66">
        <w:rPr>
          <w:rFonts w:ascii="Times New Roman" w:hAnsi="Times New Roman" w:cs="Times New Roman"/>
          <w:b/>
          <w:sz w:val="24"/>
          <w:szCs w:val="24"/>
        </w:rPr>
        <w:br w:type="page"/>
      </w:r>
    </w:p>
    <w:p w14:paraId="7EB61EB1"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Table 3</w:t>
      </w:r>
    </w:p>
    <w:p w14:paraId="2BC460D1"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Descriptive Statistics</w:t>
      </w:r>
    </w:p>
    <w:p w14:paraId="27C2F6C9" w14:textId="77777777" w:rsidR="00624EE6" w:rsidRPr="00331E66" w:rsidRDefault="00624EE6" w:rsidP="00624EE6">
      <w:pPr>
        <w:spacing w:after="0"/>
        <w:jc w:val="center"/>
        <w:rPr>
          <w:rFonts w:ascii="Times New Roman" w:hAnsi="Times New Roman" w:cs="Times New Roman"/>
          <w:b/>
          <w:sz w:val="24"/>
          <w:szCs w:val="24"/>
        </w:rPr>
      </w:pPr>
    </w:p>
    <w:p w14:paraId="7D825415" w14:textId="77777777" w:rsidR="00624EE6" w:rsidRDefault="00624EE6" w:rsidP="00624EE6">
      <w:pPr>
        <w:spacing w:after="0"/>
        <w:rPr>
          <w:noProof/>
        </w:rPr>
      </w:pPr>
      <w:r w:rsidRPr="00331E66">
        <w:rPr>
          <w:rFonts w:ascii="Times New Roman" w:hAnsi="Times New Roman" w:cs="Times New Roman"/>
          <w:b/>
          <w:sz w:val="24"/>
          <w:szCs w:val="24"/>
        </w:rPr>
        <w:t>Panel A: Disclosure Scores</w:t>
      </w:r>
    </w:p>
    <w:tbl>
      <w:tblPr>
        <w:tblW w:w="8560" w:type="dxa"/>
        <w:tblLook w:val="04A0" w:firstRow="1" w:lastRow="0" w:firstColumn="1" w:lastColumn="0" w:noHBand="0" w:noVBand="1"/>
      </w:tblPr>
      <w:tblGrid>
        <w:gridCol w:w="1483"/>
        <w:gridCol w:w="1120"/>
        <w:gridCol w:w="1300"/>
        <w:gridCol w:w="1440"/>
        <w:gridCol w:w="867"/>
        <w:gridCol w:w="1550"/>
        <w:gridCol w:w="943"/>
      </w:tblGrid>
      <w:tr w:rsidR="00624EE6" w:rsidRPr="003B4F48" w14:paraId="010D558A" w14:textId="77777777" w:rsidTr="005E7AC2">
        <w:trPr>
          <w:trHeight w:val="315"/>
        </w:trPr>
        <w:tc>
          <w:tcPr>
            <w:tcW w:w="1340" w:type="dxa"/>
            <w:tcBorders>
              <w:top w:val="single" w:sz="4" w:space="0" w:color="auto"/>
              <w:left w:val="nil"/>
              <w:bottom w:val="nil"/>
              <w:right w:val="nil"/>
            </w:tcBorders>
            <w:shd w:val="clear" w:color="auto" w:fill="auto"/>
            <w:noWrap/>
            <w:vAlign w:val="bottom"/>
            <w:hideMark/>
          </w:tcPr>
          <w:p w14:paraId="0BE0AC62" w14:textId="77777777" w:rsidR="00624EE6" w:rsidRPr="003B4F48" w:rsidRDefault="00624EE6" w:rsidP="005E7AC2">
            <w:pPr>
              <w:spacing w:after="0" w:line="240" w:lineRule="auto"/>
              <w:rPr>
                <w:rFonts w:ascii="Times New Roman" w:eastAsia="Times New Roman" w:hAnsi="Times New Roman" w:cs="Times New Roman"/>
                <w:sz w:val="24"/>
                <w:szCs w:val="24"/>
              </w:rPr>
            </w:pPr>
          </w:p>
        </w:tc>
        <w:tc>
          <w:tcPr>
            <w:tcW w:w="1120" w:type="dxa"/>
            <w:tcBorders>
              <w:top w:val="single" w:sz="4" w:space="0" w:color="auto"/>
              <w:left w:val="nil"/>
              <w:bottom w:val="nil"/>
              <w:right w:val="nil"/>
            </w:tcBorders>
            <w:shd w:val="clear" w:color="auto" w:fill="auto"/>
            <w:noWrap/>
            <w:vAlign w:val="bottom"/>
            <w:hideMark/>
          </w:tcPr>
          <w:p w14:paraId="4541DDBB"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300" w:type="dxa"/>
            <w:tcBorders>
              <w:top w:val="single" w:sz="4" w:space="0" w:color="auto"/>
              <w:left w:val="nil"/>
              <w:bottom w:val="nil"/>
              <w:right w:val="nil"/>
            </w:tcBorders>
            <w:shd w:val="clear" w:color="auto" w:fill="auto"/>
            <w:noWrap/>
            <w:vAlign w:val="bottom"/>
            <w:hideMark/>
          </w:tcPr>
          <w:p w14:paraId="0AE41645"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single" w:sz="4" w:space="0" w:color="auto"/>
              <w:left w:val="nil"/>
              <w:bottom w:val="nil"/>
              <w:right w:val="nil"/>
            </w:tcBorders>
            <w:shd w:val="clear" w:color="auto" w:fill="auto"/>
            <w:noWrap/>
            <w:vAlign w:val="bottom"/>
            <w:hideMark/>
          </w:tcPr>
          <w:p w14:paraId="6B37058B"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3360" w:type="dxa"/>
            <w:gridSpan w:val="3"/>
            <w:tcBorders>
              <w:top w:val="single" w:sz="4" w:space="0" w:color="auto"/>
              <w:left w:val="nil"/>
              <w:bottom w:val="nil"/>
              <w:right w:val="nil"/>
            </w:tcBorders>
            <w:shd w:val="clear" w:color="auto" w:fill="auto"/>
            <w:noWrap/>
            <w:vAlign w:val="bottom"/>
            <w:hideMark/>
          </w:tcPr>
          <w:p w14:paraId="38DC9357"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Range of Disclosure Scores</w:t>
            </w:r>
          </w:p>
        </w:tc>
      </w:tr>
      <w:tr w:rsidR="00624EE6" w:rsidRPr="003B4F48" w14:paraId="7018FA10" w14:textId="77777777" w:rsidTr="005E7AC2">
        <w:trPr>
          <w:trHeight w:val="315"/>
        </w:trPr>
        <w:tc>
          <w:tcPr>
            <w:tcW w:w="1340" w:type="dxa"/>
            <w:tcBorders>
              <w:top w:val="nil"/>
              <w:left w:val="nil"/>
              <w:bottom w:val="single" w:sz="4" w:space="0" w:color="auto"/>
              <w:right w:val="nil"/>
            </w:tcBorders>
            <w:shd w:val="clear" w:color="auto" w:fill="auto"/>
            <w:noWrap/>
            <w:vAlign w:val="bottom"/>
            <w:hideMark/>
          </w:tcPr>
          <w:p w14:paraId="779735F1"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Variable</w:t>
            </w:r>
          </w:p>
        </w:tc>
        <w:tc>
          <w:tcPr>
            <w:tcW w:w="1120" w:type="dxa"/>
            <w:tcBorders>
              <w:top w:val="nil"/>
              <w:left w:val="nil"/>
              <w:bottom w:val="single" w:sz="4" w:space="0" w:color="auto"/>
              <w:right w:val="nil"/>
            </w:tcBorders>
            <w:shd w:val="clear" w:color="auto" w:fill="auto"/>
            <w:noWrap/>
            <w:vAlign w:val="bottom"/>
            <w:hideMark/>
          </w:tcPr>
          <w:p w14:paraId="7EFD6233"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n</w:t>
            </w:r>
          </w:p>
        </w:tc>
        <w:tc>
          <w:tcPr>
            <w:tcW w:w="1300" w:type="dxa"/>
            <w:tcBorders>
              <w:top w:val="nil"/>
              <w:left w:val="nil"/>
              <w:bottom w:val="single" w:sz="4" w:space="0" w:color="auto"/>
              <w:right w:val="nil"/>
            </w:tcBorders>
            <w:shd w:val="clear" w:color="auto" w:fill="auto"/>
            <w:noWrap/>
            <w:vAlign w:val="bottom"/>
            <w:hideMark/>
          </w:tcPr>
          <w:p w14:paraId="59AD2973"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Mean</w:t>
            </w:r>
          </w:p>
        </w:tc>
        <w:tc>
          <w:tcPr>
            <w:tcW w:w="1440" w:type="dxa"/>
            <w:tcBorders>
              <w:top w:val="nil"/>
              <w:left w:val="nil"/>
              <w:bottom w:val="single" w:sz="4" w:space="0" w:color="auto"/>
              <w:right w:val="nil"/>
            </w:tcBorders>
            <w:shd w:val="clear" w:color="auto" w:fill="auto"/>
            <w:noWrap/>
            <w:vAlign w:val="bottom"/>
            <w:hideMark/>
          </w:tcPr>
          <w:p w14:paraId="631C0268"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S.D.</w:t>
            </w:r>
          </w:p>
        </w:tc>
        <w:tc>
          <w:tcPr>
            <w:tcW w:w="867" w:type="dxa"/>
            <w:tcBorders>
              <w:top w:val="nil"/>
              <w:left w:val="nil"/>
              <w:bottom w:val="single" w:sz="4" w:space="0" w:color="auto"/>
              <w:right w:val="nil"/>
            </w:tcBorders>
            <w:shd w:val="clear" w:color="auto" w:fill="auto"/>
            <w:noWrap/>
            <w:vAlign w:val="bottom"/>
            <w:hideMark/>
          </w:tcPr>
          <w:p w14:paraId="4495439F"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Min</w:t>
            </w:r>
          </w:p>
        </w:tc>
        <w:tc>
          <w:tcPr>
            <w:tcW w:w="1550" w:type="dxa"/>
            <w:tcBorders>
              <w:top w:val="nil"/>
              <w:left w:val="nil"/>
              <w:bottom w:val="single" w:sz="4" w:space="0" w:color="auto"/>
              <w:right w:val="nil"/>
            </w:tcBorders>
            <w:shd w:val="clear" w:color="auto" w:fill="auto"/>
            <w:noWrap/>
            <w:vAlign w:val="bottom"/>
            <w:hideMark/>
          </w:tcPr>
          <w:p w14:paraId="2D4FFD8F"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Median</w:t>
            </w:r>
          </w:p>
        </w:tc>
        <w:tc>
          <w:tcPr>
            <w:tcW w:w="943" w:type="dxa"/>
            <w:tcBorders>
              <w:top w:val="nil"/>
              <w:left w:val="nil"/>
              <w:bottom w:val="single" w:sz="4" w:space="0" w:color="auto"/>
              <w:right w:val="nil"/>
            </w:tcBorders>
            <w:shd w:val="clear" w:color="auto" w:fill="auto"/>
            <w:noWrap/>
            <w:vAlign w:val="bottom"/>
            <w:hideMark/>
          </w:tcPr>
          <w:p w14:paraId="70BF25C5"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Max</w:t>
            </w:r>
          </w:p>
        </w:tc>
      </w:tr>
      <w:tr w:rsidR="00624EE6" w:rsidRPr="003B4F48" w14:paraId="198D1A81" w14:textId="77777777" w:rsidTr="005E7AC2">
        <w:trPr>
          <w:trHeight w:val="315"/>
        </w:trPr>
        <w:tc>
          <w:tcPr>
            <w:tcW w:w="1340" w:type="dxa"/>
            <w:tcBorders>
              <w:top w:val="nil"/>
              <w:left w:val="nil"/>
              <w:bottom w:val="nil"/>
              <w:right w:val="nil"/>
            </w:tcBorders>
            <w:shd w:val="clear" w:color="auto" w:fill="auto"/>
            <w:noWrap/>
            <w:vAlign w:val="bottom"/>
            <w:hideMark/>
          </w:tcPr>
          <w:p w14:paraId="093E2FA0"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120" w:type="dxa"/>
            <w:tcBorders>
              <w:top w:val="nil"/>
              <w:left w:val="nil"/>
              <w:bottom w:val="nil"/>
              <w:right w:val="nil"/>
            </w:tcBorders>
            <w:shd w:val="clear" w:color="auto" w:fill="auto"/>
            <w:noWrap/>
            <w:vAlign w:val="bottom"/>
            <w:hideMark/>
          </w:tcPr>
          <w:p w14:paraId="31B5D1B0"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73A0822"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7856C6DB"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867" w:type="dxa"/>
            <w:tcBorders>
              <w:top w:val="nil"/>
              <w:left w:val="nil"/>
              <w:bottom w:val="nil"/>
              <w:right w:val="nil"/>
            </w:tcBorders>
            <w:shd w:val="clear" w:color="auto" w:fill="auto"/>
            <w:noWrap/>
            <w:vAlign w:val="bottom"/>
            <w:hideMark/>
          </w:tcPr>
          <w:p w14:paraId="3417BCD7"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550" w:type="dxa"/>
            <w:tcBorders>
              <w:top w:val="nil"/>
              <w:left w:val="nil"/>
              <w:bottom w:val="nil"/>
              <w:right w:val="nil"/>
            </w:tcBorders>
            <w:shd w:val="clear" w:color="auto" w:fill="auto"/>
            <w:noWrap/>
            <w:vAlign w:val="bottom"/>
            <w:hideMark/>
          </w:tcPr>
          <w:p w14:paraId="0DB4528F"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943" w:type="dxa"/>
            <w:tcBorders>
              <w:top w:val="nil"/>
              <w:left w:val="nil"/>
              <w:bottom w:val="nil"/>
              <w:right w:val="nil"/>
            </w:tcBorders>
            <w:shd w:val="clear" w:color="auto" w:fill="auto"/>
            <w:noWrap/>
            <w:vAlign w:val="bottom"/>
            <w:hideMark/>
          </w:tcPr>
          <w:p w14:paraId="59CFF23E" w14:textId="77777777" w:rsidR="00624EE6" w:rsidRPr="003B4F48" w:rsidRDefault="00624EE6" w:rsidP="005E7AC2">
            <w:pPr>
              <w:spacing w:after="0" w:line="240" w:lineRule="auto"/>
              <w:rPr>
                <w:rFonts w:ascii="Times New Roman" w:eastAsia="Times New Roman" w:hAnsi="Times New Roman" w:cs="Times New Roman"/>
                <w:sz w:val="20"/>
                <w:szCs w:val="20"/>
              </w:rPr>
            </w:pPr>
          </w:p>
        </w:tc>
      </w:tr>
      <w:tr w:rsidR="00624EE6" w:rsidRPr="003B4F48" w14:paraId="2FFDB02A" w14:textId="77777777" w:rsidTr="005E7AC2">
        <w:trPr>
          <w:trHeight w:val="315"/>
        </w:trPr>
        <w:tc>
          <w:tcPr>
            <w:tcW w:w="1340" w:type="dxa"/>
            <w:tcBorders>
              <w:top w:val="nil"/>
              <w:left w:val="nil"/>
              <w:right w:val="nil"/>
            </w:tcBorders>
            <w:shd w:val="clear" w:color="auto" w:fill="auto"/>
            <w:noWrap/>
            <w:vAlign w:val="bottom"/>
            <w:hideMark/>
          </w:tcPr>
          <w:p w14:paraId="553E8281"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COMPLETE</w:t>
            </w:r>
          </w:p>
        </w:tc>
        <w:tc>
          <w:tcPr>
            <w:tcW w:w="1120" w:type="dxa"/>
            <w:tcBorders>
              <w:top w:val="nil"/>
              <w:left w:val="nil"/>
              <w:right w:val="nil"/>
            </w:tcBorders>
            <w:shd w:val="clear" w:color="auto" w:fill="auto"/>
            <w:noWrap/>
            <w:vAlign w:val="bottom"/>
            <w:hideMark/>
          </w:tcPr>
          <w:p w14:paraId="5A217F2E"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1456</w:t>
            </w:r>
          </w:p>
        </w:tc>
        <w:tc>
          <w:tcPr>
            <w:tcW w:w="1300" w:type="dxa"/>
            <w:tcBorders>
              <w:top w:val="nil"/>
              <w:left w:val="nil"/>
              <w:right w:val="nil"/>
            </w:tcBorders>
            <w:shd w:val="clear" w:color="auto" w:fill="auto"/>
            <w:noWrap/>
            <w:vAlign w:val="bottom"/>
            <w:hideMark/>
          </w:tcPr>
          <w:p w14:paraId="5218EC44"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5</w:t>
            </w:r>
          </w:p>
        </w:tc>
        <w:tc>
          <w:tcPr>
            <w:tcW w:w="1440" w:type="dxa"/>
            <w:tcBorders>
              <w:top w:val="nil"/>
              <w:left w:val="nil"/>
              <w:right w:val="nil"/>
            </w:tcBorders>
            <w:shd w:val="clear" w:color="auto" w:fill="auto"/>
            <w:noWrap/>
            <w:vAlign w:val="bottom"/>
            <w:hideMark/>
          </w:tcPr>
          <w:p w14:paraId="212CBD67"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0.62</w:t>
            </w:r>
          </w:p>
        </w:tc>
        <w:tc>
          <w:tcPr>
            <w:tcW w:w="867" w:type="dxa"/>
            <w:tcBorders>
              <w:top w:val="nil"/>
              <w:left w:val="nil"/>
              <w:right w:val="nil"/>
            </w:tcBorders>
            <w:shd w:val="clear" w:color="auto" w:fill="auto"/>
            <w:noWrap/>
            <w:vAlign w:val="bottom"/>
            <w:hideMark/>
          </w:tcPr>
          <w:p w14:paraId="4C6AE3F2"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w:t>
            </w:r>
          </w:p>
        </w:tc>
        <w:tc>
          <w:tcPr>
            <w:tcW w:w="1550" w:type="dxa"/>
            <w:tcBorders>
              <w:top w:val="nil"/>
              <w:left w:val="nil"/>
              <w:right w:val="nil"/>
            </w:tcBorders>
            <w:shd w:val="clear" w:color="auto" w:fill="auto"/>
            <w:noWrap/>
            <w:vAlign w:val="bottom"/>
            <w:hideMark/>
          </w:tcPr>
          <w:p w14:paraId="3BB7985A"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5</w:t>
            </w:r>
          </w:p>
        </w:tc>
        <w:tc>
          <w:tcPr>
            <w:tcW w:w="943" w:type="dxa"/>
            <w:tcBorders>
              <w:top w:val="nil"/>
              <w:left w:val="nil"/>
              <w:right w:val="nil"/>
            </w:tcBorders>
            <w:shd w:val="clear" w:color="auto" w:fill="auto"/>
            <w:noWrap/>
            <w:vAlign w:val="bottom"/>
            <w:hideMark/>
          </w:tcPr>
          <w:p w14:paraId="0D5C7B95"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6</w:t>
            </w:r>
          </w:p>
        </w:tc>
      </w:tr>
      <w:tr w:rsidR="00624EE6" w:rsidRPr="003B4F48" w14:paraId="405B314B" w14:textId="77777777" w:rsidTr="005E7AC2">
        <w:trPr>
          <w:trHeight w:val="315"/>
        </w:trPr>
        <w:tc>
          <w:tcPr>
            <w:tcW w:w="1340" w:type="dxa"/>
            <w:tcBorders>
              <w:top w:val="nil"/>
              <w:left w:val="nil"/>
              <w:bottom w:val="single" w:sz="4" w:space="0" w:color="auto"/>
              <w:right w:val="nil"/>
            </w:tcBorders>
            <w:shd w:val="clear" w:color="auto" w:fill="auto"/>
            <w:noWrap/>
            <w:vAlign w:val="bottom"/>
            <w:hideMark/>
          </w:tcPr>
          <w:p w14:paraId="325BF51B"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CLARITY</w:t>
            </w:r>
          </w:p>
        </w:tc>
        <w:tc>
          <w:tcPr>
            <w:tcW w:w="1120" w:type="dxa"/>
            <w:tcBorders>
              <w:top w:val="nil"/>
              <w:left w:val="nil"/>
              <w:bottom w:val="single" w:sz="4" w:space="0" w:color="auto"/>
              <w:right w:val="nil"/>
            </w:tcBorders>
            <w:shd w:val="clear" w:color="auto" w:fill="auto"/>
            <w:noWrap/>
            <w:vAlign w:val="bottom"/>
            <w:hideMark/>
          </w:tcPr>
          <w:p w14:paraId="0CD6C8F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1456</w:t>
            </w:r>
          </w:p>
        </w:tc>
        <w:tc>
          <w:tcPr>
            <w:tcW w:w="1300" w:type="dxa"/>
            <w:tcBorders>
              <w:top w:val="nil"/>
              <w:left w:val="nil"/>
              <w:bottom w:val="single" w:sz="4" w:space="0" w:color="auto"/>
              <w:right w:val="nil"/>
            </w:tcBorders>
            <w:shd w:val="clear" w:color="auto" w:fill="auto"/>
            <w:noWrap/>
            <w:vAlign w:val="bottom"/>
            <w:hideMark/>
          </w:tcPr>
          <w:p w14:paraId="26E8F331"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1.19</w:t>
            </w:r>
          </w:p>
        </w:tc>
        <w:tc>
          <w:tcPr>
            <w:tcW w:w="1440" w:type="dxa"/>
            <w:tcBorders>
              <w:top w:val="nil"/>
              <w:left w:val="nil"/>
              <w:bottom w:val="single" w:sz="4" w:space="0" w:color="auto"/>
              <w:right w:val="nil"/>
            </w:tcBorders>
            <w:shd w:val="clear" w:color="auto" w:fill="auto"/>
            <w:noWrap/>
            <w:vAlign w:val="bottom"/>
            <w:hideMark/>
          </w:tcPr>
          <w:p w14:paraId="51C66682"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0.93</w:t>
            </w:r>
          </w:p>
        </w:tc>
        <w:tc>
          <w:tcPr>
            <w:tcW w:w="867" w:type="dxa"/>
            <w:tcBorders>
              <w:top w:val="nil"/>
              <w:left w:val="nil"/>
              <w:bottom w:val="single" w:sz="4" w:space="0" w:color="auto"/>
              <w:right w:val="nil"/>
            </w:tcBorders>
            <w:shd w:val="clear" w:color="auto" w:fill="auto"/>
            <w:noWrap/>
            <w:vAlign w:val="bottom"/>
            <w:hideMark/>
          </w:tcPr>
          <w:p w14:paraId="43575C8C"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w:t>
            </w:r>
          </w:p>
        </w:tc>
        <w:tc>
          <w:tcPr>
            <w:tcW w:w="1550" w:type="dxa"/>
            <w:tcBorders>
              <w:top w:val="nil"/>
              <w:left w:val="nil"/>
              <w:bottom w:val="single" w:sz="4" w:space="0" w:color="auto"/>
              <w:right w:val="nil"/>
            </w:tcBorders>
            <w:shd w:val="clear" w:color="auto" w:fill="auto"/>
            <w:noWrap/>
            <w:vAlign w:val="bottom"/>
            <w:hideMark/>
          </w:tcPr>
          <w:p w14:paraId="0986401A"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w:t>
            </w:r>
          </w:p>
        </w:tc>
        <w:tc>
          <w:tcPr>
            <w:tcW w:w="943" w:type="dxa"/>
            <w:tcBorders>
              <w:top w:val="nil"/>
              <w:left w:val="nil"/>
              <w:bottom w:val="single" w:sz="4" w:space="0" w:color="auto"/>
              <w:right w:val="nil"/>
            </w:tcBorders>
            <w:shd w:val="clear" w:color="auto" w:fill="auto"/>
            <w:noWrap/>
            <w:vAlign w:val="bottom"/>
            <w:hideMark/>
          </w:tcPr>
          <w:p w14:paraId="7E55E5B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4</w:t>
            </w:r>
          </w:p>
        </w:tc>
      </w:tr>
    </w:tbl>
    <w:p w14:paraId="057ED58E" w14:textId="77777777" w:rsidR="00624EE6" w:rsidRPr="00331E66" w:rsidRDefault="00624EE6" w:rsidP="00624EE6">
      <w:pPr>
        <w:spacing w:after="0"/>
        <w:rPr>
          <w:rFonts w:ascii="Times New Roman" w:hAnsi="Times New Roman" w:cs="Times New Roman"/>
          <w:bCs/>
          <w:sz w:val="20"/>
          <w:szCs w:val="24"/>
        </w:rPr>
      </w:pPr>
      <w:r w:rsidRPr="00331E66">
        <w:rPr>
          <w:rFonts w:ascii="Times New Roman" w:hAnsi="Times New Roman" w:cs="Times New Roman"/>
          <w:bCs/>
          <w:sz w:val="20"/>
          <w:szCs w:val="24"/>
        </w:rPr>
        <w:t>Notes: This panel presents descriptive statistics for disclosure scores for the entire sample.</w:t>
      </w:r>
    </w:p>
    <w:p w14:paraId="6DD34AC0" w14:textId="734D918D" w:rsidR="00624EE6" w:rsidRPr="00331E66" w:rsidRDefault="00624EE6" w:rsidP="00624EE6">
      <w:pPr>
        <w:spacing w:after="0"/>
        <w:rPr>
          <w:rFonts w:ascii="Times New Roman" w:hAnsi="Times New Roman" w:cs="Times New Roman"/>
          <w:bCs/>
          <w:sz w:val="20"/>
          <w:szCs w:val="24"/>
        </w:rPr>
      </w:pPr>
      <w:r w:rsidRPr="00331E66">
        <w:rPr>
          <w:rFonts w:ascii="Times New Roman" w:hAnsi="Times New Roman" w:cs="Times New Roman"/>
          <w:bCs/>
          <w:sz w:val="20"/>
          <w:szCs w:val="24"/>
        </w:rPr>
        <w:t>COMPLETE = The sum of six required disclosure score components (see Appendix</w:t>
      </w:r>
      <w:r>
        <w:rPr>
          <w:rFonts w:ascii="Times New Roman" w:hAnsi="Times New Roman" w:cs="Times New Roman"/>
          <w:bCs/>
          <w:sz w:val="20"/>
          <w:szCs w:val="24"/>
        </w:rPr>
        <w:t xml:space="preserve"> </w:t>
      </w:r>
      <w:r w:rsidR="00C3183E">
        <w:rPr>
          <w:rFonts w:ascii="Times New Roman" w:hAnsi="Times New Roman" w:cs="Times New Roman"/>
          <w:bCs/>
          <w:sz w:val="20"/>
          <w:szCs w:val="24"/>
        </w:rPr>
        <w:t>A</w:t>
      </w:r>
      <w:r w:rsidRPr="00331E66">
        <w:rPr>
          <w:rFonts w:ascii="Times New Roman" w:hAnsi="Times New Roman" w:cs="Times New Roman"/>
          <w:bCs/>
          <w:sz w:val="20"/>
          <w:szCs w:val="24"/>
        </w:rPr>
        <w:t>); CLARITY = The sum of four discretionary disclosure score components (see Appendix</w:t>
      </w:r>
      <w:r>
        <w:rPr>
          <w:rFonts w:ascii="Times New Roman" w:hAnsi="Times New Roman" w:cs="Times New Roman"/>
          <w:bCs/>
          <w:sz w:val="20"/>
          <w:szCs w:val="24"/>
        </w:rPr>
        <w:t xml:space="preserve"> </w:t>
      </w:r>
      <w:r w:rsidR="00C3183E">
        <w:rPr>
          <w:rFonts w:ascii="Times New Roman" w:hAnsi="Times New Roman" w:cs="Times New Roman"/>
          <w:bCs/>
          <w:sz w:val="20"/>
          <w:szCs w:val="24"/>
        </w:rPr>
        <w:t>A</w:t>
      </w:r>
      <w:r>
        <w:rPr>
          <w:rFonts w:ascii="Times New Roman" w:hAnsi="Times New Roman" w:cs="Times New Roman"/>
          <w:bCs/>
          <w:sz w:val="20"/>
          <w:szCs w:val="24"/>
        </w:rPr>
        <w:t>).</w:t>
      </w:r>
    </w:p>
    <w:p w14:paraId="5DE7A15B" w14:textId="77777777" w:rsidR="00624EE6" w:rsidRPr="00331E66" w:rsidRDefault="00624EE6" w:rsidP="00624EE6">
      <w:pPr>
        <w:spacing w:after="0"/>
        <w:rPr>
          <w:rFonts w:ascii="Times New Roman" w:hAnsi="Times New Roman" w:cs="Times New Roman"/>
          <w:bCs/>
          <w:sz w:val="20"/>
          <w:szCs w:val="24"/>
        </w:rPr>
      </w:pPr>
    </w:p>
    <w:p w14:paraId="1A2618C5" w14:textId="77777777" w:rsidR="00624EE6" w:rsidRDefault="00624EE6" w:rsidP="00624EE6">
      <w:pPr>
        <w:rPr>
          <w:rFonts w:ascii="Times New Roman" w:hAnsi="Times New Roman" w:cs="Times New Roman"/>
          <w:b/>
          <w:sz w:val="24"/>
          <w:szCs w:val="24"/>
        </w:rPr>
      </w:pPr>
      <w:r w:rsidRPr="00331E66">
        <w:rPr>
          <w:rFonts w:ascii="Times New Roman" w:hAnsi="Times New Roman" w:cs="Times New Roman"/>
          <w:b/>
          <w:sz w:val="24"/>
          <w:szCs w:val="24"/>
        </w:rPr>
        <w:t>Panel B: Disclosure Scores Pre and Post IRS Schedule UTP</w:t>
      </w:r>
    </w:p>
    <w:tbl>
      <w:tblPr>
        <w:tblW w:w="7440" w:type="dxa"/>
        <w:tblLook w:val="04A0" w:firstRow="1" w:lastRow="0" w:firstColumn="1" w:lastColumn="0" w:noHBand="0" w:noVBand="1"/>
      </w:tblPr>
      <w:tblGrid>
        <w:gridCol w:w="1483"/>
        <w:gridCol w:w="1120"/>
        <w:gridCol w:w="1300"/>
        <w:gridCol w:w="1440"/>
        <w:gridCol w:w="2240"/>
      </w:tblGrid>
      <w:tr w:rsidR="00624EE6" w:rsidRPr="003B4F48" w14:paraId="46768F58" w14:textId="77777777" w:rsidTr="005E7AC2">
        <w:trPr>
          <w:trHeight w:val="315"/>
        </w:trPr>
        <w:tc>
          <w:tcPr>
            <w:tcW w:w="1340" w:type="dxa"/>
            <w:tcBorders>
              <w:top w:val="single" w:sz="4" w:space="0" w:color="auto"/>
              <w:left w:val="nil"/>
              <w:bottom w:val="nil"/>
              <w:right w:val="nil"/>
            </w:tcBorders>
            <w:shd w:val="clear" w:color="auto" w:fill="auto"/>
            <w:noWrap/>
            <w:vAlign w:val="bottom"/>
            <w:hideMark/>
          </w:tcPr>
          <w:p w14:paraId="429108F2" w14:textId="77777777" w:rsidR="00624EE6" w:rsidRPr="003B4F48" w:rsidRDefault="00624EE6" w:rsidP="005E7AC2">
            <w:pPr>
              <w:spacing w:after="0" w:line="240" w:lineRule="auto"/>
              <w:rPr>
                <w:rFonts w:ascii="Times New Roman" w:eastAsia="Times New Roman" w:hAnsi="Times New Roman" w:cs="Times New Roman"/>
                <w:sz w:val="24"/>
                <w:szCs w:val="24"/>
              </w:rPr>
            </w:pPr>
          </w:p>
        </w:tc>
        <w:tc>
          <w:tcPr>
            <w:tcW w:w="1120" w:type="dxa"/>
            <w:tcBorders>
              <w:top w:val="single" w:sz="4" w:space="0" w:color="auto"/>
              <w:left w:val="nil"/>
              <w:bottom w:val="nil"/>
              <w:right w:val="nil"/>
            </w:tcBorders>
            <w:shd w:val="clear" w:color="auto" w:fill="auto"/>
            <w:noWrap/>
            <w:vAlign w:val="bottom"/>
            <w:hideMark/>
          </w:tcPr>
          <w:p w14:paraId="5110FB6A"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1300" w:type="dxa"/>
            <w:tcBorders>
              <w:top w:val="single" w:sz="4" w:space="0" w:color="auto"/>
              <w:left w:val="nil"/>
              <w:bottom w:val="nil"/>
              <w:right w:val="nil"/>
            </w:tcBorders>
            <w:shd w:val="clear" w:color="auto" w:fill="auto"/>
            <w:noWrap/>
            <w:vAlign w:val="bottom"/>
            <w:hideMark/>
          </w:tcPr>
          <w:p w14:paraId="1389E0A3"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Pre-</w:t>
            </w:r>
            <w:proofErr w:type="spellStart"/>
            <w:r w:rsidRPr="003B4F48">
              <w:rPr>
                <w:rFonts w:ascii="Times New Roman" w:eastAsia="Times New Roman" w:hAnsi="Times New Roman" w:cs="Times New Roman"/>
                <w:b/>
                <w:bCs/>
                <w:color w:val="000000"/>
                <w:sz w:val="24"/>
                <w:szCs w:val="24"/>
              </w:rPr>
              <w:t>SchUTP</w:t>
            </w:r>
            <w:proofErr w:type="spellEnd"/>
          </w:p>
        </w:tc>
        <w:tc>
          <w:tcPr>
            <w:tcW w:w="1440" w:type="dxa"/>
            <w:tcBorders>
              <w:top w:val="single" w:sz="4" w:space="0" w:color="auto"/>
              <w:left w:val="nil"/>
              <w:bottom w:val="nil"/>
              <w:right w:val="nil"/>
            </w:tcBorders>
            <w:shd w:val="clear" w:color="auto" w:fill="auto"/>
            <w:noWrap/>
            <w:vAlign w:val="bottom"/>
            <w:hideMark/>
          </w:tcPr>
          <w:p w14:paraId="2B7B7980"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Post-</w:t>
            </w:r>
            <w:proofErr w:type="spellStart"/>
            <w:r w:rsidRPr="003B4F48">
              <w:rPr>
                <w:rFonts w:ascii="Times New Roman" w:eastAsia="Times New Roman" w:hAnsi="Times New Roman" w:cs="Times New Roman"/>
                <w:b/>
                <w:bCs/>
                <w:color w:val="000000"/>
                <w:sz w:val="24"/>
                <w:szCs w:val="24"/>
              </w:rPr>
              <w:t>SchUTP</w:t>
            </w:r>
            <w:proofErr w:type="spellEnd"/>
          </w:p>
        </w:tc>
        <w:tc>
          <w:tcPr>
            <w:tcW w:w="2240" w:type="dxa"/>
            <w:tcBorders>
              <w:top w:val="single" w:sz="4" w:space="0" w:color="auto"/>
              <w:left w:val="nil"/>
              <w:bottom w:val="nil"/>
              <w:right w:val="nil"/>
            </w:tcBorders>
            <w:shd w:val="clear" w:color="auto" w:fill="auto"/>
            <w:noWrap/>
            <w:vAlign w:val="bottom"/>
            <w:hideMark/>
          </w:tcPr>
          <w:p w14:paraId="3AF0E463"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t-test for</w:t>
            </w:r>
          </w:p>
        </w:tc>
      </w:tr>
      <w:tr w:rsidR="00624EE6" w:rsidRPr="003B4F48" w14:paraId="04FEDF27" w14:textId="77777777" w:rsidTr="005E7AC2">
        <w:trPr>
          <w:trHeight w:val="315"/>
        </w:trPr>
        <w:tc>
          <w:tcPr>
            <w:tcW w:w="1340" w:type="dxa"/>
            <w:tcBorders>
              <w:top w:val="nil"/>
              <w:left w:val="nil"/>
              <w:bottom w:val="single" w:sz="4" w:space="0" w:color="auto"/>
              <w:right w:val="nil"/>
            </w:tcBorders>
            <w:shd w:val="clear" w:color="auto" w:fill="auto"/>
            <w:noWrap/>
            <w:vAlign w:val="bottom"/>
            <w:hideMark/>
          </w:tcPr>
          <w:p w14:paraId="4D65F397"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Variable</w:t>
            </w:r>
          </w:p>
        </w:tc>
        <w:tc>
          <w:tcPr>
            <w:tcW w:w="1120" w:type="dxa"/>
            <w:tcBorders>
              <w:top w:val="nil"/>
              <w:left w:val="nil"/>
              <w:bottom w:val="single" w:sz="4" w:space="0" w:color="auto"/>
              <w:right w:val="nil"/>
            </w:tcBorders>
            <w:shd w:val="clear" w:color="auto" w:fill="auto"/>
            <w:noWrap/>
            <w:vAlign w:val="bottom"/>
            <w:hideMark/>
          </w:tcPr>
          <w:p w14:paraId="5B3ED2C7"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n</w:t>
            </w:r>
          </w:p>
        </w:tc>
        <w:tc>
          <w:tcPr>
            <w:tcW w:w="1300" w:type="dxa"/>
            <w:tcBorders>
              <w:top w:val="nil"/>
              <w:left w:val="nil"/>
              <w:bottom w:val="single" w:sz="4" w:space="0" w:color="auto"/>
              <w:right w:val="nil"/>
            </w:tcBorders>
            <w:shd w:val="clear" w:color="auto" w:fill="auto"/>
            <w:noWrap/>
            <w:vAlign w:val="bottom"/>
            <w:hideMark/>
          </w:tcPr>
          <w:p w14:paraId="1428FDDA"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Mean</w:t>
            </w:r>
          </w:p>
        </w:tc>
        <w:tc>
          <w:tcPr>
            <w:tcW w:w="1440" w:type="dxa"/>
            <w:tcBorders>
              <w:top w:val="nil"/>
              <w:left w:val="nil"/>
              <w:bottom w:val="single" w:sz="4" w:space="0" w:color="auto"/>
              <w:right w:val="nil"/>
            </w:tcBorders>
            <w:shd w:val="clear" w:color="auto" w:fill="auto"/>
            <w:noWrap/>
            <w:vAlign w:val="bottom"/>
            <w:hideMark/>
          </w:tcPr>
          <w:p w14:paraId="039F5AB5"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Mean</w:t>
            </w:r>
          </w:p>
        </w:tc>
        <w:tc>
          <w:tcPr>
            <w:tcW w:w="2240" w:type="dxa"/>
            <w:tcBorders>
              <w:top w:val="nil"/>
              <w:left w:val="nil"/>
              <w:bottom w:val="single" w:sz="4" w:space="0" w:color="auto"/>
              <w:right w:val="nil"/>
            </w:tcBorders>
            <w:shd w:val="clear" w:color="auto" w:fill="auto"/>
            <w:vAlign w:val="bottom"/>
            <w:hideMark/>
          </w:tcPr>
          <w:p w14:paraId="1367824F"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Difference in means</w:t>
            </w:r>
          </w:p>
        </w:tc>
      </w:tr>
      <w:tr w:rsidR="00624EE6" w:rsidRPr="003B4F48" w14:paraId="04A7F840" w14:textId="77777777" w:rsidTr="005E7AC2">
        <w:trPr>
          <w:trHeight w:val="315"/>
        </w:trPr>
        <w:tc>
          <w:tcPr>
            <w:tcW w:w="1340" w:type="dxa"/>
            <w:tcBorders>
              <w:top w:val="nil"/>
              <w:left w:val="nil"/>
              <w:bottom w:val="nil"/>
              <w:right w:val="nil"/>
            </w:tcBorders>
            <w:shd w:val="clear" w:color="auto" w:fill="auto"/>
            <w:noWrap/>
            <w:vAlign w:val="bottom"/>
            <w:hideMark/>
          </w:tcPr>
          <w:p w14:paraId="40C39576"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COMPLETE</w:t>
            </w:r>
          </w:p>
        </w:tc>
        <w:tc>
          <w:tcPr>
            <w:tcW w:w="1120" w:type="dxa"/>
            <w:tcBorders>
              <w:top w:val="nil"/>
              <w:left w:val="nil"/>
              <w:bottom w:val="nil"/>
              <w:right w:val="nil"/>
            </w:tcBorders>
            <w:shd w:val="clear" w:color="auto" w:fill="auto"/>
            <w:noWrap/>
            <w:vAlign w:val="bottom"/>
            <w:hideMark/>
          </w:tcPr>
          <w:p w14:paraId="2A49B5D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728</w:t>
            </w:r>
          </w:p>
        </w:tc>
        <w:tc>
          <w:tcPr>
            <w:tcW w:w="1300" w:type="dxa"/>
            <w:tcBorders>
              <w:top w:val="nil"/>
              <w:left w:val="nil"/>
              <w:bottom w:val="nil"/>
              <w:right w:val="nil"/>
            </w:tcBorders>
            <w:shd w:val="clear" w:color="auto" w:fill="auto"/>
            <w:noWrap/>
            <w:vAlign w:val="bottom"/>
            <w:hideMark/>
          </w:tcPr>
          <w:p w14:paraId="68D2017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5.01</w:t>
            </w:r>
          </w:p>
        </w:tc>
        <w:tc>
          <w:tcPr>
            <w:tcW w:w="1440" w:type="dxa"/>
            <w:tcBorders>
              <w:top w:val="nil"/>
              <w:left w:val="nil"/>
              <w:bottom w:val="nil"/>
              <w:right w:val="nil"/>
            </w:tcBorders>
            <w:shd w:val="clear" w:color="auto" w:fill="auto"/>
            <w:noWrap/>
            <w:vAlign w:val="bottom"/>
            <w:hideMark/>
          </w:tcPr>
          <w:p w14:paraId="5B8F6F46"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4.99</w:t>
            </w:r>
          </w:p>
        </w:tc>
        <w:tc>
          <w:tcPr>
            <w:tcW w:w="2240" w:type="dxa"/>
            <w:tcBorders>
              <w:top w:val="single" w:sz="4" w:space="0" w:color="auto"/>
              <w:left w:val="nil"/>
              <w:bottom w:val="nil"/>
              <w:right w:val="nil"/>
            </w:tcBorders>
            <w:shd w:val="clear" w:color="auto" w:fill="auto"/>
            <w:noWrap/>
            <w:vAlign w:val="bottom"/>
            <w:hideMark/>
          </w:tcPr>
          <w:p w14:paraId="28ACB4FC"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 </w:t>
            </w:r>
          </w:p>
        </w:tc>
      </w:tr>
      <w:tr w:rsidR="00624EE6" w:rsidRPr="003B4F48" w14:paraId="7273DBDA" w14:textId="77777777" w:rsidTr="005E7AC2">
        <w:trPr>
          <w:trHeight w:val="315"/>
        </w:trPr>
        <w:tc>
          <w:tcPr>
            <w:tcW w:w="1340" w:type="dxa"/>
            <w:tcBorders>
              <w:top w:val="nil"/>
              <w:left w:val="nil"/>
              <w:bottom w:val="single" w:sz="4" w:space="0" w:color="auto"/>
              <w:right w:val="nil"/>
            </w:tcBorders>
            <w:shd w:val="clear" w:color="auto" w:fill="auto"/>
            <w:noWrap/>
            <w:vAlign w:val="bottom"/>
            <w:hideMark/>
          </w:tcPr>
          <w:p w14:paraId="3AEB546A"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CLARITY</w:t>
            </w:r>
          </w:p>
        </w:tc>
        <w:tc>
          <w:tcPr>
            <w:tcW w:w="1120" w:type="dxa"/>
            <w:tcBorders>
              <w:top w:val="nil"/>
              <w:left w:val="nil"/>
              <w:bottom w:val="single" w:sz="4" w:space="0" w:color="auto"/>
              <w:right w:val="nil"/>
            </w:tcBorders>
            <w:shd w:val="clear" w:color="auto" w:fill="auto"/>
            <w:noWrap/>
            <w:vAlign w:val="bottom"/>
            <w:hideMark/>
          </w:tcPr>
          <w:p w14:paraId="711243F1"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728</w:t>
            </w:r>
          </w:p>
        </w:tc>
        <w:tc>
          <w:tcPr>
            <w:tcW w:w="1300" w:type="dxa"/>
            <w:tcBorders>
              <w:top w:val="nil"/>
              <w:left w:val="nil"/>
              <w:bottom w:val="single" w:sz="4" w:space="0" w:color="auto"/>
              <w:right w:val="nil"/>
            </w:tcBorders>
            <w:shd w:val="clear" w:color="auto" w:fill="auto"/>
            <w:noWrap/>
            <w:vAlign w:val="bottom"/>
            <w:hideMark/>
          </w:tcPr>
          <w:p w14:paraId="64C561C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1.23</w:t>
            </w:r>
          </w:p>
        </w:tc>
        <w:tc>
          <w:tcPr>
            <w:tcW w:w="1440" w:type="dxa"/>
            <w:tcBorders>
              <w:top w:val="nil"/>
              <w:left w:val="nil"/>
              <w:bottom w:val="single" w:sz="4" w:space="0" w:color="auto"/>
              <w:right w:val="nil"/>
            </w:tcBorders>
            <w:shd w:val="clear" w:color="auto" w:fill="auto"/>
            <w:noWrap/>
            <w:vAlign w:val="bottom"/>
            <w:hideMark/>
          </w:tcPr>
          <w:p w14:paraId="0345A2A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1.16</w:t>
            </w:r>
          </w:p>
        </w:tc>
        <w:tc>
          <w:tcPr>
            <w:tcW w:w="2240" w:type="dxa"/>
            <w:tcBorders>
              <w:top w:val="nil"/>
              <w:left w:val="nil"/>
              <w:bottom w:val="single" w:sz="4" w:space="0" w:color="auto"/>
              <w:right w:val="nil"/>
            </w:tcBorders>
            <w:shd w:val="clear" w:color="auto" w:fill="auto"/>
            <w:noWrap/>
            <w:vAlign w:val="bottom"/>
            <w:hideMark/>
          </w:tcPr>
          <w:p w14:paraId="217DCED1"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w:t>
            </w:r>
          </w:p>
        </w:tc>
      </w:tr>
    </w:tbl>
    <w:p w14:paraId="61C62651" w14:textId="0EC79E61" w:rsidR="00624EE6" w:rsidRPr="00331E66" w:rsidRDefault="00624EE6" w:rsidP="00624EE6">
      <w:pPr>
        <w:spacing w:after="0"/>
        <w:rPr>
          <w:rFonts w:ascii="Times New Roman" w:hAnsi="Times New Roman" w:cs="Times New Roman"/>
          <w:bCs/>
          <w:sz w:val="20"/>
          <w:szCs w:val="24"/>
        </w:rPr>
      </w:pPr>
      <w:r w:rsidRPr="00331E66">
        <w:rPr>
          <w:rFonts w:ascii="Times New Roman" w:hAnsi="Times New Roman" w:cs="Times New Roman"/>
          <w:bCs/>
          <w:sz w:val="20"/>
          <w:szCs w:val="24"/>
        </w:rPr>
        <w:t>Notes: This panel presents descriptive statistics for disclosure scores for Pre (2009) and Post (2010) IRS Schedule UTP.  COMPLETE = The sum of six required disclosure score components (see Appendix</w:t>
      </w:r>
      <w:r>
        <w:rPr>
          <w:rFonts w:ascii="Times New Roman" w:hAnsi="Times New Roman" w:cs="Times New Roman"/>
          <w:bCs/>
          <w:sz w:val="20"/>
          <w:szCs w:val="24"/>
        </w:rPr>
        <w:t xml:space="preserve"> </w:t>
      </w:r>
      <w:r w:rsidR="00C3183E">
        <w:rPr>
          <w:rFonts w:ascii="Times New Roman" w:hAnsi="Times New Roman" w:cs="Times New Roman"/>
          <w:bCs/>
          <w:sz w:val="20"/>
          <w:szCs w:val="24"/>
        </w:rPr>
        <w:t>A</w:t>
      </w:r>
      <w:r w:rsidRPr="00331E66">
        <w:rPr>
          <w:rFonts w:ascii="Times New Roman" w:hAnsi="Times New Roman" w:cs="Times New Roman"/>
          <w:bCs/>
          <w:sz w:val="20"/>
          <w:szCs w:val="24"/>
        </w:rPr>
        <w:t>); CLARITY = The sum of four discretionary disclosure score components (see Appendix</w:t>
      </w:r>
      <w:r>
        <w:rPr>
          <w:rFonts w:ascii="Times New Roman" w:hAnsi="Times New Roman" w:cs="Times New Roman"/>
          <w:bCs/>
          <w:sz w:val="20"/>
          <w:szCs w:val="24"/>
        </w:rPr>
        <w:t xml:space="preserve"> </w:t>
      </w:r>
      <w:r w:rsidR="00C3183E">
        <w:rPr>
          <w:rFonts w:ascii="Times New Roman" w:hAnsi="Times New Roman" w:cs="Times New Roman"/>
          <w:bCs/>
          <w:sz w:val="20"/>
          <w:szCs w:val="24"/>
        </w:rPr>
        <w:t>A</w:t>
      </w:r>
      <w:r w:rsidRPr="00331E66">
        <w:rPr>
          <w:rFonts w:ascii="Times New Roman" w:hAnsi="Times New Roman" w:cs="Times New Roman"/>
          <w:bCs/>
          <w:sz w:val="20"/>
          <w:szCs w:val="24"/>
        </w:rPr>
        <w:t>)</w:t>
      </w:r>
      <w:r>
        <w:rPr>
          <w:rFonts w:ascii="Times New Roman" w:hAnsi="Times New Roman" w:cs="Times New Roman"/>
          <w:bCs/>
          <w:sz w:val="20"/>
          <w:szCs w:val="24"/>
        </w:rPr>
        <w:t>.</w:t>
      </w:r>
      <w:r w:rsidRPr="00331E66">
        <w:rPr>
          <w:rFonts w:ascii="Times New Roman" w:hAnsi="Times New Roman" w:cs="Times New Roman"/>
          <w:bCs/>
          <w:sz w:val="20"/>
          <w:szCs w:val="24"/>
        </w:rPr>
        <w:t xml:space="preserve"> </w:t>
      </w:r>
      <w:r w:rsidRPr="00331E66">
        <w:rPr>
          <w:rFonts w:ascii="Times New Roman" w:hAnsi="Times New Roman" w:cs="Times New Roman"/>
          <w:sz w:val="20"/>
          <w:szCs w:val="16"/>
        </w:rPr>
        <w:t>*, **, *** denote signiﬁcance at the 0.10, 0.05, and 0.01 levels, respectively.</w:t>
      </w:r>
    </w:p>
    <w:p w14:paraId="09B8CF77" w14:textId="77777777" w:rsidR="00624EE6" w:rsidRDefault="00624EE6" w:rsidP="00624EE6">
      <w:pPr>
        <w:jc w:val="both"/>
      </w:pPr>
    </w:p>
    <w:p w14:paraId="11FBBA23" w14:textId="77777777" w:rsidR="00624EE6" w:rsidRPr="00331E66" w:rsidRDefault="00624EE6" w:rsidP="00624EE6">
      <w:pPr>
        <w:rPr>
          <w:rFonts w:ascii="Times New Roman" w:hAnsi="Times New Roman" w:cs="Times New Roman"/>
          <w:b/>
          <w:sz w:val="24"/>
          <w:szCs w:val="24"/>
        </w:rPr>
      </w:pPr>
      <w:r w:rsidRPr="00331E66">
        <w:rPr>
          <w:rFonts w:ascii="Times New Roman" w:hAnsi="Times New Roman" w:cs="Times New Roman"/>
          <w:b/>
          <w:sz w:val="24"/>
          <w:szCs w:val="24"/>
        </w:rPr>
        <w:t xml:space="preserve">Panel </w:t>
      </w:r>
      <w:r>
        <w:rPr>
          <w:rFonts w:ascii="Times New Roman" w:hAnsi="Times New Roman" w:cs="Times New Roman"/>
          <w:b/>
          <w:sz w:val="24"/>
          <w:szCs w:val="24"/>
        </w:rPr>
        <w:t>C</w:t>
      </w:r>
      <w:r w:rsidRPr="00331E66">
        <w:rPr>
          <w:rFonts w:ascii="Times New Roman" w:hAnsi="Times New Roman" w:cs="Times New Roman"/>
          <w:b/>
          <w:sz w:val="24"/>
          <w:szCs w:val="24"/>
        </w:rPr>
        <w:t>: Disclosure Score</w:t>
      </w:r>
      <w:r>
        <w:rPr>
          <w:rFonts w:ascii="Times New Roman" w:hAnsi="Times New Roman" w:cs="Times New Roman"/>
          <w:b/>
          <w:sz w:val="24"/>
          <w:szCs w:val="24"/>
        </w:rPr>
        <w:t xml:space="preserve"> Components</w:t>
      </w:r>
      <w:r w:rsidRPr="00331E66">
        <w:rPr>
          <w:rFonts w:ascii="Times New Roman" w:hAnsi="Times New Roman" w:cs="Times New Roman"/>
          <w:b/>
          <w:sz w:val="24"/>
          <w:szCs w:val="24"/>
        </w:rPr>
        <w:t xml:space="preserve"> Pre and Post IRS Schedule UTP</w:t>
      </w:r>
    </w:p>
    <w:tbl>
      <w:tblPr>
        <w:tblW w:w="9090" w:type="dxa"/>
        <w:tblLook w:val="04A0" w:firstRow="1" w:lastRow="0" w:firstColumn="1" w:lastColumn="0" w:noHBand="0" w:noVBand="1"/>
      </w:tblPr>
      <w:tblGrid>
        <w:gridCol w:w="1737"/>
        <w:gridCol w:w="1143"/>
        <w:gridCol w:w="1260"/>
        <w:gridCol w:w="576"/>
        <w:gridCol w:w="1816"/>
        <w:gridCol w:w="1118"/>
        <w:gridCol w:w="1440"/>
      </w:tblGrid>
      <w:tr w:rsidR="00624EE6" w:rsidRPr="003B4F48" w14:paraId="0655F2F4" w14:textId="77777777" w:rsidTr="000232FC">
        <w:trPr>
          <w:trHeight w:val="315"/>
        </w:trPr>
        <w:tc>
          <w:tcPr>
            <w:tcW w:w="1737" w:type="dxa"/>
            <w:tcBorders>
              <w:top w:val="single" w:sz="4" w:space="0" w:color="auto"/>
              <w:left w:val="nil"/>
              <w:bottom w:val="nil"/>
              <w:right w:val="nil"/>
            </w:tcBorders>
            <w:shd w:val="clear" w:color="auto" w:fill="auto"/>
            <w:noWrap/>
            <w:vAlign w:val="bottom"/>
            <w:hideMark/>
          </w:tcPr>
          <w:p w14:paraId="01208325" w14:textId="77777777" w:rsidR="00624EE6" w:rsidRPr="003B4F48" w:rsidRDefault="00624EE6" w:rsidP="005E7AC2">
            <w:pPr>
              <w:spacing w:after="0" w:line="240" w:lineRule="auto"/>
              <w:rPr>
                <w:rFonts w:ascii="Times New Roman" w:eastAsia="Times New Roman" w:hAnsi="Times New Roman" w:cs="Times New Roman"/>
                <w:sz w:val="24"/>
                <w:szCs w:val="24"/>
              </w:rPr>
            </w:pPr>
          </w:p>
        </w:tc>
        <w:tc>
          <w:tcPr>
            <w:tcW w:w="2403" w:type="dxa"/>
            <w:gridSpan w:val="2"/>
            <w:tcBorders>
              <w:top w:val="single" w:sz="4" w:space="0" w:color="auto"/>
              <w:left w:val="nil"/>
              <w:bottom w:val="nil"/>
              <w:right w:val="nil"/>
            </w:tcBorders>
            <w:shd w:val="clear" w:color="auto" w:fill="auto"/>
            <w:noWrap/>
            <w:vAlign w:val="bottom"/>
            <w:hideMark/>
          </w:tcPr>
          <w:p w14:paraId="5753DF48"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COMPLETE</w:t>
            </w:r>
          </w:p>
        </w:tc>
        <w:tc>
          <w:tcPr>
            <w:tcW w:w="576" w:type="dxa"/>
            <w:tcBorders>
              <w:left w:val="nil"/>
              <w:bottom w:val="nil"/>
              <w:right w:val="nil"/>
            </w:tcBorders>
            <w:shd w:val="clear" w:color="auto" w:fill="auto"/>
            <w:noWrap/>
            <w:vAlign w:val="bottom"/>
            <w:hideMark/>
          </w:tcPr>
          <w:p w14:paraId="47A9B9E1"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816" w:type="dxa"/>
            <w:tcBorders>
              <w:top w:val="single" w:sz="4" w:space="0" w:color="auto"/>
              <w:left w:val="nil"/>
              <w:right w:val="nil"/>
            </w:tcBorders>
            <w:shd w:val="clear" w:color="auto" w:fill="auto"/>
            <w:noWrap/>
            <w:vAlign w:val="bottom"/>
            <w:hideMark/>
          </w:tcPr>
          <w:p w14:paraId="554CC12E" w14:textId="77777777" w:rsidR="00624EE6" w:rsidRPr="003B4F48" w:rsidRDefault="00624EE6" w:rsidP="005E7AC2">
            <w:pPr>
              <w:spacing w:after="0" w:line="240" w:lineRule="auto"/>
              <w:jc w:val="center"/>
              <w:rPr>
                <w:rFonts w:ascii="Times New Roman" w:eastAsia="Times New Roman" w:hAnsi="Times New Roman" w:cs="Times New Roman"/>
                <w:sz w:val="20"/>
                <w:szCs w:val="20"/>
              </w:rPr>
            </w:pPr>
          </w:p>
        </w:tc>
        <w:tc>
          <w:tcPr>
            <w:tcW w:w="2558" w:type="dxa"/>
            <w:gridSpan w:val="2"/>
            <w:tcBorders>
              <w:top w:val="single" w:sz="4" w:space="0" w:color="auto"/>
              <w:left w:val="nil"/>
              <w:bottom w:val="nil"/>
              <w:right w:val="nil"/>
            </w:tcBorders>
            <w:shd w:val="clear" w:color="auto" w:fill="auto"/>
            <w:noWrap/>
            <w:vAlign w:val="bottom"/>
            <w:hideMark/>
          </w:tcPr>
          <w:p w14:paraId="7C9BF6BF" w14:textId="77777777" w:rsidR="00624EE6" w:rsidRPr="003B4F48" w:rsidRDefault="00624EE6" w:rsidP="005E7AC2">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CLARITY</w:t>
            </w:r>
          </w:p>
        </w:tc>
      </w:tr>
      <w:tr w:rsidR="00624EE6" w:rsidRPr="003B4F48" w14:paraId="321DDE06" w14:textId="77777777" w:rsidTr="000232FC">
        <w:trPr>
          <w:trHeight w:val="330"/>
        </w:trPr>
        <w:tc>
          <w:tcPr>
            <w:tcW w:w="1737" w:type="dxa"/>
            <w:tcBorders>
              <w:top w:val="nil"/>
              <w:left w:val="nil"/>
              <w:bottom w:val="single" w:sz="4" w:space="0" w:color="auto"/>
              <w:right w:val="nil"/>
            </w:tcBorders>
            <w:shd w:val="clear" w:color="auto" w:fill="auto"/>
            <w:noWrap/>
            <w:vAlign w:val="bottom"/>
            <w:hideMark/>
          </w:tcPr>
          <w:p w14:paraId="2A562DF8"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143" w:type="dxa"/>
            <w:tcBorders>
              <w:top w:val="nil"/>
              <w:left w:val="nil"/>
              <w:bottom w:val="single" w:sz="4" w:space="0" w:color="auto"/>
              <w:right w:val="nil"/>
            </w:tcBorders>
            <w:shd w:val="clear" w:color="auto" w:fill="auto"/>
            <w:noWrap/>
            <w:vAlign w:val="bottom"/>
            <w:hideMark/>
          </w:tcPr>
          <w:p w14:paraId="472E46D4" w14:textId="77777777" w:rsidR="00624EE6" w:rsidRPr="003B4F48" w:rsidRDefault="00624EE6" w:rsidP="000232FC">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Pre-</w:t>
            </w:r>
            <w:proofErr w:type="spellStart"/>
            <w:r w:rsidRPr="003B4F48">
              <w:rPr>
                <w:rFonts w:ascii="Times New Roman" w:eastAsia="Times New Roman" w:hAnsi="Times New Roman" w:cs="Times New Roman"/>
                <w:b/>
                <w:bCs/>
                <w:color w:val="000000"/>
                <w:sz w:val="24"/>
                <w:szCs w:val="24"/>
              </w:rPr>
              <w:t>Sch</w:t>
            </w:r>
            <w:proofErr w:type="spellEnd"/>
            <w:r w:rsidRPr="003B4F48">
              <w:rPr>
                <w:rFonts w:ascii="Times New Roman" w:eastAsia="Times New Roman" w:hAnsi="Times New Roman" w:cs="Times New Roman"/>
                <w:b/>
                <w:bCs/>
                <w:color w:val="000000"/>
                <w:sz w:val="24"/>
                <w:szCs w:val="24"/>
              </w:rPr>
              <w:t xml:space="preserve"> UTP</w:t>
            </w:r>
          </w:p>
        </w:tc>
        <w:tc>
          <w:tcPr>
            <w:tcW w:w="1260" w:type="dxa"/>
            <w:tcBorders>
              <w:top w:val="nil"/>
              <w:left w:val="nil"/>
              <w:bottom w:val="single" w:sz="8" w:space="0" w:color="auto"/>
              <w:right w:val="nil"/>
            </w:tcBorders>
            <w:shd w:val="clear" w:color="auto" w:fill="auto"/>
            <w:noWrap/>
            <w:vAlign w:val="bottom"/>
            <w:hideMark/>
          </w:tcPr>
          <w:p w14:paraId="556014A5" w14:textId="77777777" w:rsidR="00624EE6" w:rsidRPr="003B4F48" w:rsidRDefault="00624EE6" w:rsidP="000232FC">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 xml:space="preserve">Post- </w:t>
            </w:r>
            <w:proofErr w:type="spellStart"/>
            <w:r w:rsidRPr="003B4F48">
              <w:rPr>
                <w:rFonts w:ascii="Times New Roman" w:eastAsia="Times New Roman" w:hAnsi="Times New Roman" w:cs="Times New Roman"/>
                <w:b/>
                <w:bCs/>
                <w:color w:val="000000"/>
                <w:sz w:val="24"/>
                <w:szCs w:val="24"/>
              </w:rPr>
              <w:t>Sch</w:t>
            </w:r>
            <w:proofErr w:type="spellEnd"/>
            <w:r w:rsidRPr="003B4F48">
              <w:rPr>
                <w:rFonts w:ascii="Times New Roman" w:eastAsia="Times New Roman" w:hAnsi="Times New Roman" w:cs="Times New Roman"/>
                <w:b/>
                <w:bCs/>
                <w:color w:val="000000"/>
                <w:sz w:val="24"/>
                <w:szCs w:val="24"/>
              </w:rPr>
              <w:t xml:space="preserve"> UTP</w:t>
            </w:r>
          </w:p>
        </w:tc>
        <w:tc>
          <w:tcPr>
            <w:tcW w:w="576" w:type="dxa"/>
            <w:tcBorders>
              <w:top w:val="nil"/>
              <w:left w:val="nil"/>
              <w:right w:val="nil"/>
            </w:tcBorders>
            <w:shd w:val="clear" w:color="auto" w:fill="auto"/>
            <w:noWrap/>
            <w:vAlign w:val="bottom"/>
            <w:hideMark/>
          </w:tcPr>
          <w:p w14:paraId="6204F1C7" w14:textId="77777777" w:rsidR="00624EE6" w:rsidRPr="003B4F48" w:rsidRDefault="00624EE6" w:rsidP="000232FC">
            <w:pPr>
              <w:spacing w:after="0" w:line="240" w:lineRule="auto"/>
              <w:jc w:val="center"/>
              <w:rPr>
                <w:rFonts w:ascii="Times New Roman" w:eastAsia="Times New Roman" w:hAnsi="Times New Roman" w:cs="Times New Roman"/>
                <w:b/>
                <w:bCs/>
                <w:color w:val="000000"/>
                <w:sz w:val="24"/>
                <w:szCs w:val="24"/>
              </w:rPr>
            </w:pPr>
          </w:p>
        </w:tc>
        <w:tc>
          <w:tcPr>
            <w:tcW w:w="1816" w:type="dxa"/>
            <w:tcBorders>
              <w:top w:val="nil"/>
              <w:left w:val="nil"/>
              <w:bottom w:val="single" w:sz="4" w:space="0" w:color="auto"/>
              <w:right w:val="nil"/>
            </w:tcBorders>
            <w:shd w:val="clear" w:color="auto" w:fill="auto"/>
            <w:noWrap/>
            <w:vAlign w:val="bottom"/>
            <w:hideMark/>
          </w:tcPr>
          <w:p w14:paraId="72BC5873" w14:textId="77777777" w:rsidR="00624EE6" w:rsidRPr="003B4F48" w:rsidRDefault="00624EE6" w:rsidP="000232FC">
            <w:pPr>
              <w:spacing w:after="0" w:line="240" w:lineRule="auto"/>
              <w:jc w:val="center"/>
              <w:rPr>
                <w:rFonts w:ascii="Times New Roman" w:eastAsia="Times New Roman" w:hAnsi="Times New Roman" w:cs="Times New Roman"/>
                <w:sz w:val="20"/>
                <w:szCs w:val="20"/>
              </w:rPr>
            </w:pPr>
          </w:p>
        </w:tc>
        <w:tc>
          <w:tcPr>
            <w:tcW w:w="1118" w:type="dxa"/>
            <w:tcBorders>
              <w:top w:val="nil"/>
              <w:left w:val="nil"/>
              <w:bottom w:val="single" w:sz="8" w:space="0" w:color="auto"/>
              <w:right w:val="nil"/>
            </w:tcBorders>
            <w:shd w:val="clear" w:color="auto" w:fill="auto"/>
            <w:noWrap/>
            <w:vAlign w:val="bottom"/>
            <w:hideMark/>
          </w:tcPr>
          <w:p w14:paraId="3E9A28F7" w14:textId="77777777" w:rsidR="00624EE6" w:rsidRPr="003B4F48" w:rsidRDefault="00624EE6" w:rsidP="000232FC">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Pre-</w:t>
            </w:r>
            <w:proofErr w:type="spellStart"/>
            <w:r w:rsidRPr="003B4F48">
              <w:rPr>
                <w:rFonts w:ascii="Times New Roman" w:eastAsia="Times New Roman" w:hAnsi="Times New Roman" w:cs="Times New Roman"/>
                <w:b/>
                <w:bCs/>
                <w:color w:val="000000"/>
                <w:sz w:val="24"/>
                <w:szCs w:val="24"/>
              </w:rPr>
              <w:t>Sch</w:t>
            </w:r>
            <w:proofErr w:type="spellEnd"/>
            <w:r w:rsidRPr="003B4F48">
              <w:rPr>
                <w:rFonts w:ascii="Times New Roman" w:eastAsia="Times New Roman" w:hAnsi="Times New Roman" w:cs="Times New Roman"/>
                <w:b/>
                <w:bCs/>
                <w:color w:val="000000"/>
                <w:sz w:val="24"/>
                <w:szCs w:val="24"/>
              </w:rPr>
              <w:t xml:space="preserve"> UTP</w:t>
            </w:r>
          </w:p>
        </w:tc>
        <w:tc>
          <w:tcPr>
            <w:tcW w:w="1440" w:type="dxa"/>
            <w:tcBorders>
              <w:top w:val="nil"/>
              <w:left w:val="nil"/>
              <w:bottom w:val="single" w:sz="8" w:space="0" w:color="auto"/>
              <w:right w:val="nil"/>
            </w:tcBorders>
            <w:shd w:val="clear" w:color="auto" w:fill="auto"/>
            <w:noWrap/>
            <w:vAlign w:val="bottom"/>
            <w:hideMark/>
          </w:tcPr>
          <w:p w14:paraId="3B2268DE" w14:textId="77777777" w:rsidR="00624EE6" w:rsidRPr="003B4F48" w:rsidRDefault="00624EE6" w:rsidP="000232FC">
            <w:pPr>
              <w:spacing w:after="0" w:line="240" w:lineRule="auto"/>
              <w:jc w:val="center"/>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 xml:space="preserve">Post- </w:t>
            </w:r>
            <w:proofErr w:type="spellStart"/>
            <w:r w:rsidRPr="003B4F48">
              <w:rPr>
                <w:rFonts w:ascii="Times New Roman" w:eastAsia="Times New Roman" w:hAnsi="Times New Roman" w:cs="Times New Roman"/>
                <w:b/>
                <w:bCs/>
                <w:color w:val="000000"/>
                <w:sz w:val="24"/>
                <w:szCs w:val="24"/>
              </w:rPr>
              <w:t>Sch</w:t>
            </w:r>
            <w:proofErr w:type="spellEnd"/>
            <w:r w:rsidRPr="003B4F48">
              <w:rPr>
                <w:rFonts w:ascii="Times New Roman" w:eastAsia="Times New Roman" w:hAnsi="Times New Roman" w:cs="Times New Roman"/>
                <w:b/>
                <w:bCs/>
                <w:color w:val="000000"/>
                <w:sz w:val="24"/>
                <w:szCs w:val="24"/>
              </w:rPr>
              <w:t xml:space="preserve"> UTP</w:t>
            </w:r>
          </w:p>
        </w:tc>
      </w:tr>
      <w:tr w:rsidR="00624EE6" w:rsidRPr="003B4F48" w14:paraId="13F36D09" w14:textId="77777777" w:rsidTr="000232FC">
        <w:trPr>
          <w:trHeight w:val="315"/>
        </w:trPr>
        <w:tc>
          <w:tcPr>
            <w:tcW w:w="1737" w:type="dxa"/>
            <w:tcBorders>
              <w:top w:val="single" w:sz="4" w:space="0" w:color="auto"/>
              <w:left w:val="nil"/>
              <w:bottom w:val="nil"/>
              <w:right w:val="nil"/>
            </w:tcBorders>
            <w:shd w:val="clear" w:color="auto" w:fill="auto"/>
            <w:noWrap/>
            <w:vAlign w:val="bottom"/>
            <w:hideMark/>
          </w:tcPr>
          <w:p w14:paraId="3EDB49B2"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C1_UTB</w:t>
            </w:r>
          </w:p>
        </w:tc>
        <w:tc>
          <w:tcPr>
            <w:tcW w:w="1143" w:type="dxa"/>
            <w:tcBorders>
              <w:top w:val="single" w:sz="4" w:space="0" w:color="auto"/>
              <w:left w:val="nil"/>
              <w:bottom w:val="nil"/>
              <w:right w:val="nil"/>
            </w:tcBorders>
            <w:shd w:val="clear" w:color="auto" w:fill="auto"/>
            <w:noWrap/>
            <w:vAlign w:val="bottom"/>
            <w:hideMark/>
          </w:tcPr>
          <w:p w14:paraId="7DA7105F"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w:t>
            </w:r>
          </w:p>
        </w:tc>
        <w:tc>
          <w:tcPr>
            <w:tcW w:w="1260" w:type="dxa"/>
            <w:tcBorders>
              <w:top w:val="nil"/>
              <w:left w:val="nil"/>
              <w:bottom w:val="nil"/>
              <w:right w:val="nil"/>
            </w:tcBorders>
            <w:shd w:val="clear" w:color="auto" w:fill="auto"/>
            <w:noWrap/>
            <w:vAlign w:val="bottom"/>
            <w:hideMark/>
          </w:tcPr>
          <w:p w14:paraId="0D2BFD22"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1</w:t>
            </w:r>
          </w:p>
        </w:tc>
        <w:tc>
          <w:tcPr>
            <w:tcW w:w="576" w:type="dxa"/>
            <w:tcBorders>
              <w:left w:val="nil"/>
              <w:bottom w:val="nil"/>
              <w:right w:val="nil"/>
            </w:tcBorders>
            <w:shd w:val="clear" w:color="auto" w:fill="auto"/>
            <w:noWrap/>
            <w:vAlign w:val="bottom"/>
            <w:hideMark/>
          </w:tcPr>
          <w:p w14:paraId="6B9AB520"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single" w:sz="4" w:space="0" w:color="auto"/>
              <w:left w:val="nil"/>
              <w:bottom w:val="nil"/>
              <w:right w:val="nil"/>
            </w:tcBorders>
            <w:shd w:val="clear" w:color="auto" w:fill="auto"/>
            <w:noWrap/>
            <w:vAlign w:val="bottom"/>
            <w:hideMark/>
          </w:tcPr>
          <w:p w14:paraId="29237A2C"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CL1_NONETR</w:t>
            </w:r>
          </w:p>
        </w:tc>
        <w:tc>
          <w:tcPr>
            <w:tcW w:w="1118" w:type="dxa"/>
            <w:tcBorders>
              <w:top w:val="nil"/>
              <w:left w:val="nil"/>
              <w:bottom w:val="nil"/>
              <w:right w:val="nil"/>
            </w:tcBorders>
            <w:shd w:val="clear" w:color="auto" w:fill="auto"/>
            <w:noWrap/>
            <w:vAlign w:val="bottom"/>
            <w:hideMark/>
          </w:tcPr>
          <w:p w14:paraId="5112B30A"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0.30</w:t>
            </w:r>
          </w:p>
        </w:tc>
        <w:tc>
          <w:tcPr>
            <w:tcW w:w="1440" w:type="dxa"/>
            <w:tcBorders>
              <w:top w:val="nil"/>
              <w:left w:val="nil"/>
              <w:bottom w:val="nil"/>
              <w:right w:val="nil"/>
            </w:tcBorders>
            <w:shd w:val="clear" w:color="auto" w:fill="auto"/>
            <w:noWrap/>
            <w:vAlign w:val="bottom"/>
            <w:hideMark/>
          </w:tcPr>
          <w:p w14:paraId="556B644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0.26</w:t>
            </w:r>
            <w:r>
              <w:rPr>
                <w:rFonts w:ascii="Times New Roman" w:eastAsia="Times New Roman" w:hAnsi="Times New Roman" w:cs="Times New Roman"/>
                <w:color w:val="000000"/>
                <w:sz w:val="24"/>
                <w:szCs w:val="24"/>
              </w:rPr>
              <w:t>*</w:t>
            </w:r>
          </w:p>
        </w:tc>
      </w:tr>
      <w:tr w:rsidR="00624EE6" w:rsidRPr="003B4F48" w14:paraId="02F746EA" w14:textId="77777777" w:rsidTr="000232FC">
        <w:trPr>
          <w:trHeight w:val="315"/>
        </w:trPr>
        <w:tc>
          <w:tcPr>
            <w:tcW w:w="1737" w:type="dxa"/>
            <w:tcBorders>
              <w:top w:val="nil"/>
              <w:left w:val="nil"/>
              <w:bottom w:val="nil"/>
              <w:right w:val="nil"/>
            </w:tcBorders>
            <w:shd w:val="clear" w:color="auto" w:fill="auto"/>
            <w:noWrap/>
            <w:vAlign w:val="bottom"/>
            <w:hideMark/>
          </w:tcPr>
          <w:p w14:paraId="7CAAB94C" w14:textId="5FBAC016"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C2_CHANGE</w:t>
            </w:r>
          </w:p>
        </w:tc>
        <w:tc>
          <w:tcPr>
            <w:tcW w:w="1143" w:type="dxa"/>
            <w:tcBorders>
              <w:top w:val="nil"/>
              <w:left w:val="nil"/>
              <w:bottom w:val="nil"/>
              <w:right w:val="nil"/>
            </w:tcBorders>
            <w:shd w:val="clear" w:color="auto" w:fill="auto"/>
            <w:noWrap/>
            <w:vAlign w:val="bottom"/>
            <w:hideMark/>
          </w:tcPr>
          <w:p w14:paraId="3C93A04E"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0.24</w:t>
            </w:r>
          </w:p>
        </w:tc>
        <w:tc>
          <w:tcPr>
            <w:tcW w:w="1260" w:type="dxa"/>
            <w:tcBorders>
              <w:top w:val="nil"/>
              <w:left w:val="nil"/>
              <w:bottom w:val="nil"/>
              <w:right w:val="nil"/>
            </w:tcBorders>
            <w:shd w:val="clear" w:color="auto" w:fill="auto"/>
            <w:noWrap/>
            <w:vAlign w:val="bottom"/>
            <w:hideMark/>
          </w:tcPr>
          <w:p w14:paraId="0679A861"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0.22</w:t>
            </w:r>
          </w:p>
        </w:tc>
        <w:tc>
          <w:tcPr>
            <w:tcW w:w="576" w:type="dxa"/>
            <w:tcBorders>
              <w:top w:val="nil"/>
              <w:left w:val="nil"/>
              <w:bottom w:val="nil"/>
              <w:right w:val="nil"/>
            </w:tcBorders>
            <w:shd w:val="clear" w:color="auto" w:fill="auto"/>
            <w:noWrap/>
            <w:vAlign w:val="bottom"/>
            <w:hideMark/>
          </w:tcPr>
          <w:p w14:paraId="043D5521"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nil"/>
              <w:right w:val="nil"/>
            </w:tcBorders>
            <w:shd w:val="clear" w:color="auto" w:fill="auto"/>
            <w:noWrap/>
            <w:vAlign w:val="bottom"/>
            <w:hideMark/>
          </w:tcPr>
          <w:p w14:paraId="3FF775D5"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CL2_GROSS</w:t>
            </w:r>
          </w:p>
        </w:tc>
        <w:tc>
          <w:tcPr>
            <w:tcW w:w="1118" w:type="dxa"/>
            <w:tcBorders>
              <w:top w:val="nil"/>
              <w:left w:val="nil"/>
              <w:bottom w:val="nil"/>
              <w:right w:val="nil"/>
            </w:tcBorders>
            <w:shd w:val="clear" w:color="auto" w:fill="auto"/>
            <w:noWrap/>
            <w:vAlign w:val="bottom"/>
            <w:hideMark/>
          </w:tcPr>
          <w:p w14:paraId="1370319E"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0.31</w:t>
            </w:r>
          </w:p>
        </w:tc>
        <w:tc>
          <w:tcPr>
            <w:tcW w:w="1440" w:type="dxa"/>
            <w:tcBorders>
              <w:top w:val="nil"/>
              <w:left w:val="nil"/>
              <w:bottom w:val="nil"/>
              <w:right w:val="nil"/>
            </w:tcBorders>
            <w:shd w:val="clear" w:color="auto" w:fill="auto"/>
            <w:noWrap/>
            <w:vAlign w:val="bottom"/>
            <w:hideMark/>
          </w:tcPr>
          <w:p w14:paraId="522C2794"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B4F48">
              <w:rPr>
                <w:rFonts w:ascii="Times New Roman" w:eastAsia="Times New Roman" w:hAnsi="Times New Roman" w:cs="Times New Roman"/>
                <w:color w:val="000000"/>
                <w:sz w:val="24"/>
                <w:szCs w:val="24"/>
              </w:rPr>
              <w:t>0.29</w:t>
            </w:r>
          </w:p>
        </w:tc>
      </w:tr>
      <w:tr w:rsidR="00624EE6" w:rsidRPr="003B4F48" w14:paraId="5B5D2F98" w14:textId="77777777" w:rsidTr="000232FC">
        <w:trPr>
          <w:trHeight w:val="315"/>
        </w:trPr>
        <w:tc>
          <w:tcPr>
            <w:tcW w:w="1737" w:type="dxa"/>
            <w:tcBorders>
              <w:top w:val="nil"/>
              <w:left w:val="nil"/>
              <w:bottom w:val="nil"/>
              <w:right w:val="nil"/>
            </w:tcBorders>
            <w:shd w:val="clear" w:color="auto" w:fill="auto"/>
            <w:noWrap/>
            <w:vAlign w:val="bottom"/>
            <w:hideMark/>
          </w:tcPr>
          <w:p w14:paraId="636832EE"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C3_ETR</w:t>
            </w:r>
          </w:p>
        </w:tc>
        <w:tc>
          <w:tcPr>
            <w:tcW w:w="1143" w:type="dxa"/>
            <w:tcBorders>
              <w:top w:val="nil"/>
              <w:left w:val="nil"/>
              <w:bottom w:val="nil"/>
              <w:right w:val="nil"/>
            </w:tcBorders>
            <w:shd w:val="clear" w:color="auto" w:fill="auto"/>
            <w:noWrap/>
            <w:vAlign w:val="bottom"/>
            <w:hideMark/>
          </w:tcPr>
          <w:p w14:paraId="2F76CFF2"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0.95</w:t>
            </w:r>
          </w:p>
        </w:tc>
        <w:tc>
          <w:tcPr>
            <w:tcW w:w="1260" w:type="dxa"/>
            <w:tcBorders>
              <w:top w:val="nil"/>
              <w:left w:val="nil"/>
              <w:bottom w:val="nil"/>
              <w:right w:val="nil"/>
            </w:tcBorders>
            <w:shd w:val="clear" w:color="auto" w:fill="auto"/>
            <w:noWrap/>
            <w:vAlign w:val="bottom"/>
            <w:hideMark/>
          </w:tcPr>
          <w:p w14:paraId="7C144E94"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0.95</w:t>
            </w:r>
          </w:p>
        </w:tc>
        <w:tc>
          <w:tcPr>
            <w:tcW w:w="576" w:type="dxa"/>
            <w:tcBorders>
              <w:top w:val="nil"/>
              <w:left w:val="nil"/>
              <w:bottom w:val="nil"/>
              <w:right w:val="nil"/>
            </w:tcBorders>
            <w:shd w:val="clear" w:color="auto" w:fill="auto"/>
            <w:noWrap/>
            <w:vAlign w:val="bottom"/>
            <w:hideMark/>
          </w:tcPr>
          <w:p w14:paraId="3217718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nil"/>
              <w:right w:val="nil"/>
            </w:tcBorders>
            <w:shd w:val="clear" w:color="auto" w:fill="auto"/>
            <w:noWrap/>
            <w:vAlign w:val="bottom"/>
            <w:hideMark/>
          </w:tcPr>
          <w:p w14:paraId="486B72A8"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CL3_INCLUDE</w:t>
            </w:r>
          </w:p>
        </w:tc>
        <w:tc>
          <w:tcPr>
            <w:tcW w:w="1118" w:type="dxa"/>
            <w:tcBorders>
              <w:top w:val="nil"/>
              <w:left w:val="nil"/>
              <w:bottom w:val="nil"/>
              <w:right w:val="nil"/>
            </w:tcBorders>
            <w:shd w:val="clear" w:color="auto" w:fill="auto"/>
            <w:noWrap/>
            <w:vAlign w:val="bottom"/>
            <w:hideMark/>
          </w:tcPr>
          <w:p w14:paraId="5D1A615C"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0.31</w:t>
            </w:r>
          </w:p>
        </w:tc>
        <w:tc>
          <w:tcPr>
            <w:tcW w:w="1440" w:type="dxa"/>
            <w:tcBorders>
              <w:top w:val="nil"/>
              <w:left w:val="nil"/>
              <w:bottom w:val="nil"/>
              <w:right w:val="nil"/>
            </w:tcBorders>
            <w:shd w:val="clear" w:color="auto" w:fill="auto"/>
            <w:noWrap/>
            <w:vAlign w:val="bottom"/>
            <w:hideMark/>
          </w:tcPr>
          <w:p w14:paraId="5815E774"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B4F48">
              <w:rPr>
                <w:rFonts w:ascii="Times New Roman" w:eastAsia="Times New Roman" w:hAnsi="Times New Roman" w:cs="Times New Roman"/>
                <w:color w:val="000000"/>
                <w:sz w:val="24"/>
                <w:szCs w:val="24"/>
              </w:rPr>
              <w:t>0.29</w:t>
            </w:r>
          </w:p>
        </w:tc>
      </w:tr>
      <w:tr w:rsidR="00624EE6" w:rsidRPr="003B4F48" w14:paraId="60824B07" w14:textId="77777777" w:rsidTr="000232FC">
        <w:trPr>
          <w:trHeight w:val="330"/>
        </w:trPr>
        <w:tc>
          <w:tcPr>
            <w:tcW w:w="1737" w:type="dxa"/>
            <w:tcBorders>
              <w:top w:val="nil"/>
              <w:left w:val="nil"/>
              <w:bottom w:val="nil"/>
              <w:right w:val="nil"/>
            </w:tcBorders>
            <w:shd w:val="clear" w:color="auto" w:fill="auto"/>
            <w:noWrap/>
            <w:vAlign w:val="bottom"/>
            <w:hideMark/>
          </w:tcPr>
          <w:p w14:paraId="20F7CDFC"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C4_INTPEN</w:t>
            </w:r>
          </w:p>
        </w:tc>
        <w:tc>
          <w:tcPr>
            <w:tcW w:w="1143" w:type="dxa"/>
            <w:tcBorders>
              <w:top w:val="nil"/>
              <w:left w:val="nil"/>
              <w:bottom w:val="nil"/>
              <w:right w:val="nil"/>
            </w:tcBorders>
            <w:shd w:val="clear" w:color="auto" w:fill="auto"/>
            <w:noWrap/>
            <w:vAlign w:val="bottom"/>
            <w:hideMark/>
          </w:tcPr>
          <w:p w14:paraId="5DA6085F"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0.88</w:t>
            </w:r>
          </w:p>
        </w:tc>
        <w:tc>
          <w:tcPr>
            <w:tcW w:w="1260" w:type="dxa"/>
            <w:tcBorders>
              <w:top w:val="nil"/>
              <w:left w:val="nil"/>
              <w:bottom w:val="nil"/>
              <w:right w:val="nil"/>
            </w:tcBorders>
            <w:shd w:val="clear" w:color="auto" w:fill="auto"/>
            <w:noWrap/>
            <w:vAlign w:val="bottom"/>
            <w:hideMark/>
          </w:tcPr>
          <w:p w14:paraId="459C1DD2"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0.89</w:t>
            </w:r>
          </w:p>
        </w:tc>
        <w:tc>
          <w:tcPr>
            <w:tcW w:w="576" w:type="dxa"/>
            <w:tcBorders>
              <w:top w:val="nil"/>
              <w:left w:val="nil"/>
              <w:bottom w:val="nil"/>
              <w:right w:val="nil"/>
            </w:tcBorders>
            <w:shd w:val="clear" w:color="auto" w:fill="auto"/>
            <w:noWrap/>
            <w:vAlign w:val="bottom"/>
            <w:hideMark/>
          </w:tcPr>
          <w:p w14:paraId="1130DE0E"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single" w:sz="8" w:space="0" w:color="auto"/>
              <w:right w:val="nil"/>
            </w:tcBorders>
            <w:shd w:val="clear" w:color="auto" w:fill="auto"/>
            <w:noWrap/>
            <w:vAlign w:val="bottom"/>
            <w:hideMark/>
          </w:tcPr>
          <w:p w14:paraId="1AC36D9E"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CL4_LUMP</w:t>
            </w:r>
          </w:p>
        </w:tc>
        <w:tc>
          <w:tcPr>
            <w:tcW w:w="1118" w:type="dxa"/>
            <w:tcBorders>
              <w:top w:val="nil"/>
              <w:left w:val="nil"/>
              <w:bottom w:val="single" w:sz="8" w:space="0" w:color="auto"/>
              <w:right w:val="nil"/>
            </w:tcBorders>
            <w:shd w:val="clear" w:color="auto" w:fill="auto"/>
            <w:noWrap/>
            <w:vAlign w:val="bottom"/>
            <w:hideMark/>
          </w:tcPr>
          <w:p w14:paraId="56511885"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0.18</w:t>
            </w:r>
          </w:p>
        </w:tc>
        <w:tc>
          <w:tcPr>
            <w:tcW w:w="1440" w:type="dxa"/>
            <w:tcBorders>
              <w:top w:val="nil"/>
              <w:left w:val="nil"/>
              <w:bottom w:val="single" w:sz="8" w:space="0" w:color="auto"/>
              <w:right w:val="nil"/>
            </w:tcBorders>
            <w:shd w:val="clear" w:color="auto" w:fill="auto"/>
            <w:noWrap/>
            <w:vAlign w:val="bottom"/>
            <w:hideMark/>
          </w:tcPr>
          <w:p w14:paraId="00268328" w14:textId="77777777" w:rsidR="00624EE6" w:rsidRPr="003B4F48" w:rsidRDefault="00624EE6" w:rsidP="005E7AC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B4F48">
              <w:rPr>
                <w:rFonts w:ascii="Times New Roman" w:eastAsia="Times New Roman" w:hAnsi="Times New Roman" w:cs="Times New Roman"/>
                <w:color w:val="000000"/>
                <w:sz w:val="24"/>
                <w:szCs w:val="24"/>
              </w:rPr>
              <w:t>0.18</w:t>
            </w:r>
          </w:p>
        </w:tc>
      </w:tr>
      <w:tr w:rsidR="00624EE6" w:rsidRPr="003B4F48" w14:paraId="12051F14" w14:textId="77777777" w:rsidTr="000232FC">
        <w:trPr>
          <w:trHeight w:val="315"/>
        </w:trPr>
        <w:tc>
          <w:tcPr>
            <w:tcW w:w="1737" w:type="dxa"/>
            <w:tcBorders>
              <w:top w:val="nil"/>
              <w:left w:val="nil"/>
              <w:bottom w:val="nil"/>
              <w:right w:val="nil"/>
            </w:tcBorders>
            <w:shd w:val="clear" w:color="auto" w:fill="auto"/>
            <w:noWrap/>
            <w:vAlign w:val="bottom"/>
            <w:hideMark/>
          </w:tcPr>
          <w:p w14:paraId="01853FEA"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C5_CLASS</w:t>
            </w:r>
          </w:p>
        </w:tc>
        <w:tc>
          <w:tcPr>
            <w:tcW w:w="1143" w:type="dxa"/>
            <w:tcBorders>
              <w:top w:val="nil"/>
              <w:left w:val="nil"/>
              <w:bottom w:val="nil"/>
              <w:right w:val="nil"/>
            </w:tcBorders>
            <w:shd w:val="clear" w:color="auto" w:fill="auto"/>
            <w:noWrap/>
            <w:vAlign w:val="bottom"/>
            <w:hideMark/>
          </w:tcPr>
          <w:p w14:paraId="6FF192E0"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0.97</w:t>
            </w:r>
          </w:p>
        </w:tc>
        <w:tc>
          <w:tcPr>
            <w:tcW w:w="1260" w:type="dxa"/>
            <w:tcBorders>
              <w:top w:val="nil"/>
              <w:left w:val="nil"/>
              <w:bottom w:val="nil"/>
              <w:right w:val="nil"/>
            </w:tcBorders>
            <w:shd w:val="clear" w:color="auto" w:fill="auto"/>
            <w:noWrap/>
            <w:vAlign w:val="bottom"/>
            <w:hideMark/>
          </w:tcPr>
          <w:p w14:paraId="219C954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0.97</w:t>
            </w:r>
          </w:p>
        </w:tc>
        <w:tc>
          <w:tcPr>
            <w:tcW w:w="576" w:type="dxa"/>
            <w:tcBorders>
              <w:top w:val="nil"/>
              <w:left w:val="nil"/>
              <w:bottom w:val="nil"/>
              <w:right w:val="nil"/>
            </w:tcBorders>
            <w:shd w:val="clear" w:color="auto" w:fill="auto"/>
            <w:noWrap/>
            <w:vAlign w:val="bottom"/>
            <w:hideMark/>
          </w:tcPr>
          <w:p w14:paraId="0F17E4E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nil"/>
              <w:right w:val="nil"/>
            </w:tcBorders>
            <w:shd w:val="clear" w:color="auto" w:fill="auto"/>
            <w:noWrap/>
            <w:vAlign w:val="bottom"/>
            <w:hideMark/>
          </w:tcPr>
          <w:p w14:paraId="22B5C538"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118" w:type="dxa"/>
            <w:tcBorders>
              <w:top w:val="nil"/>
              <w:left w:val="nil"/>
              <w:bottom w:val="nil"/>
              <w:right w:val="nil"/>
            </w:tcBorders>
            <w:shd w:val="clear" w:color="auto" w:fill="auto"/>
            <w:noWrap/>
            <w:vAlign w:val="bottom"/>
            <w:hideMark/>
          </w:tcPr>
          <w:p w14:paraId="325BB183"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02B5C2F7" w14:textId="77777777" w:rsidR="00624EE6" w:rsidRPr="003B4F48" w:rsidRDefault="00624EE6" w:rsidP="005E7AC2">
            <w:pPr>
              <w:spacing w:after="0" w:line="240" w:lineRule="auto"/>
              <w:rPr>
                <w:rFonts w:ascii="Times New Roman" w:eastAsia="Times New Roman" w:hAnsi="Times New Roman" w:cs="Times New Roman"/>
                <w:sz w:val="20"/>
                <w:szCs w:val="20"/>
              </w:rPr>
            </w:pPr>
          </w:p>
        </w:tc>
      </w:tr>
      <w:tr w:rsidR="00624EE6" w:rsidRPr="003B4F48" w14:paraId="3D51A31A" w14:textId="77777777" w:rsidTr="000232FC">
        <w:trPr>
          <w:trHeight w:val="315"/>
        </w:trPr>
        <w:tc>
          <w:tcPr>
            <w:tcW w:w="1737" w:type="dxa"/>
            <w:tcBorders>
              <w:top w:val="nil"/>
              <w:left w:val="nil"/>
              <w:bottom w:val="nil"/>
              <w:right w:val="nil"/>
            </w:tcBorders>
            <w:shd w:val="clear" w:color="auto" w:fill="auto"/>
            <w:noWrap/>
            <w:vAlign w:val="bottom"/>
            <w:hideMark/>
          </w:tcPr>
          <w:p w14:paraId="6985EF39"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C6_OPEN</w:t>
            </w:r>
          </w:p>
        </w:tc>
        <w:tc>
          <w:tcPr>
            <w:tcW w:w="1143" w:type="dxa"/>
            <w:tcBorders>
              <w:top w:val="nil"/>
              <w:left w:val="nil"/>
              <w:bottom w:val="nil"/>
              <w:right w:val="nil"/>
            </w:tcBorders>
            <w:shd w:val="clear" w:color="auto" w:fill="auto"/>
            <w:noWrap/>
            <w:vAlign w:val="bottom"/>
            <w:hideMark/>
          </w:tcPr>
          <w:p w14:paraId="52374DF3"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0.97</w:t>
            </w:r>
          </w:p>
        </w:tc>
        <w:tc>
          <w:tcPr>
            <w:tcW w:w="1260" w:type="dxa"/>
            <w:tcBorders>
              <w:top w:val="nil"/>
              <w:left w:val="nil"/>
              <w:bottom w:val="nil"/>
              <w:right w:val="nil"/>
            </w:tcBorders>
            <w:shd w:val="clear" w:color="auto" w:fill="auto"/>
            <w:noWrap/>
            <w:vAlign w:val="bottom"/>
            <w:hideMark/>
          </w:tcPr>
          <w:p w14:paraId="2EB640DD"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0.96</w:t>
            </w:r>
          </w:p>
        </w:tc>
        <w:tc>
          <w:tcPr>
            <w:tcW w:w="576" w:type="dxa"/>
            <w:tcBorders>
              <w:top w:val="nil"/>
              <w:left w:val="nil"/>
              <w:bottom w:val="nil"/>
              <w:right w:val="nil"/>
            </w:tcBorders>
            <w:shd w:val="clear" w:color="auto" w:fill="auto"/>
            <w:noWrap/>
            <w:vAlign w:val="bottom"/>
            <w:hideMark/>
          </w:tcPr>
          <w:p w14:paraId="20E3331B"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nil"/>
              <w:right w:val="nil"/>
            </w:tcBorders>
            <w:shd w:val="clear" w:color="auto" w:fill="auto"/>
            <w:noWrap/>
            <w:vAlign w:val="bottom"/>
            <w:hideMark/>
          </w:tcPr>
          <w:p w14:paraId="472C5DF6"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118" w:type="dxa"/>
            <w:tcBorders>
              <w:top w:val="nil"/>
              <w:left w:val="nil"/>
              <w:bottom w:val="nil"/>
              <w:right w:val="nil"/>
            </w:tcBorders>
            <w:shd w:val="clear" w:color="auto" w:fill="auto"/>
            <w:noWrap/>
            <w:vAlign w:val="bottom"/>
            <w:hideMark/>
          </w:tcPr>
          <w:p w14:paraId="0C1D8754"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63DD56A3" w14:textId="77777777" w:rsidR="00624EE6" w:rsidRPr="003B4F48" w:rsidRDefault="00624EE6" w:rsidP="005E7AC2">
            <w:pPr>
              <w:spacing w:after="0" w:line="240" w:lineRule="auto"/>
              <w:rPr>
                <w:rFonts w:ascii="Times New Roman" w:eastAsia="Times New Roman" w:hAnsi="Times New Roman" w:cs="Times New Roman"/>
                <w:sz w:val="20"/>
                <w:szCs w:val="20"/>
              </w:rPr>
            </w:pPr>
          </w:p>
        </w:tc>
      </w:tr>
      <w:tr w:rsidR="00624EE6" w:rsidRPr="003B4F48" w14:paraId="7B629456" w14:textId="77777777" w:rsidTr="000232FC">
        <w:trPr>
          <w:trHeight w:val="315"/>
        </w:trPr>
        <w:tc>
          <w:tcPr>
            <w:tcW w:w="1737" w:type="dxa"/>
            <w:tcBorders>
              <w:top w:val="nil"/>
              <w:left w:val="nil"/>
              <w:bottom w:val="nil"/>
              <w:right w:val="nil"/>
            </w:tcBorders>
            <w:shd w:val="clear" w:color="auto" w:fill="auto"/>
            <w:noWrap/>
            <w:vAlign w:val="bottom"/>
            <w:hideMark/>
          </w:tcPr>
          <w:p w14:paraId="7FEAE7E5"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C7_FWD</w:t>
            </w:r>
          </w:p>
        </w:tc>
        <w:tc>
          <w:tcPr>
            <w:tcW w:w="1143" w:type="dxa"/>
            <w:tcBorders>
              <w:top w:val="nil"/>
              <w:left w:val="nil"/>
              <w:bottom w:val="nil"/>
              <w:right w:val="nil"/>
            </w:tcBorders>
            <w:shd w:val="clear" w:color="auto" w:fill="auto"/>
            <w:noWrap/>
            <w:vAlign w:val="bottom"/>
            <w:hideMark/>
          </w:tcPr>
          <w:p w14:paraId="71CF3905"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0.87</w:t>
            </w:r>
          </w:p>
        </w:tc>
        <w:tc>
          <w:tcPr>
            <w:tcW w:w="1260" w:type="dxa"/>
            <w:tcBorders>
              <w:top w:val="nil"/>
              <w:left w:val="nil"/>
              <w:bottom w:val="nil"/>
              <w:right w:val="nil"/>
            </w:tcBorders>
            <w:shd w:val="clear" w:color="auto" w:fill="auto"/>
            <w:noWrap/>
            <w:vAlign w:val="bottom"/>
            <w:hideMark/>
          </w:tcPr>
          <w:p w14:paraId="35CB6655"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0.86</w:t>
            </w:r>
          </w:p>
        </w:tc>
        <w:tc>
          <w:tcPr>
            <w:tcW w:w="576" w:type="dxa"/>
            <w:tcBorders>
              <w:top w:val="nil"/>
              <w:left w:val="nil"/>
              <w:bottom w:val="nil"/>
              <w:right w:val="nil"/>
            </w:tcBorders>
            <w:shd w:val="clear" w:color="auto" w:fill="auto"/>
            <w:noWrap/>
            <w:vAlign w:val="bottom"/>
            <w:hideMark/>
          </w:tcPr>
          <w:p w14:paraId="5721ABE9"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p>
        </w:tc>
        <w:tc>
          <w:tcPr>
            <w:tcW w:w="1816" w:type="dxa"/>
            <w:tcBorders>
              <w:top w:val="nil"/>
              <w:left w:val="nil"/>
              <w:bottom w:val="nil"/>
              <w:right w:val="nil"/>
            </w:tcBorders>
            <w:shd w:val="clear" w:color="auto" w:fill="auto"/>
            <w:noWrap/>
            <w:vAlign w:val="bottom"/>
            <w:hideMark/>
          </w:tcPr>
          <w:p w14:paraId="41CCEC1A"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118" w:type="dxa"/>
            <w:tcBorders>
              <w:top w:val="nil"/>
              <w:left w:val="nil"/>
              <w:bottom w:val="nil"/>
              <w:right w:val="nil"/>
            </w:tcBorders>
            <w:shd w:val="clear" w:color="auto" w:fill="auto"/>
            <w:noWrap/>
            <w:vAlign w:val="bottom"/>
            <w:hideMark/>
          </w:tcPr>
          <w:p w14:paraId="6D8A6ED8"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72CB46A8" w14:textId="77777777" w:rsidR="00624EE6" w:rsidRPr="003B4F48" w:rsidRDefault="00624EE6" w:rsidP="005E7AC2">
            <w:pPr>
              <w:spacing w:after="0" w:line="240" w:lineRule="auto"/>
              <w:rPr>
                <w:rFonts w:ascii="Times New Roman" w:eastAsia="Times New Roman" w:hAnsi="Times New Roman" w:cs="Times New Roman"/>
                <w:sz w:val="20"/>
                <w:szCs w:val="20"/>
              </w:rPr>
            </w:pPr>
          </w:p>
        </w:tc>
      </w:tr>
      <w:tr w:rsidR="00624EE6" w:rsidRPr="003B4F48" w14:paraId="7AA6DCD5" w14:textId="77777777" w:rsidTr="000232FC">
        <w:trPr>
          <w:trHeight w:val="330"/>
        </w:trPr>
        <w:tc>
          <w:tcPr>
            <w:tcW w:w="1737" w:type="dxa"/>
            <w:tcBorders>
              <w:top w:val="nil"/>
              <w:left w:val="nil"/>
              <w:bottom w:val="single" w:sz="8" w:space="0" w:color="auto"/>
              <w:right w:val="nil"/>
            </w:tcBorders>
            <w:shd w:val="clear" w:color="auto" w:fill="auto"/>
            <w:noWrap/>
            <w:vAlign w:val="bottom"/>
            <w:hideMark/>
          </w:tcPr>
          <w:p w14:paraId="0FE1AA72" w14:textId="77777777" w:rsidR="00624EE6" w:rsidRPr="003B4F48" w:rsidRDefault="00624EE6" w:rsidP="005E7AC2">
            <w:pPr>
              <w:spacing w:after="0" w:line="240" w:lineRule="auto"/>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C8_ADOPT</w:t>
            </w:r>
          </w:p>
        </w:tc>
        <w:tc>
          <w:tcPr>
            <w:tcW w:w="1143" w:type="dxa"/>
            <w:tcBorders>
              <w:top w:val="nil"/>
              <w:left w:val="nil"/>
              <w:bottom w:val="single" w:sz="8" w:space="0" w:color="auto"/>
              <w:right w:val="nil"/>
            </w:tcBorders>
            <w:shd w:val="clear" w:color="auto" w:fill="auto"/>
            <w:noWrap/>
            <w:vAlign w:val="bottom"/>
            <w:hideMark/>
          </w:tcPr>
          <w:p w14:paraId="5F548CFC"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0.56</w:t>
            </w:r>
          </w:p>
        </w:tc>
        <w:tc>
          <w:tcPr>
            <w:tcW w:w="1260" w:type="dxa"/>
            <w:tcBorders>
              <w:top w:val="nil"/>
              <w:left w:val="nil"/>
              <w:bottom w:val="single" w:sz="8" w:space="0" w:color="auto"/>
              <w:right w:val="nil"/>
            </w:tcBorders>
            <w:shd w:val="clear" w:color="auto" w:fill="auto"/>
            <w:noWrap/>
            <w:vAlign w:val="bottom"/>
            <w:hideMark/>
          </w:tcPr>
          <w:p w14:paraId="49B19AE1" w14:textId="77777777" w:rsidR="00624EE6" w:rsidRPr="003B4F48" w:rsidRDefault="00624EE6" w:rsidP="005E7AC2">
            <w:pPr>
              <w:spacing w:after="0" w:line="240" w:lineRule="auto"/>
              <w:jc w:val="right"/>
              <w:rPr>
                <w:rFonts w:ascii="Times New Roman" w:eastAsia="Times New Roman" w:hAnsi="Times New Roman" w:cs="Times New Roman"/>
                <w:color w:val="000000"/>
                <w:sz w:val="24"/>
                <w:szCs w:val="24"/>
              </w:rPr>
            </w:pPr>
            <w:r w:rsidRPr="003B4F48">
              <w:rPr>
                <w:rFonts w:ascii="Times New Roman" w:eastAsia="Times New Roman" w:hAnsi="Times New Roman" w:cs="Times New Roman"/>
                <w:color w:val="000000"/>
                <w:sz w:val="24"/>
                <w:szCs w:val="24"/>
              </w:rPr>
              <w:t>0.01</w:t>
            </w:r>
          </w:p>
        </w:tc>
        <w:tc>
          <w:tcPr>
            <w:tcW w:w="576" w:type="dxa"/>
            <w:tcBorders>
              <w:top w:val="nil"/>
              <w:left w:val="nil"/>
              <w:bottom w:val="nil"/>
              <w:right w:val="nil"/>
            </w:tcBorders>
            <w:shd w:val="clear" w:color="auto" w:fill="auto"/>
            <w:noWrap/>
            <w:vAlign w:val="bottom"/>
            <w:hideMark/>
          </w:tcPr>
          <w:p w14:paraId="3D8F82D4" w14:textId="77777777" w:rsidR="00624EE6" w:rsidRPr="003B4F48" w:rsidRDefault="00624EE6" w:rsidP="005E7AC2">
            <w:pPr>
              <w:spacing w:after="0" w:line="240" w:lineRule="auto"/>
              <w:jc w:val="both"/>
              <w:rPr>
                <w:rFonts w:ascii="Times New Roman" w:eastAsia="Times New Roman" w:hAnsi="Times New Roman" w:cs="Times New Roman"/>
                <w:b/>
                <w:bCs/>
                <w:color w:val="000000"/>
                <w:sz w:val="24"/>
                <w:szCs w:val="24"/>
              </w:rPr>
            </w:pPr>
            <w:r w:rsidRPr="003B4F48">
              <w:rPr>
                <w:rFonts w:ascii="Times New Roman" w:eastAsia="Times New Roman" w:hAnsi="Times New Roman" w:cs="Times New Roman"/>
                <w:b/>
                <w:bCs/>
                <w:color w:val="000000"/>
                <w:sz w:val="24"/>
                <w:szCs w:val="24"/>
              </w:rPr>
              <w:t>***</w:t>
            </w:r>
          </w:p>
        </w:tc>
        <w:tc>
          <w:tcPr>
            <w:tcW w:w="1816" w:type="dxa"/>
            <w:tcBorders>
              <w:top w:val="nil"/>
              <w:left w:val="nil"/>
              <w:bottom w:val="nil"/>
              <w:right w:val="nil"/>
            </w:tcBorders>
            <w:shd w:val="clear" w:color="auto" w:fill="auto"/>
            <w:noWrap/>
            <w:vAlign w:val="bottom"/>
            <w:hideMark/>
          </w:tcPr>
          <w:p w14:paraId="459AD7BB" w14:textId="77777777" w:rsidR="00624EE6" w:rsidRPr="003B4F48" w:rsidRDefault="00624EE6" w:rsidP="005E7AC2">
            <w:pPr>
              <w:spacing w:after="0" w:line="240" w:lineRule="auto"/>
              <w:rPr>
                <w:rFonts w:ascii="Times New Roman" w:eastAsia="Times New Roman" w:hAnsi="Times New Roman" w:cs="Times New Roman"/>
                <w:b/>
                <w:bCs/>
                <w:color w:val="000000"/>
                <w:sz w:val="24"/>
                <w:szCs w:val="24"/>
              </w:rPr>
            </w:pPr>
          </w:p>
        </w:tc>
        <w:tc>
          <w:tcPr>
            <w:tcW w:w="1118" w:type="dxa"/>
            <w:tcBorders>
              <w:top w:val="nil"/>
              <w:left w:val="nil"/>
              <w:bottom w:val="nil"/>
              <w:right w:val="nil"/>
            </w:tcBorders>
            <w:shd w:val="clear" w:color="auto" w:fill="auto"/>
            <w:noWrap/>
            <w:vAlign w:val="bottom"/>
            <w:hideMark/>
          </w:tcPr>
          <w:p w14:paraId="6052FD2B" w14:textId="77777777" w:rsidR="00624EE6" w:rsidRPr="003B4F48" w:rsidRDefault="00624EE6" w:rsidP="005E7AC2">
            <w:pPr>
              <w:spacing w:after="0" w:line="240" w:lineRule="auto"/>
              <w:rPr>
                <w:rFonts w:ascii="Times New Roman" w:eastAsia="Times New Roman" w:hAnsi="Times New Roman" w:cs="Times New Roman"/>
                <w:sz w:val="20"/>
                <w:szCs w:val="20"/>
              </w:rPr>
            </w:pPr>
          </w:p>
        </w:tc>
        <w:tc>
          <w:tcPr>
            <w:tcW w:w="1440" w:type="dxa"/>
            <w:tcBorders>
              <w:top w:val="nil"/>
              <w:left w:val="nil"/>
              <w:bottom w:val="nil"/>
              <w:right w:val="nil"/>
            </w:tcBorders>
            <w:shd w:val="clear" w:color="auto" w:fill="auto"/>
            <w:noWrap/>
            <w:vAlign w:val="bottom"/>
            <w:hideMark/>
          </w:tcPr>
          <w:p w14:paraId="6AC74B76" w14:textId="77777777" w:rsidR="00624EE6" w:rsidRPr="003B4F48" w:rsidRDefault="00624EE6" w:rsidP="005E7AC2">
            <w:pPr>
              <w:spacing w:after="0" w:line="240" w:lineRule="auto"/>
              <w:rPr>
                <w:rFonts w:ascii="Times New Roman" w:eastAsia="Times New Roman" w:hAnsi="Times New Roman" w:cs="Times New Roman"/>
                <w:sz w:val="20"/>
                <w:szCs w:val="20"/>
              </w:rPr>
            </w:pPr>
          </w:p>
        </w:tc>
      </w:tr>
    </w:tbl>
    <w:p w14:paraId="6E72D807" w14:textId="75CF36F3" w:rsidR="00624EE6" w:rsidRPr="00331E66" w:rsidRDefault="00624EE6" w:rsidP="00624EE6">
      <w:pPr>
        <w:spacing w:after="0"/>
        <w:rPr>
          <w:rFonts w:ascii="Times New Roman" w:hAnsi="Times New Roman" w:cs="Times New Roman"/>
          <w:bCs/>
          <w:sz w:val="20"/>
          <w:szCs w:val="24"/>
        </w:rPr>
      </w:pPr>
      <w:r w:rsidRPr="00331E66">
        <w:rPr>
          <w:rFonts w:ascii="Times New Roman" w:hAnsi="Times New Roman" w:cs="Times New Roman"/>
          <w:bCs/>
          <w:sz w:val="20"/>
          <w:szCs w:val="24"/>
        </w:rPr>
        <w:t>Notes: Th</w:t>
      </w:r>
      <w:r>
        <w:rPr>
          <w:rFonts w:ascii="Times New Roman" w:hAnsi="Times New Roman" w:cs="Times New Roman"/>
          <w:bCs/>
          <w:sz w:val="20"/>
          <w:szCs w:val="24"/>
        </w:rPr>
        <w:t>e</w:t>
      </w:r>
      <w:r w:rsidRPr="00331E66">
        <w:rPr>
          <w:rFonts w:ascii="Times New Roman" w:hAnsi="Times New Roman" w:cs="Times New Roman"/>
          <w:bCs/>
          <w:sz w:val="20"/>
          <w:szCs w:val="24"/>
        </w:rPr>
        <w:t>s</w:t>
      </w:r>
      <w:r>
        <w:rPr>
          <w:rFonts w:ascii="Times New Roman" w:hAnsi="Times New Roman" w:cs="Times New Roman"/>
          <w:bCs/>
          <w:sz w:val="20"/>
          <w:szCs w:val="24"/>
        </w:rPr>
        <w:t>e</w:t>
      </w:r>
      <w:r w:rsidRPr="00331E66">
        <w:rPr>
          <w:rFonts w:ascii="Times New Roman" w:hAnsi="Times New Roman" w:cs="Times New Roman"/>
          <w:bCs/>
          <w:sz w:val="20"/>
          <w:szCs w:val="24"/>
        </w:rPr>
        <w:t xml:space="preserve"> panel</w:t>
      </w:r>
      <w:r>
        <w:rPr>
          <w:rFonts w:ascii="Times New Roman" w:hAnsi="Times New Roman" w:cs="Times New Roman"/>
          <w:bCs/>
          <w:sz w:val="20"/>
          <w:szCs w:val="24"/>
        </w:rPr>
        <w:t>s</w:t>
      </w:r>
      <w:r w:rsidRPr="00331E66">
        <w:rPr>
          <w:rFonts w:ascii="Times New Roman" w:hAnsi="Times New Roman" w:cs="Times New Roman"/>
          <w:bCs/>
          <w:sz w:val="20"/>
          <w:szCs w:val="24"/>
        </w:rPr>
        <w:t xml:space="preserve"> presents descriptive </w:t>
      </w:r>
      <w:r>
        <w:rPr>
          <w:rFonts w:ascii="Times New Roman" w:hAnsi="Times New Roman" w:cs="Times New Roman"/>
          <w:bCs/>
          <w:sz w:val="20"/>
          <w:szCs w:val="24"/>
        </w:rPr>
        <w:t>statistics for the components</w:t>
      </w:r>
      <w:r w:rsidRPr="00331E66">
        <w:rPr>
          <w:rFonts w:ascii="Times New Roman" w:hAnsi="Times New Roman" w:cs="Times New Roman"/>
          <w:bCs/>
          <w:sz w:val="20"/>
          <w:szCs w:val="24"/>
        </w:rPr>
        <w:t xml:space="preserve"> </w:t>
      </w:r>
      <w:r>
        <w:rPr>
          <w:rFonts w:ascii="Times New Roman" w:hAnsi="Times New Roman" w:cs="Times New Roman"/>
          <w:bCs/>
          <w:sz w:val="20"/>
          <w:szCs w:val="24"/>
        </w:rPr>
        <w:t xml:space="preserve">of the COMPLETE and CLARITY disclosure scores reported in panels </w:t>
      </w:r>
      <w:r w:rsidRPr="00331E66">
        <w:rPr>
          <w:rFonts w:ascii="Times New Roman" w:hAnsi="Times New Roman" w:cs="Times New Roman"/>
          <w:bCs/>
          <w:sz w:val="20"/>
          <w:szCs w:val="24"/>
        </w:rPr>
        <w:t xml:space="preserve">for Pre (2009) and Post (2010) IRS Schedule UTP.  </w:t>
      </w:r>
      <w:r>
        <w:rPr>
          <w:rFonts w:ascii="Times New Roman" w:hAnsi="Times New Roman" w:cs="Times New Roman"/>
          <w:bCs/>
          <w:sz w:val="20"/>
          <w:szCs w:val="24"/>
        </w:rPr>
        <w:t xml:space="preserve">Please see Table 1 for a complete description of each component.  </w:t>
      </w:r>
      <w:r w:rsidRPr="00331E66">
        <w:rPr>
          <w:rFonts w:ascii="Times New Roman" w:hAnsi="Times New Roman" w:cs="Times New Roman"/>
          <w:sz w:val="20"/>
          <w:szCs w:val="16"/>
        </w:rPr>
        <w:t>*, **, *** denote signiﬁcance at the 0.10, 0.05, and 0.01 levels, respectively.</w:t>
      </w:r>
    </w:p>
    <w:p w14:paraId="46D6801A" w14:textId="7FF96DF2" w:rsidR="00624EE6" w:rsidRDefault="00624EE6" w:rsidP="00624EE6">
      <w:pPr>
        <w:spacing w:after="0"/>
        <w:jc w:val="center"/>
        <w:rPr>
          <w:rFonts w:ascii="Times New Roman" w:hAnsi="Times New Roman" w:cs="Times New Roman"/>
          <w:b/>
          <w:sz w:val="24"/>
          <w:szCs w:val="24"/>
        </w:rPr>
      </w:pPr>
    </w:p>
    <w:p w14:paraId="1EFBE942" w14:textId="77777777" w:rsidR="000232FC" w:rsidRDefault="000232FC" w:rsidP="00624EE6">
      <w:pPr>
        <w:spacing w:after="0"/>
        <w:jc w:val="center"/>
        <w:rPr>
          <w:rFonts w:ascii="Times New Roman" w:hAnsi="Times New Roman" w:cs="Times New Roman"/>
          <w:b/>
          <w:sz w:val="24"/>
          <w:szCs w:val="24"/>
        </w:rPr>
      </w:pPr>
    </w:p>
    <w:p w14:paraId="64BA047C"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 xml:space="preserve">Table </w:t>
      </w:r>
      <w:r>
        <w:rPr>
          <w:rFonts w:ascii="Times New Roman" w:hAnsi="Times New Roman" w:cs="Times New Roman"/>
          <w:b/>
          <w:sz w:val="24"/>
          <w:szCs w:val="24"/>
        </w:rPr>
        <w:t>4</w:t>
      </w:r>
    </w:p>
    <w:p w14:paraId="4F4B08A6" w14:textId="77777777" w:rsidR="00624EE6" w:rsidRPr="00331E66" w:rsidRDefault="00624EE6" w:rsidP="00624EE6">
      <w:pPr>
        <w:spacing w:after="0"/>
        <w:jc w:val="center"/>
        <w:rPr>
          <w:rFonts w:ascii="Times New Roman" w:hAnsi="Times New Roman" w:cs="Times New Roman"/>
          <w:b/>
          <w:sz w:val="24"/>
          <w:szCs w:val="24"/>
        </w:rPr>
      </w:pPr>
      <w:r w:rsidRPr="00331E66">
        <w:rPr>
          <w:rFonts w:ascii="Times New Roman" w:hAnsi="Times New Roman" w:cs="Times New Roman"/>
          <w:b/>
          <w:sz w:val="24"/>
          <w:szCs w:val="24"/>
        </w:rPr>
        <w:t>Descriptive Statistics</w:t>
      </w:r>
    </w:p>
    <w:p w14:paraId="0C97AEF6" w14:textId="77777777" w:rsidR="00624EE6" w:rsidRPr="00331E66" w:rsidRDefault="00624EE6" w:rsidP="00624EE6">
      <w:pPr>
        <w:spacing w:after="0"/>
        <w:jc w:val="center"/>
        <w:rPr>
          <w:rFonts w:ascii="Times New Roman" w:hAnsi="Times New Roman" w:cs="Times New Roman"/>
          <w:b/>
          <w:sz w:val="8"/>
          <w:szCs w:val="8"/>
        </w:rPr>
      </w:pPr>
    </w:p>
    <w:p w14:paraId="321FC100" w14:textId="77777777" w:rsidR="00624EE6" w:rsidRPr="00331E66" w:rsidRDefault="00624EE6" w:rsidP="00624EE6">
      <w:pPr>
        <w:spacing w:after="0"/>
        <w:jc w:val="center"/>
        <w:rPr>
          <w:rFonts w:ascii="Times New Roman" w:hAnsi="Times New Roman" w:cs="Times New Roman"/>
          <w:b/>
          <w:sz w:val="8"/>
          <w:szCs w:val="8"/>
        </w:rPr>
      </w:pPr>
    </w:p>
    <w:p w14:paraId="073BE83B" w14:textId="77777777" w:rsidR="00624EE6" w:rsidRPr="00331E66" w:rsidRDefault="00624EE6" w:rsidP="00624EE6">
      <w:pPr>
        <w:spacing w:after="0"/>
        <w:ind w:left="720" w:firstLine="450"/>
        <w:rPr>
          <w:rFonts w:ascii="Times New Roman" w:hAnsi="Times New Roman" w:cs="Times New Roman"/>
          <w:b/>
          <w:sz w:val="24"/>
          <w:szCs w:val="24"/>
        </w:rPr>
      </w:pPr>
      <w:r w:rsidRPr="00331E66">
        <w:rPr>
          <w:rFonts w:ascii="Times New Roman" w:hAnsi="Times New Roman" w:cs="Times New Roman"/>
          <w:b/>
          <w:sz w:val="24"/>
          <w:szCs w:val="24"/>
        </w:rPr>
        <w:t>Regression Variables</w:t>
      </w:r>
    </w:p>
    <w:tbl>
      <w:tblPr>
        <w:tblW w:w="6900" w:type="dxa"/>
        <w:jc w:val="center"/>
        <w:tblLook w:val="04A0" w:firstRow="1" w:lastRow="0" w:firstColumn="1" w:lastColumn="0" w:noHBand="0" w:noVBand="1"/>
      </w:tblPr>
      <w:tblGrid>
        <w:gridCol w:w="1523"/>
        <w:gridCol w:w="1340"/>
        <w:gridCol w:w="1420"/>
        <w:gridCol w:w="1540"/>
        <w:gridCol w:w="1282"/>
      </w:tblGrid>
      <w:tr w:rsidR="00624EE6" w:rsidRPr="0075699D" w14:paraId="6A21751F" w14:textId="77777777" w:rsidTr="005E7AC2">
        <w:trPr>
          <w:trHeight w:val="315"/>
          <w:jc w:val="center"/>
        </w:trPr>
        <w:tc>
          <w:tcPr>
            <w:tcW w:w="1420" w:type="dxa"/>
            <w:tcBorders>
              <w:top w:val="single" w:sz="4" w:space="0" w:color="auto"/>
              <w:left w:val="nil"/>
              <w:bottom w:val="nil"/>
              <w:right w:val="nil"/>
            </w:tcBorders>
            <w:shd w:val="clear" w:color="auto" w:fill="auto"/>
            <w:noWrap/>
            <w:vAlign w:val="bottom"/>
            <w:hideMark/>
          </w:tcPr>
          <w:p w14:paraId="2048E100" w14:textId="77777777" w:rsidR="00624EE6" w:rsidRPr="0075699D" w:rsidRDefault="00624EE6" w:rsidP="005E7AC2">
            <w:pPr>
              <w:spacing w:after="0" w:line="240" w:lineRule="auto"/>
              <w:rPr>
                <w:rFonts w:ascii="Times New Roman" w:eastAsia="Times New Roman" w:hAnsi="Times New Roman" w:cs="Times New Roman"/>
                <w:sz w:val="24"/>
                <w:szCs w:val="24"/>
              </w:rPr>
            </w:pPr>
          </w:p>
        </w:tc>
        <w:tc>
          <w:tcPr>
            <w:tcW w:w="1340" w:type="dxa"/>
            <w:tcBorders>
              <w:top w:val="single" w:sz="4" w:space="0" w:color="auto"/>
              <w:left w:val="nil"/>
              <w:bottom w:val="nil"/>
              <w:right w:val="nil"/>
            </w:tcBorders>
            <w:shd w:val="clear" w:color="auto" w:fill="auto"/>
            <w:noWrap/>
            <w:vAlign w:val="bottom"/>
            <w:hideMark/>
          </w:tcPr>
          <w:p w14:paraId="26EC6E01"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Full Sample</w:t>
            </w:r>
          </w:p>
        </w:tc>
        <w:tc>
          <w:tcPr>
            <w:tcW w:w="1420" w:type="dxa"/>
            <w:tcBorders>
              <w:top w:val="single" w:sz="4" w:space="0" w:color="auto"/>
              <w:left w:val="nil"/>
              <w:bottom w:val="nil"/>
              <w:right w:val="nil"/>
            </w:tcBorders>
            <w:shd w:val="clear" w:color="auto" w:fill="auto"/>
            <w:noWrap/>
            <w:vAlign w:val="bottom"/>
            <w:hideMark/>
          </w:tcPr>
          <w:p w14:paraId="5744EE42"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Pre-</w:t>
            </w:r>
            <w:proofErr w:type="spellStart"/>
            <w:r w:rsidRPr="0075699D">
              <w:rPr>
                <w:rFonts w:ascii="Times New Roman" w:eastAsia="Times New Roman" w:hAnsi="Times New Roman" w:cs="Times New Roman"/>
                <w:b/>
                <w:bCs/>
                <w:color w:val="000000"/>
                <w:sz w:val="24"/>
                <w:szCs w:val="24"/>
              </w:rPr>
              <w:t>SchUTP</w:t>
            </w:r>
            <w:proofErr w:type="spellEnd"/>
          </w:p>
        </w:tc>
        <w:tc>
          <w:tcPr>
            <w:tcW w:w="1540" w:type="dxa"/>
            <w:tcBorders>
              <w:top w:val="single" w:sz="4" w:space="0" w:color="auto"/>
              <w:left w:val="nil"/>
              <w:bottom w:val="nil"/>
              <w:right w:val="nil"/>
            </w:tcBorders>
            <w:shd w:val="clear" w:color="auto" w:fill="auto"/>
            <w:noWrap/>
            <w:vAlign w:val="bottom"/>
            <w:hideMark/>
          </w:tcPr>
          <w:p w14:paraId="0A754846"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Post-</w:t>
            </w:r>
            <w:proofErr w:type="spellStart"/>
            <w:r w:rsidRPr="0075699D">
              <w:rPr>
                <w:rFonts w:ascii="Times New Roman" w:eastAsia="Times New Roman" w:hAnsi="Times New Roman" w:cs="Times New Roman"/>
                <w:b/>
                <w:bCs/>
                <w:color w:val="000000"/>
                <w:sz w:val="24"/>
                <w:szCs w:val="24"/>
              </w:rPr>
              <w:t>SchUTP</w:t>
            </w:r>
            <w:proofErr w:type="spellEnd"/>
          </w:p>
        </w:tc>
        <w:tc>
          <w:tcPr>
            <w:tcW w:w="1180" w:type="dxa"/>
            <w:tcBorders>
              <w:top w:val="single" w:sz="4" w:space="0" w:color="auto"/>
              <w:left w:val="nil"/>
              <w:bottom w:val="nil"/>
              <w:right w:val="nil"/>
            </w:tcBorders>
            <w:shd w:val="clear" w:color="auto" w:fill="auto"/>
            <w:noWrap/>
            <w:vAlign w:val="bottom"/>
            <w:hideMark/>
          </w:tcPr>
          <w:p w14:paraId="5062674A"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t-test for</w:t>
            </w:r>
          </w:p>
        </w:tc>
      </w:tr>
      <w:tr w:rsidR="00624EE6" w:rsidRPr="0075699D" w14:paraId="3332C1AD" w14:textId="77777777" w:rsidTr="005E7AC2">
        <w:trPr>
          <w:trHeight w:val="645"/>
          <w:jc w:val="center"/>
        </w:trPr>
        <w:tc>
          <w:tcPr>
            <w:tcW w:w="1420" w:type="dxa"/>
            <w:tcBorders>
              <w:top w:val="nil"/>
              <w:left w:val="nil"/>
              <w:bottom w:val="single" w:sz="8" w:space="0" w:color="auto"/>
              <w:right w:val="nil"/>
            </w:tcBorders>
            <w:shd w:val="clear" w:color="auto" w:fill="auto"/>
            <w:noWrap/>
            <w:vAlign w:val="bottom"/>
            <w:hideMark/>
          </w:tcPr>
          <w:p w14:paraId="20970E0A"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Variable</w:t>
            </w:r>
          </w:p>
        </w:tc>
        <w:tc>
          <w:tcPr>
            <w:tcW w:w="1340" w:type="dxa"/>
            <w:tcBorders>
              <w:top w:val="nil"/>
              <w:left w:val="nil"/>
              <w:bottom w:val="single" w:sz="8" w:space="0" w:color="auto"/>
              <w:right w:val="nil"/>
            </w:tcBorders>
            <w:shd w:val="clear" w:color="auto" w:fill="auto"/>
            <w:vAlign w:val="bottom"/>
            <w:hideMark/>
          </w:tcPr>
          <w:p w14:paraId="5E025F10"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n = 1456</w:t>
            </w:r>
            <w:r w:rsidRPr="0075699D">
              <w:rPr>
                <w:rFonts w:ascii="Times New Roman" w:eastAsia="Times New Roman" w:hAnsi="Times New Roman" w:cs="Times New Roman"/>
                <w:b/>
                <w:bCs/>
                <w:color w:val="000000"/>
                <w:sz w:val="24"/>
                <w:szCs w:val="24"/>
              </w:rPr>
              <w:br/>
              <w:t>Mean</w:t>
            </w:r>
          </w:p>
        </w:tc>
        <w:tc>
          <w:tcPr>
            <w:tcW w:w="1420" w:type="dxa"/>
            <w:tcBorders>
              <w:top w:val="nil"/>
              <w:left w:val="nil"/>
              <w:bottom w:val="single" w:sz="8" w:space="0" w:color="auto"/>
              <w:right w:val="nil"/>
            </w:tcBorders>
            <w:shd w:val="clear" w:color="auto" w:fill="auto"/>
            <w:vAlign w:val="bottom"/>
            <w:hideMark/>
          </w:tcPr>
          <w:p w14:paraId="1C05C2F4"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n= 728</w:t>
            </w:r>
            <w:r w:rsidRPr="0075699D">
              <w:rPr>
                <w:rFonts w:ascii="Times New Roman" w:eastAsia="Times New Roman" w:hAnsi="Times New Roman" w:cs="Times New Roman"/>
                <w:b/>
                <w:bCs/>
                <w:color w:val="000000"/>
                <w:sz w:val="24"/>
                <w:szCs w:val="24"/>
              </w:rPr>
              <w:br/>
              <w:t>Mean</w:t>
            </w:r>
          </w:p>
        </w:tc>
        <w:tc>
          <w:tcPr>
            <w:tcW w:w="1540" w:type="dxa"/>
            <w:tcBorders>
              <w:top w:val="nil"/>
              <w:left w:val="nil"/>
              <w:bottom w:val="single" w:sz="8" w:space="0" w:color="auto"/>
              <w:right w:val="nil"/>
            </w:tcBorders>
            <w:shd w:val="clear" w:color="auto" w:fill="auto"/>
            <w:vAlign w:val="bottom"/>
            <w:hideMark/>
          </w:tcPr>
          <w:p w14:paraId="2414D1D3"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n= 728</w:t>
            </w:r>
            <w:r w:rsidRPr="0075699D">
              <w:rPr>
                <w:rFonts w:ascii="Times New Roman" w:eastAsia="Times New Roman" w:hAnsi="Times New Roman" w:cs="Times New Roman"/>
                <w:b/>
                <w:bCs/>
                <w:color w:val="000000"/>
                <w:sz w:val="24"/>
                <w:szCs w:val="24"/>
              </w:rPr>
              <w:br/>
              <w:t>Mean</w:t>
            </w:r>
          </w:p>
        </w:tc>
        <w:tc>
          <w:tcPr>
            <w:tcW w:w="1180" w:type="dxa"/>
            <w:tcBorders>
              <w:top w:val="nil"/>
              <w:left w:val="nil"/>
              <w:bottom w:val="single" w:sz="8" w:space="0" w:color="auto"/>
              <w:right w:val="nil"/>
            </w:tcBorders>
            <w:shd w:val="clear" w:color="auto" w:fill="auto"/>
            <w:vAlign w:val="bottom"/>
            <w:hideMark/>
          </w:tcPr>
          <w:p w14:paraId="4DC2548F" w14:textId="77777777" w:rsidR="00624EE6" w:rsidRPr="0075699D" w:rsidRDefault="00624EE6" w:rsidP="005E7AC2">
            <w:pPr>
              <w:spacing w:after="0" w:line="240" w:lineRule="auto"/>
              <w:jc w:val="center"/>
              <w:rPr>
                <w:rFonts w:ascii="Times New Roman" w:eastAsia="Times New Roman" w:hAnsi="Times New Roman" w:cs="Times New Roman"/>
                <w:b/>
                <w:bCs/>
                <w:color w:val="000000"/>
                <w:sz w:val="24"/>
                <w:szCs w:val="24"/>
              </w:rPr>
            </w:pPr>
            <w:r w:rsidRPr="0075699D">
              <w:rPr>
                <w:rFonts w:ascii="Times New Roman" w:eastAsia="Times New Roman" w:hAnsi="Times New Roman" w:cs="Times New Roman"/>
                <w:b/>
                <w:bCs/>
                <w:color w:val="000000"/>
                <w:sz w:val="24"/>
                <w:szCs w:val="24"/>
              </w:rPr>
              <w:t>Difference in means</w:t>
            </w:r>
          </w:p>
        </w:tc>
      </w:tr>
      <w:tr w:rsidR="00624EE6" w:rsidRPr="0075699D" w14:paraId="615DBA1E" w14:textId="77777777" w:rsidTr="005E7AC2">
        <w:trPr>
          <w:trHeight w:val="315"/>
          <w:jc w:val="center"/>
        </w:trPr>
        <w:tc>
          <w:tcPr>
            <w:tcW w:w="1420" w:type="dxa"/>
            <w:tcBorders>
              <w:top w:val="nil"/>
              <w:left w:val="nil"/>
              <w:bottom w:val="nil"/>
              <w:right w:val="nil"/>
            </w:tcBorders>
            <w:shd w:val="clear" w:color="auto" w:fill="auto"/>
            <w:vAlign w:val="center"/>
            <w:hideMark/>
          </w:tcPr>
          <w:p w14:paraId="3D3CC784"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proofErr w:type="spellStart"/>
            <w:r w:rsidRPr="0075699D">
              <w:rPr>
                <w:rFonts w:ascii="Times New Roman" w:eastAsia="Times New Roman" w:hAnsi="Times New Roman" w:cs="Times New Roman"/>
                <w:color w:val="000000"/>
                <w:sz w:val="24"/>
                <w:szCs w:val="24"/>
              </w:rPr>
              <w:t>SchUTP</w:t>
            </w:r>
            <w:proofErr w:type="spellEnd"/>
          </w:p>
        </w:tc>
        <w:tc>
          <w:tcPr>
            <w:tcW w:w="1340" w:type="dxa"/>
            <w:tcBorders>
              <w:top w:val="nil"/>
              <w:left w:val="nil"/>
              <w:bottom w:val="nil"/>
              <w:right w:val="nil"/>
            </w:tcBorders>
            <w:shd w:val="clear" w:color="auto" w:fill="auto"/>
            <w:noWrap/>
            <w:vAlign w:val="bottom"/>
            <w:hideMark/>
          </w:tcPr>
          <w:p w14:paraId="5FBED93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0.50</w:t>
            </w:r>
          </w:p>
        </w:tc>
        <w:tc>
          <w:tcPr>
            <w:tcW w:w="1420" w:type="dxa"/>
            <w:tcBorders>
              <w:top w:val="nil"/>
              <w:left w:val="nil"/>
              <w:bottom w:val="nil"/>
              <w:right w:val="nil"/>
            </w:tcBorders>
            <w:shd w:val="clear" w:color="auto" w:fill="auto"/>
            <w:noWrap/>
            <w:vAlign w:val="bottom"/>
            <w:hideMark/>
          </w:tcPr>
          <w:p w14:paraId="37A0BB2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w:t>
            </w:r>
          </w:p>
        </w:tc>
        <w:tc>
          <w:tcPr>
            <w:tcW w:w="1540" w:type="dxa"/>
            <w:tcBorders>
              <w:top w:val="nil"/>
              <w:left w:val="nil"/>
              <w:bottom w:val="nil"/>
              <w:right w:val="nil"/>
            </w:tcBorders>
            <w:shd w:val="clear" w:color="auto" w:fill="auto"/>
            <w:noWrap/>
            <w:vAlign w:val="bottom"/>
            <w:hideMark/>
          </w:tcPr>
          <w:p w14:paraId="2C3961C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1.00</w:t>
            </w:r>
          </w:p>
        </w:tc>
        <w:tc>
          <w:tcPr>
            <w:tcW w:w="1180" w:type="dxa"/>
            <w:tcBorders>
              <w:top w:val="nil"/>
              <w:left w:val="nil"/>
              <w:bottom w:val="nil"/>
              <w:right w:val="nil"/>
            </w:tcBorders>
            <w:shd w:val="clear" w:color="auto" w:fill="auto"/>
            <w:noWrap/>
            <w:vAlign w:val="bottom"/>
            <w:hideMark/>
          </w:tcPr>
          <w:p w14:paraId="3069AEA5"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092BD1DB" w14:textId="77777777" w:rsidTr="005E7AC2">
        <w:trPr>
          <w:trHeight w:val="315"/>
          <w:jc w:val="center"/>
        </w:trPr>
        <w:tc>
          <w:tcPr>
            <w:tcW w:w="1420" w:type="dxa"/>
            <w:tcBorders>
              <w:top w:val="nil"/>
              <w:left w:val="nil"/>
              <w:bottom w:val="nil"/>
              <w:right w:val="nil"/>
            </w:tcBorders>
            <w:shd w:val="clear" w:color="auto" w:fill="auto"/>
            <w:vAlign w:val="center"/>
            <w:hideMark/>
          </w:tcPr>
          <w:p w14:paraId="63BA0A5B"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CETR</w:t>
            </w:r>
          </w:p>
        </w:tc>
        <w:tc>
          <w:tcPr>
            <w:tcW w:w="1340" w:type="dxa"/>
            <w:tcBorders>
              <w:top w:val="nil"/>
              <w:left w:val="nil"/>
              <w:bottom w:val="nil"/>
              <w:right w:val="nil"/>
            </w:tcBorders>
            <w:shd w:val="clear" w:color="auto" w:fill="auto"/>
            <w:noWrap/>
            <w:vAlign w:val="bottom"/>
            <w:hideMark/>
          </w:tcPr>
          <w:p w14:paraId="732C2FC1"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0.29</w:t>
            </w:r>
          </w:p>
        </w:tc>
        <w:tc>
          <w:tcPr>
            <w:tcW w:w="1420" w:type="dxa"/>
            <w:tcBorders>
              <w:top w:val="nil"/>
              <w:left w:val="nil"/>
              <w:bottom w:val="nil"/>
              <w:right w:val="nil"/>
            </w:tcBorders>
            <w:shd w:val="clear" w:color="auto" w:fill="auto"/>
            <w:noWrap/>
            <w:vAlign w:val="bottom"/>
            <w:hideMark/>
          </w:tcPr>
          <w:p w14:paraId="0130F22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0.30</w:t>
            </w:r>
          </w:p>
        </w:tc>
        <w:tc>
          <w:tcPr>
            <w:tcW w:w="1540" w:type="dxa"/>
            <w:tcBorders>
              <w:top w:val="nil"/>
              <w:left w:val="nil"/>
              <w:bottom w:val="nil"/>
              <w:right w:val="nil"/>
            </w:tcBorders>
            <w:shd w:val="clear" w:color="auto" w:fill="auto"/>
            <w:noWrap/>
            <w:vAlign w:val="bottom"/>
            <w:hideMark/>
          </w:tcPr>
          <w:p w14:paraId="4DC5AEEF"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0.27</w:t>
            </w:r>
          </w:p>
        </w:tc>
        <w:tc>
          <w:tcPr>
            <w:tcW w:w="1180" w:type="dxa"/>
            <w:tcBorders>
              <w:top w:val="nil"/>
              <w:left w:val="nil"/>
              <w:bottom w:val="nil"/>
              <w:right w:val="nil"/>
            </w:tcBorders>
            <w:shd w:val="clear" w:color="auto" w:fill="auto"/>
            <w:noWrap/>
            <w:vAlign w:val="bottom"/>
            <w:hideMark/>
          </w:tcPr>
          <w:p w14:paraId="33D4E39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598B00B9" w14:textId="77777777" w:rsidTr="005E7AC2">
        <w:trPr>
          <w:trHeight w:val="315"/>
          <w:jc w:val="center"/>
        </w:trPr>
        <w:tc>
          <w:tcPr>
            <w:tcW w:w="1420" w:type="dxa"/>
            <w:tcBorders>
              <w:top w:val="nil"/>
              <w:left w:val="nil"/>
              <w:bottom w:val="nil"/>
              <w:right w:val="nil"/>
            </w:tcBorders>
            <w:shd w:val="clear" w:color="auto" w:fill="auto"/>
            <w:vAlign w:val="center"/>
            <w:hideMark/>
          </w:tcPr>
          <w:p w14:paraId="711E624C"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UTB</w:t>
            </w:r>
          </w:p>
        </w:tc>
        <w:tc>
          <w:tcPr>
            <w:tcW w:w="1340" w:type="dxa"/>
            <w:tcBorders>
              <w:top w:val="nil"/>
              <w:left w:val="nil"/>
              <w:bottom w:val="nil"/>
              <w:right w:val="nil"/>
            </w:tcBorders>
            <w:shd w:val="clear" w:color="auto" w:fill="auto"/>
            <w:noWrap/>
            <w:vAlign w:val="bottom"/>
            <w:hideMark/>
          </w:tcPr>
          <w:p w14:paraId="35ADF01A"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2.89</w:t>
            </w:r>
          </w:p>
        </w:tc>
        <w:tc>
          <w:tcPr>
            <w:tcW w:w="1420" w:type="dxa"/>
            <w:tcBorders>
              <w:top w:val="nil"/>
              <w:left w:val="nil"/>
              <w:bottom w:val="nil"/>
              <w:right w:val="nil"/>
            </w:tcBorders>
            <w:shd w:val="clear" w:color="auto" w:fill="auto"/>
            <w:noWrap/>
            <w:vAlign w:val="bottom"/>
            <w:hideMark/>
          </w:tcPr>
          <w:p w14:paraId="6CE0DDE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2.92</w:t>
            </w:r>
          </w:p>
        </w:tc>
        <w:tc>
          <w:tcPr>
            <w:tcW w:w="1540" w:type="dxa"/>
            <w:tcBorders>
              <w:top w:val="nil"/>
              <w:left w:val="nil"/>
              <w:bottom w:val="nil"/>
              <w:right w:val="nil"/>
            </w:tcBorders>
            <w:shd w:val="clear" w:color="auto" w:fill="auto"/>
            <w:noWrap/>
            <w:vAlign w:val="bottom"/>
            <w:hideMark/>
          </w:tcPr>
          <w:p w14:paraId="09ADB333"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2.86</w:t>
            </w:r>
          </w:p>
        </w:tc>
        <w:tc>
          <w:tcPr>
            <w:tcW w:w="1180" w:type="dxa"/>
            <w:tcBorders>
              <w:top w:val="nil"/>
              <w:left w:val="nil"/>
              <w:bottom w:val="nil"/>
              <w:right w:val="nil"/>
            </w:tcBorders>
            <w:shd w:val="clear" w:color="auto" w:fill="auto"/>
            <w:noWrap/>
            <w:vAlign w:val="bottom"/>
            <w:hideMark/>
          </w:tcPr>
          <w:p w14:paraId="67C05BB4"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6B1DF8C2" w14:textId="77777777" w:rsidTr="005E7AC2">
        <w:trPr>
          <w:trHeight w:val="315"/>
          <w:jc w:val="center"/>
        </w:trPr>
        <w:tc>
          <w:tcPr>
            <w:tcW w:w="1420" w:type="dxa"/>
            <w:tcBorders>
              <w:top w:val="nil"/>
              <w:left w:val="nil"/>
              <w:bottom w:val="nil"/>
              <w:right w:val="nil"/>
            </w:tcBorders>
            <w:shd w:val="clear" w:color="auto" w:fill="auto"/>
            <w:vAlign w:val="center"/>
            <w:hideMark/>
          </w:tcPr>
          <w:p w14:paraId="44A7AE78"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SIZE</w:t>
            </w:r>
          </w:p>
        </w:tc>
        <w:tc>
          <w:tcPr>
            <w:tcW w:w="1340" w:type="dxa"/>
            <w:tcBorders>
              <w:top w:val="nil"/>
              <w:left w:val="nil"/>
              <w:bottom w:val="nil"/>
              <w:right w:val="nil"/>
            </w:tcBorders>
            <w:shd w:val="clear" w:color="auto" w:fill="auto"/>
            <w:noWrap/>
            <w:vAlign w:val="bottom"/>
            <w:hideMark/>
          </w:tcPr>
          <w:p w14:paraId="6FDD15B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8.28</w:t>
            </w:r>
          </w:p>
        </w:tc>
        <w:tc>
          <w:tcPr>
            <w:tcW w:w="1420" w:type="dxa"/>
            <w:tcBorders>
              <w:top w:val="nil"/>
              <w:left w:val="nil"/>
              <w:bottom w:val="nil"/>
              <w:right w:val="nil"/>
            </w:tcBorders>
            <w:shd w:val="clear" w:color="auto" w:fill="auto"/>
            <w:noWrap/>
            <w:vAlign w:val="bottom"/>
            <w:hideMark/>
          </w:tcPr>
          <w:p w14:paraId="0F964148"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8.23</w:t>
            </w:r>
          </w:p>
        </w:tc>
        <w:tc>
          <w:tcPr>
            <w:tcW w:w="1540" w:type="dxa"/>
            <w:tcBorders>
              <w:top w:val="nil"/>
              <w:left w:val="nil"/>
              <w:bottom w:val="nil"/>
              <w:right w:val="nil"/>
            </w:tcBorders>
            <w:shd w:val="clear" w:color="auto" w:fill="auto"/>
            <w:noWrap/>
            <w:vAlign w:val="bottom"/>
            <w:hideMark/>
          </w:tcPr>
          <w:p w14:paraId="1253252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8.32</w:t>
            </w:r>
          </w:p>
        </w:tc>
        <w:tc>
          <w:tcPr>
            <w:tcW w:w="1180" w:type="dxa"/>
            <w:tcBorders>
              <w:top w:val="nil"/>
              <w:left w:val="nil"/>
              <w:bottom w:val="nil"/>
              <w:right w:val="nil"/>
            </w:tcBorders>
            <w:shd w:val="clear" w:color="auto" w:fill="auto"/>
            <w:noWrap/>
            <w:vAlign w:val="bottom"/>
            <w:hideMark/>
          </w:tcPr>
          <w:p w14:paraId="1AC3F86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37799A19" w14:textId="77777777" w:rsidTr="005E7AC2">
        <w:trPr>
          <w:trHeight w:val="315"/>
          <w:jc w:val="center"/>
        </w:trPr>
        <w:tc>
          <w:tcPr>
            <w:tcW w:w="1420" w:type="dxa"/>
            <w:tcBorders>
              <w:top w:val="nil"/>
              <w:left w:val="nil"/>
              <w:bottom w:val="nil"/>
              <w:right w:val="nil"/>
            </w:tcBorders>
            <w:shd w:val="clear" w:color="auto" w:fill="auto"/>
            <w:vAlign w:val="center"/>
            <w:hideMark/>
          </w:tcPr>
          <w:p w14:paraId="77DD2D26"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PFT</w:t>
            </w:r>
          </w:p>
        </w:tc>
        <w:tc>
          <w:tcPr>
            <w:tcW w:w="1340" w:type="dxa"/>
            <w:tcBorders>
              <w:top w:val="nil"/>
              <w:left w:val="nil"/>
              <w:bottom w:val="nil"/>
              <w:right w:val="nil"/>
            </w:tcBorders>
            <w:shd w:val="clear" w:color="auto" w:fill="auto"/>
            <w:noWrap/>
            <w:vAlign w:val="bottom"/>
            <w:hideMark/>
          </w:tcPr>
          <w:p w14:paraId="7B1A029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0.02</w:t>
            </w:r>
          </w:p>
        </w:tc>
        <w:tc>
          <w:tcPr>
            <w:tcW w:w="1420" w:type="dxa"/>
            <w:tcBorders>
              <w:top w:val="nil"/>
              <w:left w:val="nil"/>
              <w:bottom w:val="nil"/>
              <w:right w:val="nil"/>
            </w:tcBorders>
            <w:shd w:val="clear" w:color="auto" w:fill="auto"/>
            <w:noWrap/>
            <w:vAlign w:val="bottom"/>
            <w:hideMark/>
          </w:tcPr>
          <w:p w14:paraId="2FE32BF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-0.01</w:t>
            </w:r>
          </w:p>
        </w:tc>
        <w:tc>
          <w:tcPr>
            <w:tcW w:w="1540" w:type="dxa"/>
            <w:tcBorders>
              <w:top w:val="nil"/>
              <w:left w:val="nil"/>
              <w:bottom w:val="nil"/>
              <w:right w:val="nil"/>
            </w:tcBorders>
            <w:shd w:val="clear" w:color="auto" w:fill="auto"/>
            <w:noWrap/>
            <w:vAlign w:val="bottom"/>
            <w:hideMark/>
          </w:tcPr>
          <w:p w14:paraId="391A37A3"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0.05</w:t>
            </w:r>
          </w:p>
        </w:tc>
        <w:tc>
          <w:tcPr>
            <w:tcW w:w="1180" w:type="dxa"/>
            <w:tcBorders>
              <w:top w:val="nil"/>
              <w:left w:val="nil"/>
              <w:bottom w:val="nil"/>
              <w:right w:val="nil"/>
            </w:tcBorders>
            <w:shd w:val="clear" w:color="auto" w:fill="auto"/>
            <w:noWrap/>
            <w:vAlign w:val="bottom"/>
            <w:hideMark/>
          </w:tcPr>
          <w:p w14:paraId="3DD535B1"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1FB6763F" w14:textId="77777777" w:rsidTr="005E7AC2">
        <w:trPr>
          <w:trHeight w:val="315"/>
          <w:jc w:val="center"/>
        </w:trPr>
        <w:tc>
          <w:tcPr>
            <w:tcW w:w="1420" w:type="dxa"/>
            <w:tcBorders>
              <w:top w:val="nil"/>
              <w:left w:val="nil"/>
              <w:bottom w:val="nil"/>
              <w:right w:val="nil"/>
            </w:tcBorders>
            <w:shd w:val="clear" w:color="auto" w:fill="auto"/>
            <w:vAlign w:val="center"/>
            <w:hideMark/>
          </w:tcPr>
          <w:p w14:paraId="4F197FE8"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CAPINT</w:t>
            </w:r>
          </w:p>
        </w:tc>
        <w:tc>
          <w:tcPr>
            <w:tcW w:w="1340" w:type="dxa"/>
            <w:tcBorders>
              <w:top w:val="nil"/>
              <w:left w:val="nil"/>
              <w:bottom w:val="nil"/>
              <w:right w:val="nil"/>
            </w:tcBorders>
            <w:shd w:val="clear" w:color="auto" w:fill="auto"/>
            <w:noWrap/>
            <w:vAlign w:val="bottom"/>
            <w:hideMark/>
          </w:tcPr>
          <w:p w14:paraId="204CC46B"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0.23</w:t>
            </w:r>
          </w:p>
        </w:tc>
        <w:tc>
          <w:tcPr>
            <w:tcW w:w="1420" w:type="dxa"/>
            <w:tcBorders>
              <w:top w:val="nil"/>
              <w:left w:val="nil"/>
              <w:bottom w:val="nil"/>
              <w:right w:val="nil"/>
            </w:tcBorders>
            <w:shd w:val="clear" w:color="auto" w:fill="auto"/>
            <w:noWrap/>
            <w:vAlign w:val="bottom"/>
            <w:hideMark/>
          </w:tcPr>
          <w:p w14:paraId="3C180E3E"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0.23</w:t>
            </w:r>
          </w:p>
        </w:tc>
        <w:tc>
          <w:tcPr>
            <w:tcW w:w="1540" w:type="dxa"/>
            <w:tcBorders>
              <w:top w:val="nil"/>
              <w:left w:val="nil"/>
              <w:bottom w:val="nil"/>
              <w:right w:val="nil"/>
            </w:tcBorders>
            <w:shd w:val="clear" w:color="auto" w:fill="auto"/>
            <w:noWrap/>
            <w:vAlign w:val="bottom"/>
            <w:hideMark/>
          </w:tcPr>
          <w:p w14:paraId="01E74468"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0.23</w:t>
            </w:r>
          </w:p>
        </w:tc>
        <w:tc>
          <w:tcPr>
            <w:tcW w:w="1180" w:type="dxa"/>
            <w:tcBorders>
              <w:top w:val="nil"/>
              <w:left w:val="nil"/>
              <w:bottom w:val="nil"/>
              <w:right w:val="nil"/>
            </w:tcBorders>
            <w:shd w:val="clear" w:color="auto" w:fill="auto"/>
            <w:noWrap/>
            <w:vAlign w:val="bottom"/>
            <w:hideMark/>
          </w:tcPr>
          <w:p w14:paraId="20380221"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5A4C7619" w14:textId="77777777" w:rsidTr="005E7AC2">
        <w:trPr>
          <w:trHeight w:val="315"/>
          <w:jc w:val="center"/>
        </w:trPr>
        <w:tc>
          <w:tcPr>
            <w:tcW w:w="1420" w:type="dxa"/>
            <w:tcBorders>
              <w:top w:val="nil"/>
              <w:left w:val="nil"/>
              <w:bottom w:val="nil"/>
              <w:right w:val="nil"/>
            </w:tcBorders>
            <w:shd w:val="clear" w:color="auto" w:fill="auto"/>
            <w:vAlign w:val="center"/>
            <w:hideMark/>
          </w:tcPr>
          <w:p w14:paraId="35E31997"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LTDA</w:t>
            </w:r>
          </w:p>
        </w:tc>
        <w:tc>
          <w:tcPr>
            <w:tcW w:w="1340" w:type="dxa"/>
            <w:tcBorders>
              <w:top w:val="nil"/>
              <w:left w:val="nil"/>
              <w:bottom w:val="nil"/>
              <w:right w:val="nil"/>
            </w:tcBorders>
            <w:shd w:val="clear" w:color="auto" w:fill="auto"/>
            <w:noWrap/>
            <w:vAlign w:val="bottom"/>
            <w:hideMark/>
          </w:tcPr>
          <w:p w14:paraId="6459935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0.18</w:t>
            </w:r>
          </w:p>
        </w:tc>
        <w:tc>
          <w:tcPr>
            <w:tcW w:w="1420" w:type="dxa"/>
            <w:tcBorders>
              <w:top w:val="nil"/>
              <w:left w:val="nil"/>
              <w:bottom w:val="nil"/>
              <w:right w:val="nil"/>
            </w:tcBorders>
            <w:shd w:val="clear" w:color="auto" w:fill="auto"/>
            <w:noWrap/>
            <w:vAlign w:val="bottom"/>
            <w:hideMark/>
          </w:tcPr>
          <w:p w14:paraId="5B774AFF"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0.18</w:t>
            </w:r>
          </w:p>
        </w:tc>
        <w:tc>
          <w:tcPr>
            <w:tcW w:w="1540" w:type="dxa"/>
            <w:tcBorders>
              <w:top w:val="nil"/>
              <w:left w:val="nil"/>
              <w:bottom w:val="nil"/>
              <w:right w:val="nil"/>
            </w:tcBorders>
            <w:shd w:val="clear" w:color="auto" w:fill="auto"/>
            <w:noWrap/>
            <w:vAlign w:val="bottom"/>
            <w:hideMark/>
          </w:tcPr>
          <w:p w14:paraId="0A850E47"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0.17</w:t>
            </w:r>
          </w:p>
        </w:tc>
        <w:tc>
          <w:tcPr>
            <w:tcW w:w="1180" w:type="dxa"/>
            <w:tcBorders>
              <w:top w:val="nil"/>
              <w:left w:val="nil"/>
              <w:bottom w:val="nil"/>
              <w:right w:val="nil"/>
            </w:tcBorders>
            <w:shd w:val="clear" w:color="auto" w:fill="auto"/>
            <w:noWrap/>
            <w:vAlign w:val="bottom"/>
            <w:hideMark/>
          </w:tcPr>
          <w:p w14:paraId="2D817404"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19493A26" w14:textId="77777777" w:rsidTr="005E7AC2">
        <w:trPr>
          <w:trHeight w:val="315"/>
          <w:jc w:val="center"/>
        </w:trPr>
        <w:tc>
          <w:tcPr>
            <w:tcW w:w="1420" w:type="dxa"/>
            <w:tcBorders>
              <w:top w:val="nil"/>
              <w:left w:val="nil"/>
              <w:bottom w:val="nil"/>
              <w:right w:val="nil"/>
            </w:tcBorders>
            <w:shd w:val="clear" w:color="auto" w:fill="auto"/>
            <w:vAlign w:val="center"/>
            <w:hideMark/>
          </w:tcPr>
          <w:p w14:paraId="425B8336"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MB</w:t>
            </w:r>
          </w:p>
        </w:tc>
        <w:tc>
          <w:tcPr>
            <w:tcW w:w="1340" w:type="dxa"/>
            <w:tcBorders>
              <w:top w:val="nil"/>
              <w:left w:val="nil"/>
              <w:bottom w:val="nil"/>
              <w:right w:val="nil"/>
            </w:tcBorders>
            <w:shd w:val="clear" w:color="auto" w:fill="auto"/>
            <w:noWrap/>
            <w:vAlign w:val="bottom"/>
            <w:hideMark/>
          </w:tcPr>
          <w:p w14:paraId="4BC5783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2.70</w:t>
            </w:r>
          </w:p>
        </w:tc>
        <w:tc>
          <w:tcPr>
            <w:tcW w:w="1420" w:type="dxa"/>
            <w:tcBorders>
              <w:top w:val="nil"/>
              <w:left w:val="nil"/>
              <w:bottom w:val="nil"/>
              <w:right w:val="nil"/>
            </w:tcBorders>
            <w:shd w:val="clear" w:color="auto" w:fill="auto"/>
            <w:noWrap/>
            <w:vAlign w:val="bottom"/>
            <w:hideMark/>
          </w:tcPr>
          <w:p w14:paraId="71A0FE3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3.10</w:t>
            </w:r>
          </w:p>
        </w:tc>
        <w:tc>
          <w:tcPr>
            <w:tcW w:w="1540" w:type="dxa"/>
            <w:tcBorders>
              <w:top w:val="nil"/>
              <w:left w:val="nil"/>
              <w:bottom w:val="nil"/>
              <w:right w:val="nil"/>
            </w:tcBorders>
            <w:shd w:val="clear" w:color="auto" w:fill="auto"/>
            <w:noWrap/>
            <w:vAlign w:val="bottom"/>
            <w:hideMark/>
          </w:tcPr>
          <w:p w14:paraId="48464F77"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2.30</w:t>
            </w:r>
          </w:p>
        </w:tc>
        <w:tc>
          <w:tcPr>
            <w:tcW w:w="1180" w:type="dxa"/>
            <w:tcBorders>
              <w:top w:val="nil"/>
              <w:left w:val="nil"/>
              <w:bottom w:val="nil"/>
              <w:right w:val="nil"/>
            </w:tcBorders>
            <w:shd w:val="clear" w:color="auto" w:fill="auto"/>
            <w:noWrap/>
            <w:vAlign w:val="bottom"/>
            <w:hideMark/>
          </w:tcPr>
          <w:p w14:paraId="4C6351E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5F20DF7E" w14:textId="77777777" w:rsidTr="005E7AC2">
        <w:trPr>
          <w:trHeight w:val="315"/>
          <w:jc w:val="center"/>
        </w:trPr>
        <w:tc>
          <w:tcPr>
            <w:tcW w:w="1420" w:type="dxa"/>
            <w:tcBorders>
              <w:top w:val="nil"/>
              <w:left w:val="nil"/>
              <w:bottom w:val="nil"/>
              <w:right w:val="nil"/>
            </w:tcBorders>
            <w:shd w:val="clear" w:color="auto" w:fill="auto"/>
            <w:vAlign w:val="center"/>
            <w:hideMark/>
          </w:tcPr>
          <w:p w14:paraId="29487EA0"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BIG4</w:t>
            </w:r>
          </w:p>
        </w:tc>
        <w:tc>
          <w:tcPr>
            <w:tcW w:w="1340" w:type="dxa"/>
            <w:tcBorders>
              <w:top w:val="nil"/>
              <w:left w:val="nil"/>
              <w:bottom w:val="nil"/>
              <w:right w:val="nil"/>
            </w:tcBorders>
            <w:shd w:val="clear" w:color="auto" w:fill="auto"/>
            <w:noWrap/>
            <w:vAlign w:val="bottom"/>
            <w:hideMark/>
          </w:tcPr>
          <w:p w14:paraId="5D2E8A27"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0.95</w:t>
            </w:r>
          </w:p>
        </w:tc>
        <w:tc>
          <w:tcPr>
            <w:tcW w:w="1420" w:type="dxa"/>
            <w:tcBorders>
              <w:top w:val="nil"/>
              <w:left w:val="nil"/>
              <w:bottom w:val="nil"/>
              <w:right w:val="nil"/>
            </w:tcBorders>
            <w:shd w:val="clear" w:color="auto" w:fill="auto"/>
            <w:noWrap/>
            <w:vAlign w:val="bottom"/>
            <w:hideMark/>
          </w:tcPr>
          <w:p w14:paraId="5D76E5B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0.95</w:t>
            </w:r>
          </w:p>
        </w:tc>
        <w:tc>
          <w:tcPr>
            <w:tcW w:w="1540" w:type="dxa"/>
            <w:tcBorders>
              <w:top w:val="nil"/>
              <w:left w:val="nil"/>
              <w:bottom w:val="nil"/>
              <w:right w:val="nil"/>
            </w:tcBorders>
            <w:shd w:val="clear" w:color="auto" w:fill="auto"/>
            <w:noWrap/>
            <w:vAlign w:val="bottom"/>
            <w:hideMark/>
          </w:tcPr>
          <w:p w14:paraId="355683E1"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0.95</w:t>
            </w:r>
          </w:p>
        </w:tc>
        <w:tc>
          <w:tcPr>
            <w:tcW w:w="1180" w:type="dxa"/>
            <w:tcBorders>
              <w:top w:val="nil"/>
              <w:left w:val="nil"/>
              <w:bottom w:val="nil"/>
              <w:right w:val="nil"/>
            </w:tcBorders>
            <w:shd w:val="clear" w:color="auto" w:fill="auto"/>
            <w:noWrap/>
            <w:vAlign w:val="bottom"/>
            <w:hideMark/>
          </w:tcPr>
          <w:p w14:paraId="530E1AA4"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00ADA623" w14:textId="77777777" w:rsidTr="005E7AC2">
        <w:trPr>
          <w:trHeight w:val="315"/>
          <w:jc w:val="center"/>
        </w:trPr>
        <w:tc>
          <w:tcPr>
            <w:tcW w:w="1420" w:type="dxa"/>
            <w:tcBorders>
              <w:top w:val="nil"/>
              <w:left w:val="nil"/>
              <w:bottom w:val="nil"/>
              <w:right w:val="nil"/>
            </w:tcBorders>
            <w:shd w:val="clear" w:color="auto" w:fill="auto"/>
            <w:vAlign w:val="center"/>
            <w:hideMark/>
          </w:tcPr>
          <w:p w14:paraId="0B2ABD6B"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TAXFEES</w:t>
            </w:r>
          </w:p>
        </w:tc>
        <w:tc>
          <w:tcPr>
            <w:tcW w:w="1340" w:type="dxa"/>
            <w:tcBorders>
              <w:top w:val="nil"/>
              <w:left w:val="nil"/>
              <w:bottom w:val="nil"/>
              <w:right w:val="nil"/>
            </w:tcBorders>
            <w:shd w:val="clear" w:color="auto" w:fill="auto"/>
            <w:noWrap/>
            <w:vAlign w:val="bottom"/>
            <w:hideMark/>
          </w:tcPr>
          <w:p w14:paraId="01B160C8"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0.09</w:t>
            </w:r>
          </w:p>
        </w:tc>
        <w:tc>
          <w:tcPr>
            <w:tcW w:w="1420" w:type="dxa"/>
            <w:tcBorders>
              <w:top w:val="nil"/>
              <w:left w:val="nil"/>
              <w:bottom w:val="nil"/>
              <w:right w:val="nil"/>
            </w:tcBorders>
            <w:shd w:val="clear" w:color="auto" w:fill="auto"/>
            <w:noWrap/>
            <w:vAlign w:val="bottom"/>
            <w:hideMark/>
          </w:tcPr>
          <w:p w14:paraId="0CDA80E5"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0.08</w:t>
            </w:r>
          </w:p>
        </w:tc>
        <w:tc>
          <w:tcPr>
            <w:tcW w:w="1540" w:type="dxa"/>
            <w:tcBorders>
              <w:top w:val="nil"/>
              <w:left w:val="nil"/>
              <w:bottom w:val="nil"/>
              <w:right w:val="nil"/>
            </w:tcBorders>
            <w:shd w:val="clear" w:color="auto" w:fill="auto"/>
            <w:noWrap/>
            <w:vAlign w:val="bottom"/>
            <w:hideMark/>
          </w:tcPr>
          <w:p w14:paraId="358F996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0.10</w:t>
            </w:r>
          </w:p>
        </w:tc>
        <w:tc>
          <w:tcPr>
            <w:tcW w:w="1180" w:type="dxa"/>
            <w:tcBorders>
              <w:top w:val="nil"/>
              <w:left w:val="nil"/>
              <w:bottom w:val="nil"/>
              <w:right w:val="nil"/>
            </w:tcBorders>
            <w:shd w:val="clear" w:color="auto" w:fill="auto"/>
            <w:noWrap/>
            <w:vAlign w:val="bottom"/>
            <w:hideMark/>
          </w:tcPr>
          <w:p w14:paraId="60FDB8F6"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w:t>
            </w:r>
          </w:p>
        </w:tc>
      </w:tr>
      <w:tr w:rsidR="00624EE6" w:rsidRPr="0075699D" w14:paraId="3CBB4ABF" w14:textId="77777777" w:rsidTr="005E7AC2">
        <w:trPr>
          <w:trHeight w:val="315"/>
          <w:jc w:val="center"/>
        </w:trPr>
        <w:tc>
          <w:tcPr>
            <w:tcW w:w="1420" w:type="dxa"/>
            <w:tcBorders>
              <w:top w:val="nil"/>
              <w:left w:val="nil"/>
              <w:bottom w:val="nil"/>
              <w:right w:val="nil"/>
            </w:tcBorders>
            <w:shd w:val="clear" w:color="auto" w:fill="auto"/>
            <w:vAlign w:val="center"/>
            <w:hideMark/>
          </w:tcPr>
          <w:p w14:paraId="20CB4E5B"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DAYSFILE</w:t>
            </w:r>
          </w:p>
        </w:tc>
        <w:tc>
          <w:tcPr>
            <w:tcW w:w="1340" w:type="dxa"/>
            <w:tcBorders>
              <w:top w:val="nil"/>
              <w:left w:val="nil"/>
              <w:bottom w:val="nil"/>
              <w:right w:val="nil"/>
            </w:tcBorders>
            <w:shd w:val="clear" w:color="auto" w:fill="auto"/>
            <w:noWrap/>
            <w:vAlign w:val="bottom"/>
            <w:hideMark/>
          </w:tcPr>
          <w:p w14:paraId="3289B108"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91.82</w:t>
            </w:r>
          </w:p>
        </w:tc>
        <w:tc>
          <w:tcPr>
            <w:tcW w:w="1420" w:type="dxa"/>
            <w:tcBorders>
              <w:top w:val="nil"/>
              <w:left w:val="nil"/>
              <w:bottom w:val="nil"/>
              <w:right w:val="nil"/>
            </w:tcBorders>
            <w:shd w:val="clear" w:color="auto" w:fill="auto"/>
            <w:noWrap/>
            <w:vAlign w:val="bottom"/>
            <w:hideMark/>
          </w:tcPr>
          <w:p w14:paraId="6759592E"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91.43</w:t>
            </w:r>
          </w:p>
        </w:tc>
        <w:tc>
          <w:tcPr>
            <w:tcW w:w="1540" w:type="dxa"/>
            <w:tcBorders>
              <w:top w:val="nil"/>
              <w:left w:val="nil"/>
              <w:bottom w:val="nil"/>
              <w:right w:val="nil"/>
            </w:tcBorders>
            <w:shd w:val="clear" w:color="auto" w:fill="auto"/>
            <w:noWrap/>
            <w:vAlign w:val="bottom"/>
            <w:hideMark/>
          </w:tcPr>
          <w:p w14:paraId="69BF3707"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92.20</w:t>
            </w:r>
          </w:p>
        </w:tc>
        <w:tc>
          <w:tcPr>
            <w:tcW w:w="1180" w:type="dxa"/>
            <w:tcBorders>
              <w:top w:val="nil"/>
              <w:left w:val="nil"/>
              <w:bottom w:val="nil"/>
              <w:right w:val="nil"/>
            </w:tcBorders>
            <w:shd w:val="clear" w:color="auto" w:fill="auto"/>
            <w:noWrap/>
            <w:vAlign w:val="bottom"/>
            <w:hideMark/>
          </w:tcPr>
          <w:p w14:paraId="67AEECB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7F613808" w14:textId="77777777" w:rsidTr="005E7AC2">
        <w:trPr>
          <w:trHeight w:val="315"/>
          <w:jc w:val="center"/>
        </w:trPr>
        <w:tc>
          <w:tcPr>
            <w:tcW w:w="1420" w:type="dxa"/>
            <w:tcBorders>
              <w:top w:val="nil"/>
              <w:left w:val="nil"/>
              <w:bottom w:val="nil"/>
              <w:right w:val="nil"/>
            </w:tcBorders>
            <w:shd w:val="clear" w:color="auto" w:fill="auto"/>
            <w:vAlign w:val="center"/>
            <w:hideMark/>
          </w:tcPr>
          <w:p w14:paraId="782F524E"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 xml:space="preserve">ANALYSTS      </w:t>
            </w:r>
          </w:p>
        </w:tc>
        <w:tc>
          <w:tcPr>
            <w:tcW w:w="1340" w:type="dxa"/>
            <w:tcBorders>
              <w:top w:val="nil"/>
              <w:left w:val="nil"/>
              <w:bottom w:val="nil"/>
              <w:right w:val="nil"/>
            </w:tcBorders>
            <w:shd w:val="clear" w:color="auto" w:fill="auto"/>
            <w:noWrap/>
            <w:vAlign w:val="bottom"/>
            <w:hideMark/>
          </w:tcPr>
          <w:p w14:paraId="4A75812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8.61</w:t>
            </w:r>
          </w:p>
        </w:tc>
        <w:tc>
          <w:tcPr>
            <w:tcW w:w="1420" w:type="dxa"/>
            <w:tcBorders>
              <w:top w:val="nil"/>
              <w:left w:val="nil"/>
              <w:bottom w:val="nil"/>
              <w:right w:val="nil"/>
            </w:tcBorders>
            <w:shd w:val="clear" w:color="auto" w:fill="auto"/>
            <w:noWrap/>
            <w:vAlign w:val="bottom"/>
            <w:hideMark/>
          </w:tcPr>
          <w:p w14:paraId="18E7C68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7.84</w:t>
            </w:r>
          </w:p>
        </w:tc>
        <w:tc>
          <w:tcPr>
            <w:tcW w:w="1540" w:type="dxa"/>
            <w:tcBorders>
              <w:top w:val="nil"/>
              <w:left w:val="nil"/>
              <w:bottom w:val="nil"/>
              <w:right w:val="nil"/>
            </w:tcBorders>
            <w:shd w:val="clear" w:color="auto" w:fill="auto"/>
            <w:noWrap/>
            <w:vAlign w:val="bottom"/>
            <w:hideMark/>
          </w:tcPr>
          <w:p w14:paraId="0EB6EB7A"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9.37</w:t>
            </w:r>
          </w:p>
        </w:tc>
        <w:tc>
          <w:tcPr>
            <w:tcW w:w="1180" w:type="dxa"/>
            <w:tcBorders>
              <w:top w:val="nil"/>
              <w:left w:val="nil"/>
              <w:bottom w:val="nil"/>
              <w:right w:val="nil"/>
            </w:tcBorders>
            <w:shd w:val="clear" w:color="auto" w:fill="auto"/>
            <w:noWrap/>
            <w:vAlign w:val="bottom"/>
            <w:hideMark/>
          </w:tcPr>
          <w:p w14:paraId="1A746C08"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w:t>
            </w:r>
          </w:p>
        </w:tc>
      </w:tr>
      <w:tr w:rsidR="00624EE6" w:rsidRPr="0075699D" w14:paraId="7636C7D2" w14:textId="77777777" w:rsidTr="005E7AC2">
        <w:trPr>
          <w:trHeight w:val="315"/>
          <w:jc w:val="center"/>
        </w:trPr>
        <w:tc>
          <w:tcPr>
            <w:tcW w:w="1420" w:type="dxa"/>
            <w:tcBorders>
              <w:top w:val="nil"/>
              <w:left w:val="nil"/>
              <w:bottom w:val="nil"/>
              <w:right w:val="nil"/>
            </w:tcBorders>
            <w:shd w:val="clear" w:color="auto" w:fill="auto"/>
            <w:vAlign w:val="center"/>
            <w:hideMark/>
          </w:tcPr>
          <w:p w14:paraId="4FAF95E6"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WEAKYRS</w:t>
            </w:r>
          </w:p>
        </w:tc>
        <w:tc>
          <w:tcPr>
            <w:tcW w:w="1340" w:type="dxa"/>
            <w:tcBorders>
              <w:top w:val="nil"/>
              <w:left w:val="nil"/>
              <w:bottom w:val="nil"/>
              <w:right w:val="nil"/>
            </w:tcBorders>
            <w:shd w:val="clear" w:color="auto" w:fill="auto"/>
            <w:noWrap/>
            <w:vAlign w:val="bottom"/>
            <w:hideMark/>
          </w:tcPr>
          <w:p w14:paraId="1E16704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0.11</w:t>
            </w:r>
          </w:p>
        </w:tc>
        <w:tc>
          <w:tcPr>
            <w:tcW w:w="1420" w:type="dxa"/>
            <w:tcBorders>
              <w:top w:val="nil"/>
              <w:left w:val="nil"/>
              <w:bottom w:val="nil"/>
              <w:right w:val="nil"/>
            </w:tcBorders>
            <w:shd w:val="clear" w:color="auto" w:fill="auto"/>
            <w:noWrap/>
            <w:vAlign w:val="bottom"/>
            <w:hideMark/>
          </w:tcPr>
          <w:p w14:paraId="5DDEE1F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0.11</w:t>
            </w:r>
          </w:p>
        </w:tc>
        <w:tc>
          <w:tcPr>
            <w:tcW w:w="1540" w:type="dxa"/>
            <w:tcBorders>
              <w:top w:val="nil"/>
              <w:left w:val="nil"/>
              <w:bottom w:val="nil"/>
              <w:right w:val="nil"/>
            </w:tcBorders>
            <w:shd w:val="clear" w:color="auto" w:fill="auto"/>
            <w:noWrap/>
            <w:vAlign w:val="bottom"/>
            <w:hideMark/>
          </w:tcPr>
          <w:p w14:paraId="4A905A3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0.12</w:t>
            </w:r>
          </w:p>
        </w:tc>
        <w:tc>
          <w:tcPr>
            <w:tcW w:w="1180" w:type="dxa"/>
            <w:tcBorders>
              <w:top w:val="nil"/>
              <w:left w:val="nil"/>
              <w:bottom w:val="nil"/>
              <w:right w:val="nil"/>
            </w:tcBorders>
            <w:shd w:val="clear" w:color="auto" w:fill="auto"/>
            <w:noWrap/>
            <w:vAlign w:val="bottom"/>
            <w:hideMark/>
          </w:tcPr>
          <w:p w14:paraId="1EE299E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650A07D4" w14:textId="77777777" w:rsidTr="005E7AC2">
        <w:trPr>
          <w:trHeight w:val="315"/>
          <w:jc w:val="center"/>
        </w:trPr>
        <w:tc>
          <w:tcPr>
            <w:tcW w:w="1420" w:type="dxa"/>
            <w:tcBorders>
              <w:top w:val="nil"/>
              <w:left w:val="nil"/>
              <w:bottom w:val="nil"/>
              <w:right w:val="nil"/>
            </w:tcBorders>
            <w:shd w:val="clear" w:color="auto" w:fill="auto"/>
            <w:vAlign w:val="center"/>
            <w:hideMark/>
          </w:tcPr>
          <w:p w14:paraId="2E9CB721"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BODINSIDE</w:t>
            </w:r>
          </w:p>
        </w:tc>
        <w:tc>
          <w:tcPr>
            <w:tcW w:w="1340" w:type="dxa"/>
            <w:tcBorders>
              <w:top w:val="nil"/>
              <w:left w:val="nil"/>
              <w:bottom w:val="nil"/>
              <w:right w:val="nil"/>
            </w:tcBorders>
            <w:shd w:val="clear" w:color="auto" w:fill="auto"/>
            <w:noWrap/>
            <w:vAlign w:val="bottom"/>
            <w:hideMark/>
          </w:tcPr>
          <w:p w14:paraId="4D2A3FEF"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0.14</w:t>
            </w:r>
          </w:p>
        </w:tc>
        <w:tc>
          <w:tcPr>
            <w:tcW w:w="1420" w:type="dxa"/>
            <w:tcBorders>
              <w:top w:val="nil"/>
              <w:left w:val="nil"/>
              <w:bottom w:val="nil"/>
              <w:right w:val="nil"/>
            </w:tcBorders>
            <w:shd w:val="clear" w:color="auto" w:fill="auto"/>
            <w:noWrap/>
            <w:vAlign w:val="bottom"/>
            <w:hideMark/>
          </w:tcPr>
          <w:p w14:paraId="68E39095"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0.14</w:t>
            </w:r>
          </w:p>
        </w:tc>
        <w:tc>
          <w:tcPr>
            <w:tcW w:w="1540" w:type="dxa"/>
            <w:tcBorders>
              <w:top w:val="nil"/>
              <w:left w:val="nil"/>
              <w:bottom w:val="nil"/>
              <w:right w:val="nil"/>
            </w:tcBorders>
            <w:shd w:val="clear" w:color="auto" w:fill="auto"/>
            <w:noWrap/>
            <w:vAlign w:val="bottom"/>
            <w:hideMark/>
          </w:tcPr>
          <w:p w14:paraId="7D2E9F6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0.14</w:t>
            </w:r>
          </w:p>
        </w:tc>
        <w:tc>
          <w:tcPr>
            <w:tcW w:w="1180" w:type="dxa"/>
            <w:tcBorders>
              <w:top w:val="nil"/>
              <w:left w:val="nil"/>
              <w:bottom w:val="nil"/>
              <w:right w:val="nil"/>
            </w:tcBorders>
            <w:shd w:val="clear" w:color="auto" w:fill="auto"/>
            <w:noWrap/>
            <w:vAlign w:val="bottom"/>
            <w:hideMark/>
          </w:tcPr>
          <w:p w14:paraId="00A56B17"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1DC24EAF" w14:textId="77777777" w:rsidTr="005E7AC2">
        <w:trPr>
          <w:trHeight w:val="315"/>
          <w:jc w:val="center"/>
        </w:trPr>
        <w:tc>
          <w:tcPr>
            <w:tcW w:w="1420" w:type="dxa"/>
            <w:tcBorders>
              <w:top w:val="nil"/>
              <w:left w:val="nil"/>
              <w:bottom w:val="nil"/>
              <w:right w:val="nil"/>
            </w:tcBorders>
            <w:shd w:val="clear" w:color="auto" w:fill="auto"/>
            <w:vAlign w:val="center"/>
            <w:hideMark/>
          </w:tcPr>
          <w:p w14:paraId="4CDB2BE1"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BODLOCKS</w:t>
            </w:r>
          </w:p>
        </w:tc>
        <w:tc>
          <w:tcPr>
            <w:tcW w:w="1340" w:type="dxa"/>
            <w:tcBorders>
              <w:top w:val="nil"/>
              <w:left w:val="nil"/>
              <w:bottom w:val="nil"/>
              <w:right w:val="nil"/>
            </w:tcBorders>
            <w:shd w:val="clear" w:color="auto" w:fill="auto"/>
            <w:noWrap/>
            <w:vAlign w:val="bottom"/>
            <w:hideMark/>
          </w:tcPr>
          <w:p w14:paraId="0F2F3035"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0.01</w:t>
            </w:r>
          </w:p>
        </w:tc>
        <w:tc>
          <w:tcPr>
            <w:tcW w:w="1420" w:type="dxa"/>
            <w:tcBorders>
              <w:top w:val="nil"/>
              <w:left w:val="nil"/>
              <w:bottom w:val="nil"/>
              <w:right w:val="nil"/>
            </w:tcBorders>
            <w:shd w:val="clear" w:color="auto" w:fill="auto"/>
            <w:noWrap/>
            <w:vAlign w:val="bottom"/>
            <w:hideMark/>
          </w:tcPr>
          <w:p w14:paraId="2059101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0.02</w:t>
            </w:r>
          </w:p>
        </w:tc>
        <w:tc>
          <w:tcPr>
            <w:tcW w:w="1540" w:type="dxa"/>
            <w:tcBorders>
              <w:top w:val="nil"/>
              <w:left w:val="nil"/>
              <w:bottom w:val="nil"/>
              <w:right w:val="nil"/>
            </w:tcBorders>
            <w:shd w:val="clear" w:color="auto" w:fill="auto"/>
            <w:noWrap/>
            <w:vAlign w:val="bottom"/>
            <w:hideMark/>
          </w:tcPr>
          <w:p w14:paraId="13CAE3A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0.01</w:t>
            </w:r>
          </w:p>
        </w:tc>
        <w:tc>
          <w:tcPr>
            <w:tcW w:w="1180" w:type="dxa"/>
            <w:tcBorders>
              <w:top w:val="nil"/>
              <w:left w:val="nil"/>
              <w:bottom w:val="nil"/>
              <w:right w:val="nil"/>
            </w:tcBorders>
            <w:shd w:val="clear" w:color="auto" w:fill="auto"/>
            <w:noWrap/>
            <w:vAlign w:val="bottom"/>
            <w:hideMark/>
          </w:tcPr>
          <w:p w14:paraId="698B3D7A"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41F9F682" w14:textId="77777777" w:rsidTr="005E7AC2">
        <w:trPr>
          <w:trHeight w:val="315"/>
          <w:jc w:val="center"/>
        </w:trPr>
        <w:tc>
          <w:tcPr>
            <w:tcW w:w="1420" w:type="dxa"/>
            <w:tcBorders>
              <w:top w:val="nil"/>
              <w:left w:val="nil"/>
              <w:bottom w:val="nil"/>
              <w:right w:val="nil"/>
            </w:tcBorders>
            <w:shd w:val="clear" w:color="auto" w:fill="auto"/>
            <w:vAlign w:val="center"/>
            <w:hideMark/>
          </w:tcPr>
          <w:p w14:paraId="42514F7D"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BODOTHER</w:t>
            </w:r>
          </w:p>
        </w:tc>
        <w:tc>
          <w:tcPr>
            <w:tcW w:w="1340" w:type="dxa"/>
            <w:tcBorders>
              <w:top w:val="nil"/>
              <w:left w:val="nil"/>
              <w:bottom w:val="nil"/>
              <w:right w:val="nil"/>
            </w:tcBorders>
            <w:shd w:val="clear" w:color="auto" w:fill="auto"/>
            <w:noWrap/>
            <w:vAlign w:val="bottom"/>
            <w:hideMark/>
          </w:tcPr>
          <w:p w14:paraId="446345ED"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0.80</w:t>
            </w:r>
          </w:p>
        </w:tc>
        <w:tc>
          <w:tcPr>
            <w:tcW w:w="1420" w:type="dxa"/>
            <w:tcBorders>
              <w:top w:val="nil"/>
              <w:left w:val="nil"/>
              <w:bottom w:val="nil"/>
              <w:right w:val="nil"/>
            </w:tcBorders>
            <w:shd w:val="clear" w:color="auto" w:fill="auto"/>
            <w:noWrap/>
            <w:vAlign w:val="bottom"/>
            <w:hideMark/>
          </w:tcPr>
          <w:p w14:paraId="2F7E74EF"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0.80</w:t>
            </w:r>
          </w:p>
        </w:tc>
        <w:tc>
          <w:tcPr>
            <w:tcW w:w="1540" w:type="dxa"/>
            <w:tcBorders>
              <w:top w:val="nil"/>
              <w:left w:val="nil"/>
              <w:bottom w:val="nil"/>
              <w:right w:val="nil"/>
            </w:tcBorders>
            <w:shd w:val="clear" w:color="auto" w:fill="auto"/>
            <w:noWrap/>
            <w:vAlign w:val="bottom"/>
            <w:hideMark/>
          </w:tcPr>
          <w:p w14:paraId="2158B484"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0.79</w:t>
            </w:r>
          </w:p>
        </w:tc>
        <w:tc>
          <w:tcPr>
            <w:tcW w:w="1180" w:type="dxa"/>
            <w:tcBorders>
              <w:top w:val="nil"/>
              <w:left w:val="nil"/>
              <w:bottom w:val="nil"/>
              <w:right w:val="nil"/>
            </w:tcBorders>
            <w:shd w:val="clear" w:color="auto" w:fill="auto"/>
            <w:noWrap/>
            <w:vAlign w:val="bottom"/>
            <w:hideMark/>
          </w:tcPr>
          <w:p w14:paraId="6311EE9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0DB8E5E6" w14:textId="77777777" w:rsidTr="005E7AC2">
        <w:trPr>
          <w:trHeight w:val="315"/>
          <w:jc w:val="center"/>
        </w:trPr>
        <w:tc>
          <w:tcPr>
            <w:tcW w:w="1420" w:type="dxa"/>
            <w:tcBorders>
              <w:top w:val="nil"/>
              <w:left w:val="nil"/>
              <w:bottom w:val="nil"/>
              <w:right w:val="nil"/>
            </w:tcBorders>
            <w:shd w:val="clear" w:color="auto" w:fill="auto"/>
            <w:vAlign w:val="center"/>
            <w:hideMark/>
          </w:tcPr>
          <w:p w14:paraId="2D72BE28"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LITDUM</w:t>
            </w:r>
          </w:p>
        </w:tc>
        <w:tc>
          <w:tcPr>
            <w:tcW w:w="1340" w:type="dxa"/>
            <w:tcBorders>
              <w:top w:val="nil"/>
              <w:left w:val="nil"/>
              <w:bottom w:val="nil"/>
              <w:right w:val="nil"/>
            </w:tcBorders>
            <w:shd w:val="clear" w:color="auto" w:fill="auto"/>
            <w:noWrap/>
            <w:vAlign w:val="bottom"/>
            <w:hideMark/>
          </w:tcPr>
          <w:p w14:paraId="25F5D1B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0.20</w:t>
            </w:r>
          </w:p>
        </w:tc>
        <w:tc>
          <w:tcPr>
            <w:tcW w:w="1420" w:type="dxa"/>
            <w:tcBorders>
              <w:top w:val="nil"/>
              <w:left w:val="nil"/>
              <w:bottom w:val="nil"/>
              <w:right w:val="nil"/>
            </w:tcBorders>
            <w:shd w:val="clear" w:color="auto" w:fill="auto"/>
            <w:noWrap/>
            <w:vAlign w:val="bottom"/>
            <w:hideMark/>
          </w:tcPr>
          <w:p w14:paraId="627AEA0A"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0.20</w:t>
            </w:r>
          </w:p>
        </w:tc>
        <w:tc>
          <w:tcPr>
            <w:tcW w:w="1540" w:type="dxa"/>
            <w:tcBorders>
              <w:top w:val="nil"/>
              <w:left w:val="nil"/>
              <w:bottom w:val="nil"/>
              <w:right w:val="nil"/>
            </w:tcBorders>
            <w:shd w:val="clear" w:color="auto" w:fill="auto"/>
            <w:noWrap/>
            <w:vAlign w:val="bottom"/>
            <w:hideMark/>
          </w:tcPr>
          <w:p w14:paraId="207160F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0.20</w:t>
            </w:r>
          </w:p>
        </w:tc>
        <w:tc>
          <w:tcPr>
            <w:tcW w:w="1180" w:type="dxa"/>
            <w:tcBorders>
              <w:top w:val="nil"/>
              <w:left w:val="nil"/>
              <w:bottom w:val="nil"/>
              <w:right w:val="nil"/>
            </w:tcBorders>
            <w:shd w:val="clear" w:color="auto" w:fill="auto"/>
            <w:noWrap/>
            <w:vAlign w:val="bottom"/>
            <w:hideMark/>
          </w:tcPr>
          <w:p w14:paraId="38A0D93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6111EAD6" w14:textId="77777777" w:rsidTr="005E7AC2">
        <w:trPr>
          <w:trHeight w:val="315"/>
          <w:jc w:val="center"/>
        </w:trPr>
        <w:tc>
          <w:tcPr>
            <w:tcW w:w="1420" w:type="dxa"/>
            <w:tcBorders>
              <w:top w:val="nil"/>
              <w:left w:val="nil"/>
              <w:bottom w:val="nil"/>
              <w:right w:val="nil"/>
            </w:tcBorders>
            <w:shd w:val="clear" w:color="auto" w:fill="auto"/>
            <w:vAlign w:val="center"/>
            <w:hideMark/>
          </w:tcPr>
          <w:p w14:paraId="09586BC5"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REGDUM</w:t>
            </w:r>
          </w:p>
        </w:tc>
        <w:tc>
          <w:tcPr>
            <w:tcW w:w="1340" w:type="dxa"/>
            <w:tcBorders>
              <w:top w:val="nil"/>
              <w:left w:val="nil"/>
              <w:bottom w:val="nil"/>
              <w:right w:val="nil"/>
            </w:tcBorders>
            <w:shd w:val="clear" w:color="auto" w:fill="auto"/>
            <w:noWrap/>
            <w:vAlign w:val="bottom"/>
            <w:hideMark/>
          </w:tcPr>
          <w:p w14:paraId="202B156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0.26</w:t>
            </w:r>
          </w:p>
        </w:tc>
        <w:tc>
          <w:tcPr>
            <w:tcW w:w="1420" w:type="dxa"/>
            <w:tcBorders>
              <w:top w:val="nil"/>
              <w:left w:val="nil"/>
              <w:bottom w:val="nil"/>
              <w:right w:val="nil"/>
            </w:tcBorders>
            <w:shd w:val="clear" w:color="auto" w:fill="auto"/>
            <w:noWrap/>
            <w:vAlign w:val="bottom"/>
            <w:hideMark/>
          </w:tcPr>
          <w:p w14:paraId="2FE19432"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0.26</w:t>
            </w:r>
          </w:p>
        </w:tc>
        <w:tc>
          <w:tcPr>
            <w:tcW w:w="1540" w:type="dxa"/>
            <w:tcBorders>
              <w:top w:val="nil"/>
              <w:left w:val="nil"/>
              <w:bottom w:val="nil"/>
              <w:right w:val="nil"/>
            </w:tcBorders>
            <w:shd w:val="clear" w:color="auto" w:fill="auto"/>
            <w:noWrap/>
            <w:vAlign w:val="bottom"/>
            <w:hideMark/>
          </w:tcPr>
          <w:p w14:paraId="7BFF1256"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0.26</w:t>
            </w:r>
          </w:p>
        </w:tc>
        <w:tc>
          <w:tcPr>
            <w:tcW w:w="1180" w:type="dxa"/>
            <w:tcBorders>
              <w:top w:val="nil"/>
              <w:left w:val="nil"/>
              <w:bottom w:val="nil"/>
              <w:right w:val="nil"/>
            </w:tcBorders>
            <w:shd w:val="clear" w:color="auto" w:fill="auto"/>
            <w:noWrap/>
            <w:vAlign w:val="bottom"/>
            <w:hideMark/>
          </w:tcPr>
          <w:p w14:paraId="036F54B9"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38BA2D4A" w14:textId="77777777" w:rsidTr="005E7AC2">
        <w:trPr>
          <w:trHeight w:val="315"/>
          <w:jc w:val="center"/>
        </w:trPr>
        <w:tc>
          <w:tcPr>
            <w:tcW w:w="1420" w:type="dxa"/>
            <w:tcBorders>
              <w:top w:val="nil"/>
              <w:left w:val="nil"/>
              <w:bottom w:val="nil"/>
              <w:right w:val="nil"/>
            </w:tcBorders>
            <w:shd w:val="clear" w:color="auto" w:fill="auto"/>
            <w:vAlign w:val="center"/>
            <w:hideMark/>
          </w:tcPr>
          <w:p w14:paraId="076B0556"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FOROPS</w:t>
            </w:r>
          </w:p>
        </w:tc>
        <w:tc>
          <w:tcPr>
            <w:tcW w:w="1340" w:type="dxa"/>
            <w:tcBorders>
              <w:top w:val="nil"/>
              <w:left w:val="nil"/>
              <w:bottom w:val="nil"/>
              <w:right w:val="nil"/>
            </w:tcBorders>
            <w:shd w:val="clear" w:color="auto" w:fill="auto"/>
            <w:noWrap/>
            <w:vAlign w:val="bottom"/>
            <w:hideMark/>
          </w:tcPr>
          <w:p w14:paraId="2FB875CE"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0.56</w:t>
            </w:r>
          </w:p>
        </w:tc>
        <w:tc>
          <w:tcPr>
            <w:tcW w:w="1420" w:type="dxa"/>
            <w:tcBorders>
              <w:top w:val="nil"/>
              <w:left w:val="nil"/>
              <w:bottom w:val="nil"/>
              <w:right w:val="nil"/>
            </w:tcBorders>
            <w:shd w:val="clear" w:color="auto" w:fill="auto"/>
            <w:noWrap/>
            <w:vAlign w:val="bottom"/>
            <w:hideMark/>
          </w:tcPr>
          <w:p w14:paraId="528C3734"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0.54</w:t>
            </w:r>
          </w:p>
        </w:tc>
        <w:tc>
          <w:tcPr>
            <w:tcW w:w="1540" w:type="dxa"/>
            <w:tcBorders>
              <w:top w:val="nil"/>
              <w:left w:val="nil"/>
              <w:bottom w:val="nil"/>
              <w:right w:val="nil"/>
            </w:tcBorders>
            <w:shd w:val="clear" w:color="auto" w:fill="auto"/>
            <w:noWrap/>
            <w:vAlign w:val="bottom"/>
            <w:hideMark/>
          </w:tcPr>
          <w:p w14:paraId="682E97C9"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0.57</w:t>
            </w:r>
          </w:p>
        </w:tc>
        <w:tc>
          <w:tcPr>
            <w:tcW w:w="1180" w:type="dxa"/>
            <w:tcBorders>
              <w:top w:val="nil"/>
              <w:left w:val="nil"/>
              <w:bottom w:val="nil"/>
              <w:right w:val="nil"/>
            </w:tcBorders>
            <w:shd w:val="clear" w:color="auto" w:fill="auto"/>
            <w:noWrap/>
            <w:vAlign w:val="bottom"/>
            <w:hideMark/>
          </w:tcPr>
          <w:p w14:paraId="5E81E85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p>
        </w:tc>
      </w:tr>
      <w:tr w:rsidR="00624EE6" w:rsidRPr="0075699D" w14:paraId="60AEDA75" w14:textId="77777777" w:rsidTr="005E7AC2">
        <w:trPr>
          <w:trHeight w:val="315"/>
          <w:jc w:val="center"/>
        </w:trPr>
        <w:tc>
          <w:tcPr>
            <w:tcW w:w="1420" w:type="dxa"/>
            <w:tcBorders>
              <w:top w:val="nil"/>
              <w:left w:val="nil"/>
              <w:bottom w:val="nil"/>
              <w:right w:val="nil"/>
            </w:tcBorders>
            <w:shd w:val="clear" w:color="auto" w:fill="auto"/>
            <w:vAlign w:val="center"/>
            <w:hideMark/>
          </w:tcPr>
          <w:p w14:paraId="59683CC2"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BUS_SEG</w:t>
            </w:r>
          </w:p>
        </w:tc>
        <w:tc>
          <w:tcPr>
            <w:tcW w:w="1340" w:type="dxa"/>
            <w:tcBorders>
              <w:top w:val="nil"/>
              <w:left w:val="nil"/>
              <w:bottom w:val="nil"/>
              <w:right w:val="nil"/>
            </w:tcBorders>
            <w:shd w:val="clear" w:color="auto" w:fill="auto"/>
            <w:noWrap/>
            <w:vAlign w:val="bottom"/>
            <w:hideMark/>
          </w:tcPr>
          <w:p w14:paraId="0EEFC641"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5.72</w:t>
            </w:r>
          </w:p>
        </w:tc>
        <w:tc>
          <w:tcPr>
            <w:tcW w:w="1420" w:type="dxa"/>
            <w:tcBorders>
              <w:top w:val="nil"/>
              <w:left w:val="nil"/>
              <w:bottom w:val="nil"/>
              <w:right w:val="nil"/>
            </w:tcBorders>
            <w:shd w:val="clear" w:color="auto" w:fill="auto"/>
            <w:noWrap/>
            <w:vAlign w:val="bottom"/>
            <w:hideMark/>
          </w:tcPr>
          <w:p w14:paraId="1F95750C"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4.60</w:t>
            </w:r>
          </w:p>
        </w:tc>
        <w:tc>
          <w:tcPr>
            <w:tcW w:w="1540" w:type="dxa"/>
            <w:tcBorders>
              <w:top w:val="nil"/>
              <w:left w:val="nil"/>
              <w:bottom w:val="nil"/>
              <w:right w:val="nil"/>
            </w:tcBorders>
            <w:shd w:val="clear" w:color="auto" w:fill="auto"/>
            <w:noWrap/>
            <w:vAlign w:val="bottom"/>
            <w:hideMark/>
          </w:tcPr>
          <w:p w14:paraId="43B80123"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6.85</w:t>
            </w:r>
          </w:p>
        </w:tc>
        <w:tc>
          <w:tcPr>
            <w:tcW w:w="1180" w:type="dxa"/>
            <w:tcBorders>
              <w:top w:val="nil"/>
              <w:left w:val="nil"/>
              <w:bottom w:val="nil"/>
              <w:right w:val="nil"/>
            </w:tcBorders>
            <w:shd w:val="clear" w:color="auto" w:fill="auto"/>
            <w:noWrap/>
            <w:vAlign w:val="bottom"/>
            <w:hideMark/>
          </w:tcPr>
          <w:p w14:paraId="051062E7"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w:t>
            </w:r>
          </w:p>
        </w:tc>
      </w:tr>
      <w:tr w:rsidR="00624EE6" w:rsidRPr="0075699D" w14:paraId="5B517233" w14:textId="77777777" w:rsidTr="005E7AC2">
        <w:trPr>
          <w:trHeight w:val="330"/>
          <w:jc w:val="center"/>
        </w:trPr>
        <w:tc>
          <w:tcPr>
            <w:tcW w:w="1420" w:type="dxa"/>
            <w:tcBorders>
              <w:top w:val="nil"/>
              <w:left w:val="nil"/>
              <w:bottom w:val="single" w:sz="8" w:space="0" w:color="auto"/>
              <w:right w:val="nil"/>
            </w:tcBorders>
            <w:shd w:val="clear" w:color="auto" w:fill="auto"/>
            <w:vAlign w:val="center"/>
            <w:hideMark/>
          </w:tcPr>
          <w:p w14:paraId="2EFFB098"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GEO_SEG</w:t>
            </w:r>
          </w:p>
        </w:tc>
        <w:tc>
          <w:tcPr>
            <w:tcW w:w="1340" w:type="dxa"/>
            <w:tcBorders>
              <w:top w:val="nil"/>
              <w:left w:val="nil"/>
              <w:bottom w:val="single" w:sz="8" w:space="0" w:color="auto"/>
              <w:right w:val="nil"/>
            </w:tcBorders>
            <w:shd w:val="clear" w:color="auto" w:fill="auto"/>
            <w:noWrap/>
            <w:vAlign w:val="bottom"/>
            <w:hideMark/>
          </w:tcPr>
          <w:p w14:paraId="222674E3"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8.11</w:t>
            </w:r>
          </w:p>
        </w:tc>
        <w:tc>
          <w:tcPr>
            <w:tcW w:w="1420" w:type="dxa"/>
            <w:tcBorders>
              <w:top w:val="nil"/>
              <w:left w:val="nil"/>
              <w:bottom w:val="single" w:sz="8" w:space="0" w:color="auto"/>
              <w:right w:val="nil"/>
            </w:tcBorders>
            <w:shd w:val="clear" w:color="auto" w:fill="auto"/>
            <w:noWrap/>
            <w:vAlign w:val="bottom"/>
            <w:hideMark/>
          </w:tcPr>
          <w:p w14:paraId="385EEEC0"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6.47</w:t>
            </w:r>
          </w:p>
        </w:tc>
        <w:tc>
          <w:tcPr>
            <w:tcW w:w="1540" w:type="dxa"/>
            <w:tcBorders>
              <w:top w:val="nil"/>
              <w:left w:val="nil"/>
              <w:bottom w:val="single" w:sz="8" w:space="0" w:color="auto"/>
              <w:right w:val="nil"/>
            </w:tcBorders>
            <w:shd w:val="clear" w:color="auto" w:fill="auto"/>
            <w:noWrap/>
            <w:vAlign w:val="bottom"/>
            <w:hideMark/>
          </w:tcPr>
          <w:p w14:paraId="2CF9FDC3" w14:textId="77777777" w:rsidR="00624EE6" w:rsidRPr="0075699D" w:rsidRDefault="00624EE6" w:rsidP="005E7AC2">
            <w:pPr>
              <w:spacing w:after="0" w:line="240" w:lineRule="auto"/>
              <w:jc w:val="right"/>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9.75</w:t>
            </w:r>
          </w:p>
        </w:tc>
        <w:tc>
          <w:tcPr>
            <w:tcW w:w="1180" w:type="dxa"/>
            <w:tcBorders>
              <w:top w:val="nil"/>
              <w:left w:val="nil"/>
              <w:bottom w:val="single" w:sz="8" w:space="0" w:color="auto"/>
              <w:right w:val="nil"/>
            </w:tcBorders>
            <w:shd w:val="clear" w:color="auto" w:fill="auto"/>
            <w:noWrap/>
            <w:vAlign w:val="bottom"/>
            <w:hideMark/>
          </w:tcPr>
          <w:p w14:paraId="0D88FCA8"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w:t>
            </w:r>
          </w:p>
        </w:tc>
      </w:tr>
    </w:tbl>
    <w:p w14:paraId="5E96FF11" w14:textId="77777777" w:rsidR="00624EE6" w:rsidRPr="0075699D" w:rsidRDefault="00624EE6" w:rsidP="00624EE6">
      <w:pPr>
        <w:widowControl w:val="0"/>
        <w:autoSpaceDE w:val="0"/>
        <w:autoSpaceDN w:val="0"/>
        <w:adjustRightInd w:val="0"/>
        <w:spacing w:after="0" w:line="240" w:lineRule="auto"/>
        <w:jc w:val="both"/>
        <w:rPr>
          <w:rFonts w:ascii="Times New Roman" w:hAnsi="Times New Roman" w:cs="Times New Roman"/>
          <w:sz w:val="17"/>
          <w:szCs w:val="17"/>
        </w:rPr>
      </w:pPr>
      <w:r w:rsidRPr="0075699D">
        <w:rPr>
          <w:rFonts w:ascii="Times New Roman" w:hAnsi="Times New Roman" w:cs="Times New Roman"/>
          <w:bCs/>
          <w:sz w:val="17"/>
          <w:szCs w:val="17"/>
        </w:rPr>
        <w:t xml:space="preserve">Notes: This panel reports descriptive statistics of the independent variables used in the main regression analysis pre- and post-IRS Schedule UTP.  I deﬁne the variables as follows: </w:t>
      </w:r>
      <w:proofErr w:type="spellStart"/>
      <w:r w:rsidRPr="0075699D">
        <w:rPr>
          <w:rFonts w:ascii="Times New Roman" w:hAnsi="Times New Roman" w:cs="Times New Roman"/>
          <w:bCs/>
          <w:sz w:val="17"/>
          <w:szCs w:val="17"/>
        </w:rPr>
        <w:t>SchUTP</w:t>
      </w:r>
      <w:proofErr w:type="spellEnd"/>
      <w:r w:rsidRPr="0075699D">
        <w:rPr>
          <w:rFonts w:ascii="Times New Roman" w:hAnsi="Times New Roman" w:cs="Times New Roman"/>
          <w:bCs/>
          <w:sz w:val="17"/>
          <w:szCs w:val="17"/>
        </w:rPr>
        <w:t xml:space="preserve"> = A 0/1 indicator variable set to 1 if the year is 2010, 0 otherwise; CETR =</w:t>
      </w:r>
      <w:r w:rsidRPr="0075699D">
        <w:rPr>
          <w:rFonts w:ascii="Times New Roman" w:hAnsi="Times New Roman" w:cs="Times New Roman"/>
          <w:color w:val="231F20"/>
          <w:w w:val="105"/>
          <w:sz w:val="17"/>
          <w:szCs w:val="17"/>
        </w:rPr>
        <w:t xml:space="preserve"> </w:t>
      </w:r>
      <w:r w:rsidRPr="0075699D">
        <w:rPr>
          <w:rFonts w:ascii="Times New Roman" w:hAnsi="Times New Roman" w:cs="Times New Roman"/>
          <w:bCs/>
          <w:sz w:val="17"/>
          <w:szCs w:val="17"/>
        </w:rPr>
        <w:t xml:space="preserve">three-year average cash effective tax rate; UTB = end of year UTB tax reserve balance; SIZE = Firm measured as the log of total assets; PFT = Firm proﬁt margin, measured as income before extraordinary items divided by sales; CAPINT = Firm capital intensity, measured as net property, plant, and equipment divided by total assets; LTDA = Firm debt-to-assets, measured as long-term debt divided by total assets; MB = Firm market-to-book ratio, measured as the market value of equity divided by book common equity; BIG4 = A 0/1 indicator variable set to 1 if a ﬁrm is audited by a Big-four auditor, 0 otherwise; BODINSIDE = The percentage of insiders on the board of directors; BODLOCKS = The number of interlocks on the board of directors; BODOTHER = The average number of other major boards of directors on which current board members serve; LITDUM = A 0/1 indicator variable set to 1 for ﬁrms in high-litigation industries (Four-digit SIC codes = 2833–2836, 8731–8734, 7371–7379, 3570–3577, and 3600–3674), 0 otherwise; REGDUM = A 0/1 indicator variable set to 1 if a ﬁrm is in a highly regulated industry (Four-digit SIC codes = 4812–4813, 4833, 4841, 4811–4899, 4922–4924, 4931, 4941, 6021–6023, 6035–6036, 6141, 6311, 6321, 6331), 0 otherwise; ANALYSTS = The number of analysts following the ﬁrm at the yearend; WEAKYRS = The number of years a ﬁrm had a control weakness in tax accounts; TAXFEES = Current year tax fees paid divided by total fees paid to auditor.  If a firm switched auditors during the year, the total tax fees and total fees paid are aggregated to calculate a percentage; FOROPS = The extent of foreign operations, measured as the number of times a ﬁrm reports foreign pretax income as a percentage of the number of times a ﬁrm reports total pretax income (over the previous 5 years); DAYSFILE = The number of days between the end of the calendar year and the ﬁling of the 10-K; BUS_SEG = The logarithm of 1 plus the number of business segments; GEO_SEG = The logarithm of 1 plus the number of geographic segments.  </w:t>
      </w:r>
      <w:r w:rsidRPr="0075699D">
        <w:rPr>
          <w:rFonts w:ascii="Times New Roman" w:hAnsi="Times New Roman" w:cs="Times New Roman"/>
          <w:sz w:val="17"/>
          <w:szCs w:val="17"/>
        </w:rPr>
        <w:t>*, **, *** denote signiﬁcance at the 0.10, 0.05, and 0.01 (two-tailed) levels, respectively.</w:t>
      </w:r>
      <w:r w:rsidRPr="0075699D">
        <w:rPr>
          <w:rFonts w:ascii="Times New Roman" w:hAnsi="Times New Roman" w:cs="Times New Roman"/>
          <w:sz w:val="17"/>
          <w:szCs w:val="17"/>
        </w:rPr>
        <w:br w:type="page"/>
      </w:r>
    </w:p>
    <w:p w14:paraId="61C428A2" w14:textId="77777777" w:rsidR="00624EE6" w:rsidRPr="00331E66" w:rsidRDefault="00624EE6" w:rsidP="00624EE6">
      <w:pPr>
        <w:widowControl w:val="0"/>
        <w:autoSpaceDE w:val="0"/>
        <w:autoSpaceDN w:val="0"/>
        <w:adjustRightInd w:val="0"/>
        <w:spacing w:after="0" w:line="240" w:lineRule="auto"/>
        <w:jc w:val="center"/>
        <w:rPr>
          <w:rFonts w:ascii="Times New Roman" w:hAnsi="Times New Roman" w:cs="Times New Roman"/>
          <w:sz w:val="18"/>
          <w:szCs w:val="18"/>
        </w:rPr>
      </w:pPr>
      <w:r w:rsidRPr="00331E66">
        <w:rPr>
          <w:rFonts w:ascii="Times New Roman" w:hAnsi="Times New Roman" w:cs="Times New Roman"/>
          <w:b/>
          <w:bCs/>
          <w:sz w:val="24"/>
          <w:szCs w:val="24"/>
        </w:rPr>
        <w:t xml:space="preserve">Table </w:t>
      </w:r>
      <w:r>
        <w:rPr>
          <w:rFonts w:ascii="Times New Roman" w:hAnsi="Times New Roman" w:cs="Times New Roman"/>
          <w:b/>
          <w:bCs/>
          <w:sz w:val="24"/>
          <w:szCs w:val="24"/>
        </w:rPr>
        <w:t>5</w:t>
      </w:r>
    </w:p>
    <w:p w14:paraId="3D57B98D" w14:textId="77777777" w:rsidR="00624EE6" w:rsidRPr="00331E66" w:rsidRDefault="00624EE6" w:rsidP="00624EE6">
      <w:pPr>
        <w:spacing w:after="0"/>
        <w:jc w:val="center"/>
        <w:rPr>
          <w:rFonts w:ascii="Times New Roman" w:hAnsi="Times New Roman" w:cs="Times New Roman"/>
          <w:b/>
          <w:bCs/>
          <w:sz w:val="24"/>
          <w:szCs w:val="24"/>
        </w:rPr>
      </w:pPr>
      <w:r w:rsidRPr="00331E66">
        <w:rPr>
          <w:rFonts w:ascii="Times New Roman" w:hAnsi="Times New Roman" w:cs="Times New Roman"/>
          <w:b/>
          <w:bCs/>
          <w:sz w:val="24"/>
          <w:szCs w:val="24"/>
        </w:rPr>
        <w:t>IRS Schedule UTP Tax Reporting Impact on FIN 48 Disclosure Quality</w:t>
      </w:r>
    </w:p>
    <w:p w14:paraId="697622DF" w14:textId="77777777" w:rsidR="00624EE6" w:rsidRPr="00331E66" w:rsidRDefault="00624EE6" w:rsidP="00624EE6">
      <w:pPr>
        <w:spacing w:after="0"/>
        <w:jc w:val="center"/>
        <w:rPr>
          <w:rFonts w:ascii="Times New Roman" w:hAnsi="Times New Roman" w:cs="Times New Roman"/>
          <w:b/>
          <w:bCs/>
          <w:sz w:val="24"/>
          <w:szCs w:val="24"/>
        </w:rPr>
      </w:pPr>
    </w:p>
    <w:tbl>
      <w:tblPr>
        <w:tblW w:w="4740" w:type="dxa"/>
        <w:jc w:val="center"/>
        <w:tblLook w:val="04A0" w:firstRow="1" w:lastRow="0" w:firstColumn="1" w:lastColumn="0" w:noHBand="0" w:noVBand="1"/>
      </w:tblPr>
      <w:tblGrid>
        <w:gridCol w:w="1523"/>
        <w:gridCol w:w="1622"/>
        <w:gridCol w:w="1595"/>
      </w:tblGrid>
      <w:tr w:rsidR="00624EE6" w:rsidRPr="00DE449C" w14:paraId="4296CAB0" w14:textId="77777777" w:rsidTr="005E7AC2">
        <w:trPr>
          <w:trHeight w:val="330"/>
          <w:jc w:val="center"/>
        </w:trPr>
        <w:tc>
          <w:tcPr>
            <w:tcW w:w="1460" w:type="dxa"/>
            <w:tcBorders>
              <w:top w:val="single" w:sz="4" w:space="0" w:color="auto"/>
              <w:left w:val="nil"/>
              <w:bottom w:val="single" w:sz="8" w:space="0" w:color="auto"/>
              <w:right w:val="nil"/>
            </w:tcBorders>
            <w:shd w:val="clear" w:color="auto" w:fill="auto"/>
            <w:vAlign w:val="center"/>
            <w:hideMark/>
          </w:tcPr>
          <w:p w14:paraId="7424BE3E"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 </w:t>
            </w:r>
          </w:p>
        </w:tc>
        <w:tc>
          <w:tcPr>
            <w:tcW w:w="1640" w:type="dxa"/>
            <w:tcBorders>
              <w:top w:val="single" w:sz="4" w:space="0" w:color="auto"/>
              <w:left w:val="nil"/>
              <w:bottom w:val="single" w:sz="8" w:space="0" w:color="auto"/>
              <w:right w:val="nil"/>
            </w:tcBorders>
            <w:shd w:val="clear" w:color="auto" w:fill="auto"/>
            <w:vAlign w:val="center"/>
            <w:hideMark/>
          </w:tcPr>
          <w:p w14:paraId="40A34CAE"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COMPLETE</w:t>
            </w:r>
          </w:p>
        </w:tc>
        <w:tc>
          <w:tcPr>
            <w:tcW w:w="1640" w:type="dxa"/>
            <w:tcBorders>
              <w:top w:val="single" w:sz="4" w:space="0" w:color="auto"/>
              <w:left w:val="nil"/>
              <w:bottom w:val="single" w:sz="8" w:space="0" w:color="auto"/>
              <w:right w:val="nil"/>
            </w:tcBorders>
            <w:shd w:val="clear" w:color="auto" w:fill="auto"/>
            <w:vAlign w:val="center"/>
            <w:hideMark/>
          </w:tcPr>
          <w:p w14:paraId="53C1884D"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CLARITY</w:t>
            </w:r>
          </w:p>
        </w:tc>
      </w:tr>
      <w:tr w:rsidR="00624EE6" w:rsidRPr="00DE449C" w14:paraId="2804C4FA" w14:textId="77777777" w:rsidTr="005E7AC2">
        <w:trPr>
          <w:trHeight w:val="315"/>
          <w:jc w:val="center"/>
        </w:trPr>
        <w:tc>
          <w:tcPr>
            <w:tcW w:w="1460" w:type="dxa"/>
            <w:tcBorders>
              <w:top w:val="nil"/>
              <w:left w:val="nil"/>
              <w:bottom w:val="nil"/>
              <w:right w:val="nil"/>
            </w:tcBorders>
            <w:shd w:val="clear" w:color="auto" w:fill="auto"/>
            <w:vAlign w:val="center"/>
            <w:hideMark/>
          </w:tcPr>
          <w:p w14:paraId="2DEA9E2D"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1CC2EED4" w14:textId="77777777" w:rsidR="00624EE6" w:rsidRPr="00DE449C" w:rsidRDefault="00624EE6" w:rsidP="005E7AC2">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vAlign w:val="center"/>
            <w:hideMark/>
          </w:tcPr>
          <w:p w14:paraId="7D51039E" w14:textId="77777777" w:rsidR="00624EE6" w:rsidRPr="00DE449C" w:rsidRDefault="00624EE6" w:rsidP="005E7AC2">
            <w:pPr>
              <w:spacing w:after="0" w:line="240" w:lineRule="auto"/>
              <w:jc w:val="center"/>
              <w:rPr>
                <w:rFonts w:ascii="Times New Roman" w:eastAsia="Times New Roman" w:hAnsi="Times New Roman" w:cs="Times New Roman"/>
                <w:sz w:val="20"/>
                <w:szCs w:val="20"/>
              </w:rPr>
            </w:pPr>
          </w:p>
        </w:tc>
      </w:tr>
      <w:tr w:rsidR="00624EE6" w:rsidRPr="00DE449C" w14:paraId="28B6FB45" w14:textId="77777777" w:rsidTr="005E7AC2">
        <w:trPr>
          <w:trHeight w:val="315"/>
          <w:jc w:val="center"/>
        </w:trPr>
        <w:tc>
          <w:tcPr>
            <w:tcW w:w="1460" w:type="dxa"/>
            <w:tcBorders>
              <w:top w:val="nil"/>
              <w:left w:val="nil"/>
              <w:bottom w:val="nil"/>
              <w:right w:val="nil"/>
            </w:tcBorders>
            <w:shd w:val="clear" w:color="auto" w:fill="auto"/>
            <w:vAlign w:val="center"/>
            <w:hideMark/>
          </w:tcPr>
          <w:p w14:paraId="5A0578F8" w14:textId="77777777" w:rsidR="00624EE6" w:rsidRPr="00DE449C" w:rsidRDefault="00624EE6" w:rsidP="005E7AC2">
            <w:pPr>
              <w:spacing w:after="0" w:line="240" w:lineRule="auto"/>
              <w:rPr>
                <w:rFonts w:ascii="Times New Roman" w:eastAsia="Times New Roman" w:hAnsi="Times New Roman" w:cs="Times New Roman"/>
                <w:b/>
                <w:bCs/>
                <w:color w:val="000000"/>
                <w:sz w:val="24"/>
                <w:szCs w:val="24"/>
              </w:rPr>
            </w:pPr>
            <w:proofErr w:type="spellStart"/>
            <w:r w:rsidRPr="00DE449C">
              <w:rPr>
                <w:rFonts w:ascii="Times New Roman" w:eastAsia="Times New Roman" w:hAnsi="Times New Roman" w:cs="Times New Roman"/>
                <w:b/>
                <w:bCs/>
                <w:color w:val="000000"/>
                <w:sz w:val="24"/>
                <w:szCs w:val="24"/>
              </w:rPr>
              <w:t>SchUTP</w:t>
            </w:r>
            <w:proofErr w:type="spellEnd"/>
          </w:p>
        </w:tc>
        <w:tc>
          <w:tcPr>
            <w:tcW w:w="1640" w:type="dxa"/>
            <w:tcBorders>
              <w:top w:val="nil"/>
              <w:left w:val="nil"/>
              <w:bottom w:val="nil"/>
              <w:right w:val="nil"/>
            </w:tcBorders>
            <w:shd w:val="clear" w:color="auto" w:fill="auto"/>
            <w:vAlign w:val="center"/>
            <w:hideMark/>
          </w:tcPr>
          <w:p w14:paraId="1EFEAD3E" w14:textId="77777777" w:rsidR="00624EE6" w:rsidRPr="00DE449C" w:rsidRDefault="00624EE6" w:rsidP="005E7AC2">
            <w:pPr>
              <w:spacing w:after="0" w:line="240" w:lineRule="auto"/>
              <w:jc w:val="center"/>
              <w:rPr>
                <w:rFonts w:ascii="Times New Roman" w:eastAsia="Times New Roman" w:hAnsi="Times New Roman" w:cs="Times New Roman"/>
                <w:b/>
                <w:bCs/>
                <w:color w:val="000000"/>
                <w:sz w:val="24"/>
                <w:szCs w:val="24"/>
              </w:rPr>
            </w:pPr>
            <w:r w:rsidRPr="00DE449C">
              <w:rPr>
                <w:rFonts w:ascii="Times New Roman" w:eastAsia="Times New Roman" w:hAnsi="Times New Roman" w:cs="Times New Roman"/>
                <w:b/>
                <w:bCs/>
                <w:color w:val="000000"/>
                <w:sz w:val="24"/>
                <w:szCs w:val="24"/>
              </w:rPr>
              <w:t>0.013</w:t>
            </w:r>
          </w:p>
        </w:tc>
        <w:tc>
          <w:tcPr>
            <w:tcW w:w="1640" w:type="dxa"/>
            <w:tcBorders>
              <w:top w:val="nil"/>
              <w:left w:val="nil"/>
              <w:bottom w:val="nil"/>
              <w:right w:val="nil"/>
            </w:tcBorders>
            <w:shd w:val="clear" w:color="auto" w:fill="auto"/>
            <w:vAlign w:val="center"/>
            <w:hideMark/>
          </w:tcPr>
          <w:p w14:paraId="2B48F3A0" w14:textId="77777777" w:rsidR="00624EE6" w:rsidRPr="00DE449C" w:rsidRDefault="00624EE6" w:rsidP="005E7AC2">
            <w:pPr>
              <w:spacing w:after="0" w:line="240" w:lineRule="auto"/>
              <w:jc w:val="center"/>
              <w:rPr>
                <w:rFonts w:ascii="Times New Roman" w:eastAsia="Times New Roman" w:hAnsi="Times New Roman" w:cs="Times New Roman"/>
                <w:b/>
                <w:bCs/>
                <w:color w:val="000000"/>
                <w:sz w:val="24"/>
                <w:szCs w:val="24"/>
              </w:rPr>
            </w:pPr>
            <w:r w:rsidRPr="00DE449C">
              <w:rPr>
                <w:rFonts w:ascii="Times New Roman" w:eastAsia="Times New Roman" w:hAnsi="Times New Roman" w:cs="Times New Roman"/>
                <w:b/>
                <w:bCs/>
                <w:color w:val="000000"/>
                <w:sz w:val="24"/>
                <w:szCs w:val="24"/>
              </w:rPr>
              <w:t>-0.090***</w:t>
            </w:r>
          </w:p>
        </w:tc>
      </w:tr>
      <w:tr w:rsidR="00624EE6" w:rsidRPr="00DE449C" w14:paraId="1846D645" w14:textId="77777777" w:rsidTr="005E7AC2">
        <w:trPr>
          <w:trHeight w:val="315"/>
          <w:jc w:val="center"/>
        </w:trPr>
        <w:tc>
          <w:tcPr>
            <w:tcW w:w="1460" w:type="dxa"/>
            <w:tcBorders>
              <w:top w:val="nil"/>
              <w:left w:val="nil"/>
              <w:bottom w:val="nil"/>
              <w:right w:val="nil"/>
            </w:tcBorders>
            <w:shd w:val="clear" w:color="auto" w:fill="auto"/>
            <w:vAlign w:val="center"/>
            <w:hideMark/>
          </w:tcPr>
          <w:p w14:paraId="0ED25E1C" w14:textId="77777777" w:rsidR="00624EE6" w:rsidRPr="00DE449C"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640" w:type="dxa"/>
            <w:tcBorders>
              <w:top w:val="nil"/>
              <w:left w:val="nil"/>
              <w:bottom w:val="nil"/>
              <w:right w:val="nil"/>
            </w:tcBorders>
            <w:shd w:val="clear" w:color="auto" w:fill="auto"/>
            <w:vAlign w:val="center"/>
            <w:hideMark/>
          </w:tcPr>
          <w:p w14:paraId="37711C0F"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(0.008)</w:t>
            </w:r>
          </w:p>
        </w:tc>
        <w:tc>
          <w:tcPr>
            <w:tcW w:w="1640" w:type="dxa"/>
            <w:tcBorders>
              <w:top w:val="nil"/>
              <w:left w:val="nil"/>
              <w:bottom w:val="nil"/>
              <w:right w:val="nil"/>
            </w:tcBorders>
            <w:shd w:val="clear" w:color="auto" w:fill="auto"/>
            <w:vAlign w:val="center"/>
            <w:hideMark/>
          </w:tcPr>
          <w:p w14:paraId="094E34A8"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(0.027)</w:t>
            </w:r>
          </w:p>
        </w:tc>
      </w:tr>
      <w:tr w:rsidR="00624EE6" w:rsidRPr="00DE449C" w14:paraId="0F582D07" w14:textId="77777777" w:rsidTr="005E7AC2">
        <w:trPr>
          <w:trHeight w:val="315"/>
          <w:jc w:val="center"/>
        </w:trPr>
        <w:tc>
          <w:tcPr>
            <w:tcW w:w="1460" w:type="dxa"/>
            <w:tcBorders>
              <w:top w:val="nil"/>
              <w:left w:val="nil"/>
              <w:bottom w:val="nil"/>
              <w:right w:val="nil"/>
            </w:tcBorders>
            <w:shd w:val="clear" w:color="auto" w:fill="auto"/>
            <w:vAlign w:val="center"/>
            <w:hideMark/>
          </w:tcPr>
          <w:p w14:paraId="7096C23F"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CETR</w:t>
            </w:r>
          </w:p>
        </w:tc>
        <w:tc>
          <w:tcPr>
            <w:tcW w:w="1640" w:type="dxa"/>
            <w:tcBorders>
              <w:top w:val="nil"/>
              <w:left w:val="nil"/>
              <w:bottom w:val="nil"/>
              <w:right w:val="nil"/>
            </w:tcBorders>
            <w:shd w:val="clear" w:color="auto" w:fill="auto"/>
            <w:vAlign w:val="center"/>
            <w:hideMark/>
          </w:tcPr>
          <w:p w14:paraId="62A6D908"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0.005*</w:t>
            </w:r>
          </w:p>
        </w:tc>
        <w:tc>
          <w:tcPr>
            <w:tcW w:w="1640" w:type="dxa"/>
            <w:tcBorders>
              <w:top w:val="nil"/>
              <w:left w:val="nil"/>
              <w:bottom w:val="nil"/>
              <w:right w:val="nil"/>
            </w:tcBorders>
            <w:shd w:val="clear" w:color="auto" w:fill="auto"/>
            <w:vAlign w:val="center"/>
            <w:hideMark/>
          </w:tcPr>
          <w:p w14:paraId="35E0E258"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-0.018</w:t>
            </w:r>
          </w:p>
        </w:tc>
      </w:tr>
      <w:tr w:rsidR="00624EE6" w:rsidRPr="00DE449C" w14:paraId="16594E15" w14:textId="77777777" w:rsidTr="005E7AC2">
        <w:trPr>
          <w:trHeight w:val="315"/>
          <w:jc w:val="center"/>
        </w:trPr>
        <w:tc>
          <w:tcPr>
            <w:tcW w:w="1460" w:type="dxa"/>
            <w:tcBorders>
              <w:top w:val="nil"/>
              <w:left w:val="nil"/>
              <w:bottom w:val="nil"/>
              <w:right w:val="nil"/>
            </w:tcBorders>
            <w:shd w:val="clear" w:color="auto" w:fill="auto"/>
            <w:vAlign w:val="center"/>
            <w:hideMark/>
          </w:tcPr>
          <w:p w14:paraId="44C41DF7"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32BE5DF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(0.003)</w:t>
            </w:r>
          </w:p>
        </w:tc>
        <w:tc>
          <w:tcPr>
            <w:tcW w:w="1640" w:type="dxa"/>
            <w:tcBorders>
              <w:top w:val="nil"/>
              <w:left w:val="nil"/>
              <w:bottom w:val="nil"/>
              <w:right w:val="nil"/>
            </w:tcBorders>
            <w:shd w:val="clear" w:color="auto" w:fill="auto"/>
            <w:vAlign w:val="center"/>
            <w:hideMark/>
          </w:tcPr>
          <w:p w14:paraId="4C272F95"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(0.015)</w:t>
            </w:r>
          </w:p>
        </w:tc>
      </w:tr>
      <w:tr w:rsidR="00624EE6" w:rsidRPr="00DE449C" w14:paraId="2B495AD1" w14:textId="77777777" w:rsidTr="005E7AC2">
        <w:trPr>
          <w:trHeight w:val="315"/>
          <w:jc w:val="center"/>
        </w:trPr>
        <w:tc>
          <w:tcPr>
            <w:tcW w:w="1460" w:type="dxa"/>
            <w:tcBorders>
              <w:top w:val="nil"/>
              <w:left w:val="nil"/>
              <w:bottom w:val="nil"/>
              <w:right w:val="nil"/>
            </w:tcBorders>
            <w:shd w:val="clear" w:color="auto" w:fill="auto"/>
            <w:vAlign w:val="center"/>
            <w:hideMark/>
          </w:tcPr>
          <w:p w14:paraId="7B154521"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UTB</w:t>
            </w:r>
          </w:p>
        </w:tc>
        <w:tc>
          <w:tcPr>
            <w:tcW w:w="1640" w:type="dxa"/>
            <w:tcBorders>
              <w:top w:val="nil"/>
              <w:left w:val="nil"/>
              <w:bottom w:val="nil"/>
              <w:right w:val="nil"/>
            </w:tcBorders>
            <w:shd w:val="clear" w:color="auto" w:fill="auto"/>
            <w:vAlign w:val="center"/>
            <w:hideMark/>
          </w:tcPr>
          <w:p w14:paraId="7A0A0A75"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w:t>
            </w:r>
          </w:p>
        </w:tc>
        <w:tc>
          <w:tcPr>
            <w:tcW w:w="1640" w:type="dxa"/>
            <w:tcBorders>
              <w:top w:val="nil"/>
              <w:left w:val="nil"/>
              <w:bottom w:val="nil"/>
              <w:right w:val="nil"/>
            </w:tcBorders>
            <w:shd w:val="clear" w:color="auto" w:fill="auto"/>
            <w:vAlign w:val="center"/>
            <w:hideMark/>
          </w:tcPr>
          <w:p w14:paraId="6E4013ED"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-0.058***</w:t>
            </w:r>
          </w:p>
        </w:tc>
      </w:tr>
      <w:tr w:rsidR="00624EE6" w:rsidRPr="00DE449C" w14:paraId="1AA41E96" w14:textId="77777777" w:rsidTr="005E7AC2">
        <w:trPr>
          <w:trHeight w:val="315"/>
          <w:jc w:val="center"/>
        </w:trPr>
        <w:tc>
          <w:tcPr>
            <w:tcW w:w="1460" w:type="dxa"/>
            <w:tcBorders>
              <w:top w:val="nil"/>
              <w:left w:val="nil"/>
              <w:bottom w:val="nil"/>
              <w:right w:val="nil"/>
            </w:tcBorders>
            <w:shd w:val="clear" w:color="auto" w:fill="auto"/>
            <w:vAlign w:val="center"/>
            <w:hideMark/>
          </w:tcPr>
          <w:p w14:paraId="382DD72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51A4854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(0.007)</w:t>
            </w:r>
          </w:p>
        </w:tc>
        <w:tc>
          <w:tcPr>
            <w:tcW w:w="1640" w:type="dxa"/>
            <w:tcBorders>
              <w:top w:val="nil"/>
              <w:left w:val="nil"/>
              <w:bottom w:val="nil"/>
              <w:right w:val="nil"/>
            </w:tcBorders>
            <w:shd w:val="clear" w:color="auto" w:fill="auto"/>
            <w:vAlign w:val="center"/>
            <w:hideMark/>
          </w:tcPr>
          <w:p w14:paraId="2F98F963"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(0.020)</w:t>
            </w:r>
          </w:p>
        </w:tc>
      </w:tr>
      <w:tr w:rsidR="00624EE6" w:rsidRPr="00DE449C" w14:paraId="15BF6941" w14:textId="77777777" w:rsidTr="005E7AC2">
        <w:trPr>
          <w:trHeight w:val="315"/>
          <w:jc w:val="center"/>
        </w:trPr>
        <w:tc>
          <w:tcPr>
            <w:tcW w:w="1460" w:type="dxa"/>
            <w:tcBorders>
              <w:top w:val="nil"/>
              <w:left w:val="nil"/>
              <w:bottom w:val="nil"/>
              <w:right w:val="nil"/>
            </w:tcBorders>
            <w:shd w:val="clear" w:color="auto" w:fill="auto"/>
            <w:vAlign w:val="center"/>
            <w:hideMark/>
          </w:tcPr>
          <w:p w14:paraId="25362F3E"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SIZE</w:t>
            </w:r>
          </w:p>
        </w:tc>
        <w:tc>
          <w:tcPr>
            <w:tcW w:w="1640" w:type="dxa"/>
            <w:tcBorders>
              <w:top w:val="nil"/>
              <w:left w:val="nil"/>
              <w:bottom w:val="nil"/>
              <w:right w:val="nil"/>
            </w:tcBorders>
            <w:shd w:val="clear" w:color="auto" w:fill="auto"/>
            <w:vAlign w:val="center"/>
            <w:hideMark/>
          </w:tcPr>
          <w:p w14:paraId="2ABF33B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0.026</w:t>
            </w:r>
          </w:p>
        </w:tc>
        <w:tc>
          <w:tcPr>
            <w:tcW w:w="1640" w:type="dxa"/>
            <w:tcBorders>
              <w:top w:val="nil"/>
              <w:left w:val="nil"/>
              <w:bottom w:val="nil"/>
              <w:right w:val="nil"/>
            </w:tcBorders>
            <w:shd w:val="clear" w:color="auto" w:fill="auto"/>
            <w:vAlign w:val="center"/>
            <w:hideMark/>
          </w:tcPr>
          <w:p w14:paraId="042EE2C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0.11</w:t>
            </w:r>
          </w:p>
        </w:tc>
      </w:tr>
      <w:tr w:rsidR="00624EE6" w:rsidRPr="00DE449C" w14:paraId="05D8F882" w14:textId="77777777" w:rsidTr="005E7AC2">
        <w:trPr>
          <w:trHeight w:val="315"/>
          <w:jc w:val="center"/>
        </w:trPr>
        <w:tc>
          <w:tcPr>
            <w:tcW w:w="1460" w:type="dxa"/>
            <w:tcBorders>
              <w:top w:val="nil"/>
              <w:left w:val="nil"/>
              <w:bottom w:val="nil"/>
              <w:right w:val="nil"/>
            </w:tcBorders>
            <w:shd w:val="clear" w:color="auto" w:fill="auto"/>
            <w:vAlign w:val="center"/>
            <w:hideMark/>
          </w:tcPr>
          <w:p w14:paraId="6B359E7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030DB38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-0.028</w:t>
            </w:r>
          </w:p>
        </w:tc>
        <w:tc>
          <w:tcPr>
            <w:tcW w:w="1640" w:type="dxa"/>
            <w:tcBorders>
              <w:top w:val="nil"/>
              <w:left w:val="nil"/>
              <w:bottom w:val="nil"/>
              <w:right w:val="nil"/>
            </w:tcBorders>
            <w:shd w:val="clear" w:color="auto" w:fill="auto"/>
            <w:vAlign w:val="center"/>
            <w:hideMark/>
          </w:tcPr>
          <w:p w14:paraId="3FADB3D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-0.096</w:t>
            </w:r>
          </w:p>
        </w:tc>
      </w:tr>
      <w:tr w:rsidR="00624EE6" w:rsidRPr="00DE449C" w14:paraId="4555D19D" w14:textId="77777777" w:rsidTr="005E7AC2">
        <w:trPr>
          <w:trHeight w:val="315"/>
          <w:jc w:val="center"/>
        </w:trPr>
        <w:tc>
          <w:tcPr>
            <w:tcW w:w="1460" w:type="dxa"/>
            <w:tcBorders>
              <w:top w:val="nil"/>
              <w:left w:val="nil"/>
              <w:bottom w:val="nil"/>
              <w:right w:val="nil"/>
            </w:tcBorders>
            <w:shd w:val="clear" w:color="auto" w:fill="auto"/>
            <w:vAlign w:val="center"/>
            <w:hideMark/>
          </w:tcPr>
          <w:p w14:paraId="6FC23C96"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PFT</w:t>
            </w:r>
          </w:p>
        </w:tc>
        <w:tc>
          <w:tcPr>
            <w:tcW w:w="1640" w:type="dxa"/>
            <w:tcBorders>
              <w:top w:val="nil"/>
              <w:left w:val="nil"/>
              <w:bottom w:val="nil"/>
              <w:right w:val="nil"/>
            </w:tcBorders>
            <w:shd w:val="clear" w:color="auto" w:fill="auto"/>
            <w:vAlign w:val="center"/>
            <w:hideMark/>
          </w:tcPr>
          <w:p w14:paraId="099B2A8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-0.027***</w:t>
            </w:r>
          </w:p>
        </w:tc>
        <w:tc>
          <w:tcPr>
            <w:tcW w:w="1640" w:type="dxa"/>
            <w:tcBorders>
              <w:top w:val="nil"/>
              <w:left w:val="nil"/>
              <w:bottom w:val="nil"/>
              <w:right w:val="nil"/>
            </w:tcBorders>
            <w:shd w:val="clear" w:color="auto" w:fill="auto"/>
            <w:vAlign w:val="center"/>
            <w:hideMark/>
          </w:tcPr>
          <w:p w14:paraId="20BB1D0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0.021***</w:t>
            </w:r>
          </w:p>
        </w:tc>
      </w:tr>
      <w:tr w:rsidR="00624EE6" w:rsidRPr="00DE449C" w14:paraId="59D39875" w14:textId="77777777" w:rsidTr="005E7AC2">
        <w:trPr>
          <w:trHeight w:val="315"/>
          <w:jc w:val="center"/>
        </w:trPr>
        <w:tc>
          <w:tcPr>
            <w:tcW w:w="1460" w:type="dxa"/>
            <w:tcBorders>
              <w:top w:val="nil"/>
              <w:left w:val="nil"/>
              <w:bottom w:val="nil"/>
              <w:right w:val="nil"/>
            </w:tcBorders>
            <w:shd w:val="clear" w:color="auto" w:fill="auto"/>
            <w:vAlign w:val="center"/>
            <w:hideMark/>
          </w:tcPr>
          <w:p w14:paraId="08574AB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17DAA17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(0.005)</w:t>
            </w:r>
          </w:p>
        </w:tc>
        <w:tc>
          <w:tcPr>
            <w:tcW w:w="1640" w:type="dxa"/>
            <w:tcBorders>
              <w:top w:val="nil"/>
              <w:left w:val="nil"/>
              <w:bottom w:val="nil"/>
              <w:right w:val="nil"/>
            </w:tcBorders>
            <w:shd w:val="clear" w:color="auto" w:fill="auto"/>
            <w:vAlign w:val="center"/>
            <w:hideMark/>
          </w:tcPr>
          <w:p w14:paraId="3971B257"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(0.007)</w:t>
            </w:r>
          </w:p>
        </w:tc>
      </w:tr>
      <w:tr w:rsidR="00624EE6" w:rsidRPr="00DE449C" w14:paraId="798F5202" w14:textId="77777777" w:rsidTr="005E7AC2">
        <w:trPr>
          <w:trHeight w:val="315"/>
          <w:jc w:val="center"/>
        </w:trPr>
        <w:tc>
          <w:tcPr>
            <w:tcW w:w="1460" w:type="dxa"/>
            <w:tcBorders>
              <w:top w:val="nil"/>
              <w:left w:val="nil"/>
              <w:bottom w:val="nil"/>
              <w:right w:val="nil"/>
            </w:tcBorders>
            <w:shd w:val="clear" w:color="auto" w:fill="auto"/>
            <w:vAlign w:val="center"/>
            <w:hideMark/>
          </w:tcPr>
          <w:p w14:paraId="258CAD14"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CAPINT</w:t>
            </w:r>
          </w:p>
        </w:tc>
        <w:tc>
          <w:tcPr>
            <w:tcW w:w="1640" w:type="dxa"/>
            <w:tcBorders>
              <w:top w:val="nil"/>
              <w:left w:val="nil"/>
              <w:bottom w:val="nil"/>
              <w:right w:val="nil"/>
            </w:tcBorders>
            <w:shd w:val="clear" w:color="auto" w:fill="auto"/>
            <w:vAlign w:val="center"/>
            <w:hideMark/>
          </w:tcPr>
          <w:p w14:paraId="20D89350"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-0.005</w:t>
            </w:r>
          </w:p>
        </w:tc>
        <w:tc>
          <w:tcPr>
            <w:tcW w:w="1640" w:type="dxa"/>
            <w:tcBorders>
              <w:top w:val="nil"/>
              <w:left w:val="nil"/>
              <w:bottom w:val="nil"/>
              <w:right w:val="nil"/>
            </w:tcBorders>
            <w:shd w:val="clear" w:color="auto" w:fill="auto"/>
            <w:vAlign w:val="center"/>
            <w:hideMark/>
          </w:tcPr>
          <w:p w14:paraId="2F981CA2"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1.514***</w:t>
            </w:r>
          </w:p>
        </w:tc>
      </w:tr>
      <w:tr w:rsidR="00624EE6" w:rsidRPr="00DE449C" w14:paraId="51AF474A" w14:textId="77777777" w:rsidTr="005E7AC2">
        <w:trPr>
          <w:trHeight w:val="315"/>
          <w:jc w:val="center"/>
        </w:trPr>
        <w:tc>
          <w:tcPr>
            <w:tcW w:w="1460" w:type="dxa"/>
            <w:tcBorders>
              <w:top w:val="nil"/>
              <w:left w:val="nil"/>
              <w:bottom w:val="nil"/>
              <w:right w:val="nil"/>
            </w:tcBorders>
            <w:shd w:val="clear" w:color="auto" w:fill="auto"/>
            <w:vAlign w:val="center"/>
            <w:hideMark/>
          </w:tcPr>
          <w:p w14:paraId="0A4A0AC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558CCF28"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(0.182)</w:t>
            </w:r>
          </w:p>
        </w:tc>
        <w:tc>
          <w:tcPr>
            <w:tcW w:w="1640" w:type="dxa"/>
            <w:tcBorders>
              <w:top w:val="nil"/>
              <w:left w:val="nil"/>
              <w:bottom w:val="nil"/>
              <w:right w:val="nil"/>
            </w:tcBorders>
            <w:shd w:val="clear" w:color="auto" w:fill="auto"/>
            <w:vAlign w:val="center"/>
            <w:hideMark/>
          </w:tcPr>
          <w:p w14:paraId="15F4215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(0.494)</w:t>
            </w:r>
          </w:p>
        </w:tc>
      </w:tr>
      <w:tr w:rsidR="00624EE6" w:rsidRPr="00DE449C" w14:paraId="1F40D38B" w14:textId="77777777" w:rsidTr="005E7AC2">
        <w:trPr>
          <w:trHeight w:val="315"/>
          <w:jc w:val="center"/>
        </w:trPr>
        <w:tc>
          <w:tcPr>
            <w:tcW w:w="1460" w:type="dxa"/>
            <w:tcBorders>
              <w:top w:val="nil"/>
              <w:left w:val="nil"/>
              <w:bottom w:val="nil"/>
              <w:right w:val="nil"/>
            </w:tcBorders>
            <w:shd w:val="clear" w:color="auto" w:fill="auto"/>
            <w:vAlign w:val="center"/>
            <w:hideMark/>
          </w:tcPr>
          <w:p w14:paraId="4C4ECF6D"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LTDA</w:t>
            </w:r>
          </w:p>
        </w:tc>
        <w:tc>
          <w:tcPr>
            <w:tcW w:w="1640" w:type="dxa"/>
            <w:tcBorders>
              <w:top w:val="nil"/>
              <w:left w:val="nil"/>
              <w:bottom w:val="nil"/>
              <w:right w:val="nil"/>
            </w:tcBorders>
            <w:shd w:val="clear" w:color="auto" w:fill="auto"/>
            <w:vAlign w:val="center"/>
            <w:hideMark/>
          </w:tcPr>
          <w:p w14:paraId="067877DF"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-0.007</w:t>
            </w:r>
          </w:p>
        </w:tc>
        <w:tc>
          <w:tcPr>
            <w:tcW w:w="1640" w:type="dxa"/>
            <w:tcBorders>
              <w:top w:val="nil"/>
              <w:left w:val="nil"/>
              <w:bottom w:val="nil"/>
              <w:right w:val="nil"/>
            </w:tcBorders>
            <w:shd w:val="clear" w:color="auto" w:fill="auto"/>
            <w:vAlign w:val="center"/>
            <w:hideMark/>
          </w:tcPr>
          <w:p w14:paraId="569B4F5F"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0.083</w:t>
            </w:r>
          </w:p>
        </w:tc>
      </w:tr>
      <w:tr w:rsidR="00624EE6" w:rsidRPr="00DE449C" w14:paraId="02EE515D" w14:textId="77777777" w:rsidTr="005E7AC2">
        <w:trPr>
          <w:trHeight w:val="315"/>
          <w:jc w:val="center"/>
        </w:trPr>
        <w:tc>
          <w:tcPr>
            <w:tcW w:w="1460" w:type="dxa"/>
            <w:tcBorders>
              <w:top w:val="nil"/>
              <w:left w:val="nil"/>
              <w:bottom w:val="nil"/>
              <w:right w:val="nil"/>
            </w:tcBorders>
            <w:shd w:val="clear" w:color="auto" w:fill="auto"/>
            <w:vAlign w:val="center"/>
            <w:hideMark/>
          </w:tcPr>
          <w:p w14:paraId="150041C8"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45E857A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(0.091)</w:t>
            </w:r>
          </w:p>
        </w:tc>
        <w:tc>
          <w:tcPr>
            <w:tcW w:w="1640" w:type="dxa"/>
            <w:tcBorders>
              <w:top w:val="nil"/>
              <w:left w:val="nil"/>
              <w:bottom w:val="nil"/>
              <w:right w:val="nil"/>
            </w:tcBorders>
            <w:shd w:val="clear" w:color="auto" w:fill="auto"/>
            <w:vAlign w:val="center"/>
            <w:hideMark/>
          </w:tcPr>
          <w:p w14:paraId="7D7815EE"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(0.276)</w:t>
            </w:r>
          </w:p>
        </w:tc>
      </w:tr>
      <w:tr w:rsidR="00624EE6" w:rsidRPr="00DE449C" w14:paraId="1E0FD70F" w14:textId="77777777" w:rsidTr="005E7AC2">
        <w:trPr>
          <w:trHeight w:val="315"/>
          <w:jc w:val="center"/>
        </w:trPr>
        <w:tc>
          <w:tcPr>
            <w:tcW w:w="1460" w:type="dxa"/>
            <w:tcBorders>
              <w:top w:val="nil"/>
              <w:left w:val="nil"/>
              <w:bottom w:val="nil"/>
              <w:right w:val="nil"/>
            </w:tcBorders>
            <w:shd w:val="clear" w:color="auto" w:fill="auto"/>
            <w:vAlign w:val="center"/>
            <w:hideMark/>
          </w:tcPr>
          <w:p w14:paraId="0BB400AE"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MB</w:t>
            </w:r>
          </w:p>
        </w:tc>
        <w:tc>
          <w:tcPr>
            <w:tcW w:w="1640" w:type="dxa"/>
            <w:tcBorders>
              <w:top w:val="nil"/>
              <w:left w:val="nil"/>
              <w:bottom w:val="nil"/>
              <w:right w:val="nil"/>
            </w:tcBorders>
            <w:shd w:val="clear" w:color="auto" w:fill="auto"/>
            <w:vAlign w:val="center"/>
            <w:hideMark/>
          </w:tcPr>
          <w:p w14:paraId="138AC6E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0.000</w:t>
            </w:r>
          </w:p>
        </w:tc>
        <w:tc>
          <w:tcPr>
            <w:tcW w:w="1640" w:type="dxa"/>
            <w:tcBorders>
              <w:top w:val="nil"/>
              <w:left w:val="nil"/>
              <w:bottom w:val="nil"/>
              <w:right w:val="nil"/>
            </w:tcBorders>
            <w:shd w:val="clear" w:color="auto" w:fill="auto"/>
            <w:vAlign w:val="center"/>
            <w:hideMark/>
          </w:tcPr>
          <w:p w14:paraId="4DFDD637"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-0.001</w:t>
            </w:r>
          </w:p>
        </w:tc>
      </w:tr>
      <w:tr w:rsidR="00624EE6" w:rsidRPr="00DE449C" w14:paraId="094116A2" w14:textId="77777777" w:rsidTr="005E7AC2">
        <w:trPr>
          <w:trHeight w:val="315"/>
          <w:jc w:val="center"/>
        </w:trPr>
        <w:tc>
          <w:tcPr>
            <w:tcW w:w="1460" w:type="dxa"/>
            <w:tcBorders>
              <w:top w:val="nil"/>
              <w:left w:val="nil"/>
              <w:bottom w:val="nil"/>
              <w:right w:val="nil"/>
            </w:tcBorders>
            <w:shd w:val="clear" w:color="auto" w:fill="auto"/>
            <w:vAlign w:val="center"/>
            <w:hideMark/>
          </w:tcPr>
          <w:p w14:paraId="60BA18C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5E55DC0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 xml:space="preserve">0.000 </w:t>
            </w:r>
          </w:p>
        </w:tc>
        <w:tc>
          <w:tcPr>
            <w:tcW w:w="1640" w:type="dxa"/>
            <w:tcBorders>
              <w:top w:val="nil"/>
              <w:left w:val="nil"/>
              <w:bottom w:val="nil"/>
              <w:right w:val="nil"/>
            </w:tcBorders>
            <w:shd w:val="clear" w:color="auto" w:fill="auto"/>
            <w:vAlign w:val="center"/>
            <w:hideMark/>
          </w:tcPr>
          <w:p w14:paraId="1EE66F1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(0.001)</w:t>
            </w:r>
          </w:p>
        </w:tc>
      </w:tr>
      <w:tr w:rsidR="00624EE6" w:rsidRPr="00DE449C" w14:paraId="22E066B3" w14:textId="77777777" w:rsidTr="005E7AC2">
        <w:trPr>
          <w:trHeight w:val="315"/>
          <w:jc w:val="center"/>
        </w:trPr>
        <w:tc>
          <w:tcPr>
            <w:tcW w:w="1460" w:type="dxa"/>
            <w:tcBorders>
              <w:top w:val="nil"/>
              <w:left w:val="nil"/>
              <w:bottom w:val="nil"/>
              <w:right w:val="nil"/>
            </w:tcBorders>
            <w:shd w:val="clear" w:color="auto" w:fill="auto"/>
            <w:vAlign w:val="center"/>
            <w:hideMark/>
          </w:tcPr>
          <w:p w14:paraId="210E04B1"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BIG4</w:t>
            </w:r>
          </w:p>
        </w:tc>
        <w:tc>
          <w:tcPr>
            <w:tcW w:w="1640" w:type="dxa"/>
            <w:tcBorders>
              <w:top w:val="nil"/>
              <w:left w:val="nil"/>
              <w:bottom w:val="nil"/>
              <w:right w:val="nil"/>
            </w:tcBorders>
            <w:shd w:val="clear" w:color="auto" w:fill="auto"/>
            <w:vAlign w:val="center"/>
            <w:hideMark/>
          </w:tcPr>
          <w:p w14:paraId="31D6CAD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0.007</w:t>
            </w:r>
          </w:p>
        </w:tc>
        <w:tc>
          <w:tcPr>
            <w:tcW w:w="1640" w:type="dxa"/>
            <w:tcBorders>
              <w:top w:val="nil"/>
              <w:left w:val="nil"/>
              <w:bottom w:val="nil"/>
              <w:right w:val="nil"/>
            </w:tcBorders>
            <w:shd w:val="clear" w:color="auto" w:fill="auto"/>
            <w:vAlign w:val="center"/>
            <w:hideMark/>
          </w:tcPr>
          <w:p w14:paraId="1830CAC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-0.31</w:t>
            </w:r>
          </w:p>
        </w:tc>
      </w:tr>
      <w:tr w:rsidR="00624EE6" w:rsidRPr="00DE449C" w14:paraId="5ED1EC9C" w14:textId="77777777" w:rsidTr="005E7AC2">
        <w:trPr>
          <w:trHeight w:val="315"/>
          <w:jc w:val="center"/>
        </w:trPr>
        <w:tc>
          <w:tcPr>
            <w:tcW w:w="1460" w:type="dxa"/>
            <w:tcBorders>
              <w:top w:val="nil"/>
              <w:left w:val="nil"/>
              <w:bottom w:val="nil"/>
              <w:right w:val="nil"/>
            </w:tcBorders>
            <w:shd w:val="clear" w:color="auto" w:fill="auto"/>
            <w:vAlign w:val="center"/>
            <w:hideMark/>
          </w:tcPr>
          <w:p w14:paraId="15D0A72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00A9AA5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(0.086)</w:t>
            </w:r>
          </w:p>
        </w:tc>
        <w:tc>
          <w:tcPr>
            <w:tcW w:w="1640" w:type="dxa"/>
            <w:tcBorders>
              <w:top w:val="nil"/>
              <w:left w:val="nil"/>
              <w:bottom w:val="nil"/>
              <w:right w:val="nil"/>
            </w:tcBorders>
            <w:shd w:val="clear" w:color="auto" w:fill="auto"/>
            <w:vAlign w:val="center"/>
            <w:hideMark/>
          </w:tcPr>
          <w:p w14:paraId="07F861F0"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(0.267)</w:t>
            </w:r>
          </w:p>
        </w:tc>
      </w:tr>
      <w:tr w:rsidR="00624EE6" w:rsidRPr="00DE449C" w14:paraId="70BE3F04" w14:textId="77777777" w:rsidTr="005E7AC2">
        <w:trPr>
          <w:trHeight w:val="315"/>
          <w:jc w:val="center"/>
        </w:trPr>
        <w:tc>
          <w:tcPr>
            <w:tcW w:w="1460" w:type="dxa"/>
            <w:tcBorders>
              <w:top w:val="nil"/>
              <w:left w:val="nil"/>
              <w:bottom w:val="nil"/>
              <w:right w:val="nil"/>
            </w:tcBorders>
            <w:shd w:val="clear" w:color="auto" w:fill="auto"/>
            <w:vAlign w:val="center"/>
            <w:hideMark/>
          </w:tcPr>
          <w:p w14:paraId="366EF966"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TAXFEES</w:t>
            </w:r>
          </w:p>
        </w:tc>
        <w:tc>
          <w:tcPr>
            <w:tcW w:w="1640" w:type="dxa"/>
            <w:tcBorders>
              <w:top w:val="nil"/>
              <w:left w:val="nil"/>
              <w:bottom w:val="nil"/>
              <w:right w:val="nil"/>
            </w:tcBorders>
            <w:shd w:val="clear" w:color="auto" w:fill="auto"/>
            <w:vAlign w:val="center"/>
            <w:hideMark/>
          </w:tcPr>
          <w:p w14:paraId="5A627C3E"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-0.047</w:t>
            </w:r>
          </w:p>
        </w:tc>
        <w:tc>
          <w:tcPr>
            <w:tcW w:w="1640" w:type="dxa"/>
            <w:tcBorders>
              <w:top w:val="nil"/>
              <w:left w:val="nil"/>
              <w:bottom w:val="nil"/>
              <w:right w:val="nil"/>
            </w:tcBorders>
            <w:shd w:val="clear" w:color="auto" w:fill="auto"/>
            <w:vAlign w:val="center"/>
            <w:hideMark/>
          </w:tcPr>
          <w:p w14:paraId="0F454D9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0.089</w:t>
            </w:r>
          </w:p>
        </w:tc>
      </w:tr>
      <w:tr w:rsidR="00624EE6" w:rsidRPr="00DE449C" w14:paraId="06345EA9" w14:textId="77777777" w:rsidTr="005E7AC2">
        <w:trPr>
          <w:trHeight w:val="315"/>
          <w:jc w:val="center"/>
        </w:trPr>
        <w:tc>
          <w:tcPr>
            <w:tcW w:w="1460" w:type="dxa"/>
            <w:tcBorders>
              <w:top w:val="nil"/>
              <w:left w:val="nil"/>
              <w:bottom w:val="nil"/>
              <w:right w:val="nil"/>
            </w:tcBorders>
            <w:shd w:val="clear" w:color="auto" w:fill="auto"/>
            <w:vAlign w:val="center"/>
            <w:hideMark/>
          </w:tcPr>
          <w:p w14:paraId="4D848040"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6F39049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(0.069)</w:t>
            </w:r>
          </w:p>
        </w:tc>
        <w:tc>
          <w:tcPr>
            <w:tcW w:w="1640" w:type="dxa"/>
            <w:tcBorders>
              <w:top w:val="nil"/>
              <w:left w:val="nil"/>
              <w:bottom w:val="nil"/>
              <w:right w:val="nil"/>
            </w:tcBorders>
            <w:shd w:val="clear" w:color="auto" w:fill="auto"/>
            <w:vAlign w:val="center"/>
            <w:hideMark/>
          </w:tcPr>
          <w:p w14:paraId="79712F6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(0.248)</w:t>
            </w:r>
          </w:p>
        </w:tc>
      </w:tr>
      <w:tr w:rsidR="00624EE6" w:rsidRPr="00DE449C" w14:paraId="72D96A97" w14:textId="77777777" w:rsidTr="005E7AC2">
        <w:trPr>
          <w:trHeight w:val="315"/>
          <w:jc w:val="center"/>
        </w:trPr>
        <w:tc>
          <w:tcPr>
            <w:tcW w:w="1460" w:type="dxa"/>
            <w:tcBorders>
              <w:top w:val="nil"/>
              <w:left w:val="nil"/>
              <w:bottom w:val="nil"/>
              <w:right w:val="nil"/>
            </w:tcBorders>
            <w:shd w:val="clear" w:color="auto" w:fill="auto"/>
            <w:vAlign w:val="center"/>
            <w:hideMark/>
          </w:tcPr>
          <w:p w14:paraId="22201D96"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DAYSFILE</w:t>
            </w:r>
          </w:p>
        </w:tc>
        <w:tc>
          <w:tcPr>
            <w:tcW w:w="1640" w:type="dxa"/>
            <w:tcBorders>
              <w:top w:val="nil"/>
              <w:left w:val="nil"/>
              <w:bottom w:val="nil"/>
              <w:right w:val="nil"/>
            </w:tcBorders>
            <w:shd w:val="clear" w:color="auto" w:fill="auto"/>
            <w:vAlign w:val="center"/>
            <w:hideMark/>
          </w:tcPr>
          <w:p w14:paraId="451BD31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0.000</w:t>
            </w:r>
          </w:p>
        </w:tc>
        <w:tc>
          <w:tcPr>
            <w:tcW w:w="1640" w:type="dxa"/>
            <w:tcBorders>
              <w:top w:val="nil"/>
              <w:left w:val="nil"/>
              <w:bottom w:val="nil"/>
              <w:right w:val="nil"/>
            </w:tcBorders>
            <w:shd w:val="clear" w:color="auto" w:fill="auto"/>
            <w:vAlign w:val="center"/>
            <w:hideMark/>
          </w:tcPr>
          <w:p w14:paraId="577D094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0.001</w:t>
            </w:r>
          </w:p>
        </w:tc>
      </w:tr>
      <w:tr w:rsidR="00624EE6" w:rsidRPr="00DE449C" w14:paraId="58B54A47" w14:textId="77777777" w:rsidTr="005E7AC2">
        <w:trPr>
          <w:trHeight w:val="315"/>
          <w:jc w:val="center"/>
        </w:trPr>
        <w:tc>
          <w:tcPr>
            <w:tcW w:w="1460" w:type="dxa"/>
            <w:tcBorders>
              <w:top w:val="nil"/>
              <w:left w:val="nil"/>
              <w:bottom w:val="nil"/>
              <w:right w:val="nil"/>
            </w:tcBorders>
            <w:shd w:val="clear" w:color="auto" w:fill="auto"/>
            <w:vAlign w:val="center"/>
            <w:hideMark/>
          </w:tcPr>
          <w:p w14:paraId="19DB0A7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032DF29E"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 xml:space="preserve">0.000 </w:t>
            </w:r>
          </w:p>
        </w:tc>
        <w:tc>
          <w:tcPr>
            <w:tcW w:w="1640" w:type="dxa"/>
            <w:tcBorders>
              <w:top w:val="nil"/>
              <w:left w:val="nil"/>
              <w:bottom w:val="nil"/>
              <w:right w:val="nil"/>
            </w:tcBorders>
            <w:shd w:val="clear" w:color="auto" w:fill="auto"/>
            <w:vAlign w:val="center"/>
            <w:hideMark/>
          </w:tcPr>
          <w:p w14:paraId="14C15A63"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(0.001)</w:t>
            </w:r>
          </w:p>
        </w:tc>
      </w:tr>
      <w:tr w:rsidR="00624EE6" w:rsidRPr="00DE449C" w14:paraId="4ABF0E43" w14:textId="77777777" w:rsidTr="005E7AC2">
        <w:trPr>
          <w:trHeight w:val="315"/>
          <w:jc w:val="center"/>
        </w:trPr>
        <w:tc>
          <w:tcPr>
            <w:tcW w:w="1460" w:type="dxa"/>
            <w:tcBorders>
              <w:top w:val="nil"/>
              <w:left w:val="nil"/>
              <w:bottom w:val="nil"/>
              <w:right w:val="nil"/>
            </w:tcBorders>
            <w:shd w:val="clear" w:color="auto" w:fill="auto"/>
            <w:vAlign w:val="center"/>
            <w:hideMark/>
          </w:tcPr>
          <w:p w14:paraId="3DEF6D1F"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 xml:space="preserve">ANALYSTS      </w:t>
            </w:r>
          </w:p>
        </w:tc>
        <w:tc>
          <w:tcPr>
            <w:tcW w:w="1640" w:type="dxa"/>
            <w:tcBorders>
              <w:top w:val="nil"/>
              <w:left w:val="nil"/>
              <w:bottom w:val="nil"/>
              <w:right w:val="nil"/>
            </w:tcBorders>
            <w:shd w:val="clear" w:color="auto" w:fill="auto"/>
            <w:vAlign w:val="center"/>
            <w:hideMark/>
          </w:tcPr>
          <w:p w14:paraId="253A043F"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-0.003</w:t>
            </w:r>
          </w:p>
        </w:tc>
        <w:tc>
          <w:tcPr>
            <w:tcW w:w="1640" w:type="dxa"/>
            <w:tcBorders>
              <w:top w:val="nil"/>
              <w:left w:val="nil"/>
              <w:bottom w:val="nil"/>
              <w:right w:val="nil"/>
            </w:tcBorders>
            <w:shd w:val="clear" w:color="auto" w:fill="auto"/>
            <w:vAlign w:val="center"/>
            <w:hideMark/>
          </w:tcPr>
          <w:p w14:paraId="3DC1B16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0.009</w:t>
            </w:r>
          </w:p>
        </w:tc>
      </w:tr>
      <w:tr w:rsidR="00624EE6" w:rsidRPr="00DE449C" w14:paraId="571B99DA" w14:textId="77777777" w:rsidTr="005E7AC2">
        <w:trPr>
          <w:trHeight w:val="315"/>
          <w:jc w:val="center"/>
        </w:trPr>
        <w:tc>
          <w:tcPr>
            <w:tcW w:w="1460" w:type="dxa"/>
            <w:tcBorders>
              <w:top w:val="nil"/>
              <w:left w:val="nil"/>
              <w:bottom w:val="nil"/>
              <w:right w:val="nil"/>
            </w:tcBorders>
            <w:shd w:val="clear" w:color="auto" w:fill="auto"/>
            <w:vAlign w:val="center"/>
            <w:hideMark/>
          </w:tcPr>
          <w:p w14:paraId="1E92FE6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08358125"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(0.002)</w:t>
            </w:r>
          </w:p>
        </w:tc>
        <w:tc>
          <w:tcPr>
            <w:tcW w:w="1640" w:type="dxa"/>
            <w:tcBorders>
              <w:top w:val="nil"/>
              <w:left w:val="nil"/>
              <w:bottom w:val="nil"/>
              <w:right w:val="nil"/>
            </w:tcBorders>
            <w:shd w:val="clear" w:color="auto" w:fill="auto"/>
            <w:vAlign w:val="center"/>
            <w:hideMark/>
          </w:tcPr>
          <w:p w14:paraId="07A81ADF"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(0.006)</w:t>
            </w:r>
          </w:p>
        </w:tc>
      </w:tr>
      <w:tr w:rsidR="00624EE6" w:rsidRPr="00DE449C" w14:paraId="17A0B8E0" w14:textId="77777777" w:rsidTr="005E7AC2">
        <w:trPr>
          <w:trHeight w:val="315"/>
          <w:jc w:val="center"/>
        </w:trPr>
        <w:tc>
          <w:tcPr>
            <w:tcW w:w="1460" w:type="dxa"/>
            <w:tcBorders>
              <w:top w:val="nil"/>
              <w:left w:val="nil"/>
              <w:bottom w:val="nil"/>
              <w:right w:val="nil"/>
            </w:tcBorders>
            <w:shd w:val="clear" w:color="auto" w:fill="auto"/>
            <w:vAlign w:val="center"/>
            <w:hideMark/>
          </w:tcPr>
          <w:p w14:paraId="58EA2CEA"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WEAKYRS</w:t>
            </w:r>
          </w:p>
        </w:tc>
        <w:tc>
          <w:tcPr>
            <w:tcW w:w="1640" w:type="dxa"/>
            <w:tcBorders>
              <w:top w:val="nil"/>
              <w:left w:val="nil"/>
              <w:bottom w:val="nil"/>
              <w:right w:val="nil"/>
            </w:tcBorders>
            <w:shd w:val="clear" w:color="auto" w:fill="auto"/>
            <w:vAlign w:val="center"/>
            <w:hideMark/>
          </w:tcPr>
          <w:p w14:paraId="2AC9FC5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0.045</w:t>
            </w:r>
          </w:p>
        </w:tc>
        <w:tc>
          <w:tcPr>
            <w:tcW w:w="1640" w:type="dxa"/>
            <w:tcBorders>
              <w:top w:val="nil"/>
              <w:left w:val="nil"/>
              <w:bottom w:val="nil"/>
              <w:right w:val="nil"/>
            </w:tcBorders>
            <w:shd w:val="clear" w:color="auto" w:fill="auto"/>
            <w:vAlign w:val="center"/>
            <w:hideMark/>
          </w:tcPr>
          <w:p w14:paraId="21E2DF6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-0.002</w:t>
            </w:r>
          </w:p>
        </w:tc>
      </w:tr>
      <w:tr w:rsidR="00624EE6" w:rsidRPr="00DE449C" w14:paraId="3C1B4FC4" w14:textId="77777777" w:rsidTr="005E7AC2">
        <w:trPr>
          <w:trHeight w:val="315"/>
          <w:jc w:val="center"/>
        </w:trPr>
        <w:tc>
          <w:tcPr>
            <w:tcW w:w="1460" w:type="dxa"/>
            <w:tcBorders>
              <w:top w:val="nil"/>
              <w:left w:val="nil"/>
              <w:bottom w:val="nil"/>
              <w:right w:val="nil"/>
            </w:tcBorders>
            <w:shd w:val="clear" w:color="auto" w:fill="auto"/>
            <w:noWrap/>
            <w:vAlign w:val="bottom"/>
            <w:hideMark/>
          </w:tcPr>
          <w:p w14:paraId="0BE13009"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58FC87C2"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(0.040)</w:t>
            </w:r>
          </w:p>
        </w:tc>
        <w:tc>
          <w:tcPr>
            <w:tcW w:w="1640" w:type="dxa"/>
            <w:tcBorders>
              <w:top w:val="nil"/>
              <w:left w:val="nil"/>
              <w:bottom w:val="nil"/>
              <w:right w:val="nil"/>
            </w:tcBorders>
            <w:shd w:val="clear" w:color="auto" w:fill="auto"/>
            <w:vAlign w:val="center"/>
            <w:hideMark/>
          </w:tcPr>
          <w:p w14:paraId="6AF10A0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(0.280)</w:t>
            </w:r>
          </w:p>
        </w:tc>
      </w:tr>
      <w:tr w:rsidR="00624EE6" w:rsidRPr="00DE449C" w14:paraId="32017D58" w14:textId="77777777" w:rsidTr="005E7AC2">
        <w:trPr>
          <w:trHeight w:val="315"/>
          <w:jc w:val="center"/>
        </w:trPr>
        <w:tc>
          <w:tcPr>
            <w:tcW w:w="1460" w:type="dxa"/>
            <w:tcBorders>
              <w:top w:val="nil"/>
              <w:left w:val="nil"/>
              <w:bottom w:val="nil"/>
              <w:right w:val="nil"/>
            </w:tcBorders>
            <w:shd w:val="clear" w:color="auto" w:fill="auto"/>
            <w:vAlign w:val="center"/>
            <w:hideMark/>
          </w:tcPr>
          <w:p w14:paraId="7ECFF122"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BODINSIDE</w:t>
            </w:r>
          </w:p>
        </w:tc>
        <w:tc>
          <w:tcPr>
            <w:tcW w:w="1640" w:type="dxa"/>
            <w:tcBorders>
              <w:top w:val="nil"/>
              <w:left w:val="nil"/>
              <w:bottom w:val="nil"/>
              <w:right w:val="nil"/>
            </w:tcBorders>
            <w:shd w:val="clear" w:color="auto" w:fill="auto"/>
            <w:vAlign w:val="center"/>
            <w:hideMark/>
          </w:tcPr>
          <w:p w14:paraId="0A62AAE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-0.128</w:t>
            </w:r>
          </w:p>
        </w:tc>
        <w:tc>
          <w:tcPr>
            <w:tcW w:w="1640" w:type="dxa"/>
            <w:tcBorders>
              <w:top w:val="nil"/>
              <w:left w:val="nil"/>
              <w:bottom w:val="nil"/>
              <w:right w:val="nil"/>
            </w:tcBorders>
            <w:shd w:val="clear" w:color="auto" w:fill="auto"/>
            <w:vAlign w:val="center"/>
            <w:hideMark/>
          </w:tcPr>
          <w:p w14:paraId="0642213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-0.183</w:t>
            </w:r>
          </w:p>
        </w:tc>
      </w:tr>
      <w:tr w:rsidR="00624EE6" w:rsidRPr="00DE449C" w14:paraId="344C63F8" w14:textId="77777777" w:rsidTr="005E7AC2">
        <w:trPr>
          <w:trHeight w:val="315"/>
          <w:jc w:val="center"/>
        </w:trPr>
        <w:tc>
          <w:tcPr>
            <w:tcW w:w="1460" w:type="dxa"/>
            <w:tcBorders>
              <w:top w:val="nil"/>
              <w:left w:val="nil"/>
              <w:bottom w:val="nil"/>
              <w:right w:val="nil"/>
            </w:tcBorders>
            <w:shd w:val="clear" w:color="auto" w:fill="auto"/>
            <w:vAlign w:val="center"/>
            <w:hideMark/>
          </w:tcPr>
          <w:p w14:paraId="7E32798C"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716DF53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(0.125)</w:t>
            </w:r>
          </w:p>
        </w:tc>
        <w:tc>
          <w:tcPr>
            <w:tcW w:w="1640" w:type="dxa"/>
            <w:tcBorders>
              <w:top w:val="nil"/>
              <w:left w:val="nil"/>
              <w:bottom w:val="nil"/>
              <w:right w:val="nil"/>
            </w:tcBorders>
            <w:shd w:val="clear" w:color="auto" w:fill="auto"/>
            <w:vAlign w:val="center"/>
            <w:hideMark/>
          </w:tcPr>
          <w:p w14:paraId="2265BE90"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(0.299)</w:t>
            </w:r>
          </w:p>
        </w:tc>
      </w:tr>
      <w:tr w:rsidR="00624EE6" w:rsidRPr="00DE449C" w14:paraId="3E27FBB5" w14:textId="77777777" w:rsidTr="005E7AC2">
        <w:trPr>
          <w:trHeight w:val="315"/>
          <w:jc w:val="center"/>
        </w:trPr>
        <w:tc>
          <w:tcPr>
            <w:tcW w:w="1460" w:type="dxa"/>
            <w:tcBorders>
              <w:top w:val="nil"/>
              <w:left w:val="nil"/>
              <w:bottom w:val="nil"/>
              <w:right w:val="nil"/>
            </w:tcBorders>
            <w:shd w:val="clear" w:color="auto" w:fill="auto"/>
            <w:vAlign w:val="center"/>
            <w:hideMark/>
          </w:tcPr>
          <w:p w14:paraId="71A3E9C6"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BODLOCKS</w:t>
            </w:r>
          </w:p>
        </w:tc>
        <w:tc>
          <w:tcPr>
            <w:tcW w:w="1640" w:type="dxa"/>
            <w:tcBorders>
              <w:top w:val="nil"/>
              <w:left w:val="nil"/>
              <w:bottom w:val="nil"/>
              <w:right w:val="nil"/>
            </w:tcBorders>
            <w:shd w:val="clear" w:color="auto" w:fill="auto"/>
            <w:vAlign w:val="center"/>
            <w:hideMark/>
          </w:tcPr>
          <w:p w14:paraId="384C321D"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-0.048</w:t>
            </w:r>
          </w:p>
        </w:tc>
        <w:tc>
          <w:tcPr>
            <w:tcW w:w="1640" w:type="dxa"/>
            <w:tcBorders>
              <w:top w:val="nil"/>
              <w:left w:val="nil"/>
              <w:bottom w:val="nil"/>
              <w:right w:val="nil"/>
            </w:tcBorders>
            <w:shd w:val="clear" w:color="auto" w:fill="auto"/>
            <w:vAlign w:val="center"/>
            <w:hideMark/>
          </w:tcPr>
          <w:p w14:paraId="5E2B4CA3"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0.033</w:t>
            </w:r>
          </w:p>
        </w:tc>
      </w:tr>
      <w:tr w:rsidR="00624EE6" w:rsidRPr="00DE449C" w14:paraId="28B4179B" w14:textId="77777777" w:rsidTr="005E7AC2">
        <w:trPr>
          <w:trHeight w:val="315"/>
          <w:jc w:val="center"/>
        </w:trPr>
        <w:tc>
          <w:tcPr>
            <w:tcW w:w="1460" w:type="dxa"/>
            <w:tcBorders>
              <w:top w:val="nil"/>
              <w:left w:val="nil"/>
              <w:bottom w:val="nil"/>
              <w:right w:val="nil"/>
            </w:tcBorders>
            <w:shd w:val="clear" w:color="auto" w:fill="auto"/>
            <w:vAlign w:val="center"/>
            <w:hideMark/>
          </w:tcPr>
          <w:p w14:paraId="1EF0173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7BB73EE4"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(0.031)</w:t>
            </w:r>
          </w:p>
        </w:tc>
        <w:tc>
          <w:tcPr>
            <w:tcW w:w="1640" w:type="dxa"/>
            <w:tcBorders>
              <w:top w:val="nil"/>
              <w:left w:val="nil"/>
              <w:bottom w:val="nil"/>
              <w:right w:val="nil"/>
            </w:tcBorders>
            <w:shd w:val="clear" w:color="auto" w:fill="auto"/>
            <w:vAlign w:val="center"/>
            <w:hideMark/>
          </w:tcPr>
          <w:p w14:paraId="3FF4AD9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(0.026)</w:t>
            </w:r>
          </w:p>
        </w:tc>
      </w:tr>
      <w:tr w:rsidR="00624EE6" w:rsidRPr="00DE449C" w14:paraId="24968B16" w14:textId="77777777" w:rsidTr="005E7AC2">
        <w:trPr>
          <w:trHeight w:val="315"/>
          <w:jc w:val="center"/>
        </w:trPr>
        <w:tc>
          <w:tcPr>
            <w:tcW w:w="1460" w:type="dxa"/>
            <w:tcBorders>
              <w:top w:val="nil"/>
              <w:left w:val="nil"/>
              <w:bottom w:val="nil"/>
              <w:right w:val="nil"/>
            </w:tcBorders>
            <w:shd w:val="clear" w:color="auto" w:fill="auto"/>
            <w:vAlign w:val="center"/>
            <w:hideMark/>
          </w:tcPr>
          <w:p w14:paraId="1FFA4D0F"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BODOTHER</w:t>
            </w:r>
          </w:p>
        </w:tc>
        <w:tc>
          <w:tcPr>
            <w:tcW w:w="1640" w:type="dxa"/>
            <w:tcBorders>
              <w:top w:val="nil"/>
              <w:left w:val="nil"/>
              <w:bottom w:val="nil"/>
              <w:right w:val="nil"/>
            </w:tcBorders>
            <w:shd w:val="clear" w:color="auto" w:fill="auto"/>
            <w:vAlign w:val="center"/>
            <w:hideMark/>
          </w:tcPr>
          <w:p w14:paraId="606AF15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0.022</w:t>
            </w:r>
          </w:p>
        </w:tc>
        <w:tc>
          <w:tcPr>
            <w:tcW w:w="1640" w:type="dxa"/>
            <w:tcBorders>
              <w:top w:val="nil"/>
              <w:left w:val="nil"/>
              <w:bottom w:val="nil"/>
              <w:right w:val="nil"/>
            </w:tcBorders>
            <w:shd w:val="clear" w:color="auto" w:fill="auto"/>
            <w:vAlign w:val="center"/>
            <w:hideMark/>
          </w:tcPr>
          <w:p w14:paraId="01B8AB76"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0.116*</w:t>
            </w:r>
          </w:p>
        </w:tc>
      </w:tr>
      <w:tr w:rsidR="00624EE6" w:rsidRPr="00DE449C" w14:paraId="405CA9F2" w14:textId="77777777" w:rsidTr="005E7AC2">
        <w:trPr>
          <w:trHeight w:val="315"/>
          <w:jc w:val="center"/>
        </w:trPr>
        <w:tc>
          <w:tcPr>
            <w:tcW w:w="1460" w:type="dxa"/>
            <w:tcBorders>
              <w:top w:val="nil"/>
              <w:left w:val="nil"/>
              <w:bottom w:val="nil"/>
              <w:right w:val="nil"/>
            </w:tcBorders>
            <w:shd w:val="clear" w:color="auto" w:fill="auto"/>
            <w:vAlign w:val="center"/>
            <w:hideMark/>
          </w:tcPr>
          <w:p w14:paraId="3E628DD5"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65E7EFC1"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(0.020)</w:t>
            </w:r>
          </w:p>
        </w:tc>
        <w:tc>
          <w:tcPr>
            <w:tcW w:w="1640" w:type="dxa"/>
            <w:tcBorders>
              <w:top w:val="nil"/>
              <w:left w:val="nil"/>
              <w:bottom w:val="nil"/>
              <w:right w:val="nil"/>
            </w:tcBorders>
            <w:shd w:val="clear" w:color="auto" w:fill="auto"/>
            <w:vAlign w:val="center"/>
            <w:hideMark/>
          </w:tcPr>
          <w:p w14:paraId="0DE5B4FB"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(0.067)</w:t>
            </w:r>
          </w:p>
        </w:tc>
      </w:tr>
      <w:tr w:rsidR="00624EE6" w:rsidRPr="00DE449C" w14:paraId="067B7DE8" w14:textId="77777777" w:rsidTr="005E7AC2">
        <w:trPr>
          <w:trHeight w:val="315"/>
          <w:jc w:val="center"/>
        </w:trPr>
        <w:tc>
          <w:tcPr>
            <w:tcW w:w="1460" w:type="dxa"/>
            <w:tcBorders>
              <w:top w:val="nil"/>
              <w:left w:val="nil"/>
              <w:right w:val="nil"/>
            </w:tcBorders>
            <w:shd w:val="clear" w:color="auto" w:fill="auto"/>
            <w:vAlign w:val="center"/>
            <w:hideMark/>
          </w:tcPr>
          <w:p w14:paraId="3DF07B8F" w14:textId="77777777" w:rsidR="00624EE6" w:rsidRPr="00DE449C" w:rsidRDefault="00624EE6" w:rsidP="005E7AC2">
            <w:pPr>
              <w:spacing w:after="0" w:line="240" w:lineRule="auto"/>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FOROPS</w:t>
            </w:r>
          </w:p>
        </w:tc>
        <w:tc>
          <w:tcPr>
            <w:tcW w:w="1640" w:type="dxa"/>
            <w:tcBorders>
              <w:top w:val="nil"/>
              <w:left w:val="nil"/>
              <w:right w:val="nil"/>
            </w:tcBorders>
            <w:shd w:val="clear" w:color="auto" w:fill="auto"/>
            <w:vAlign w:val="center"/>
            <w:hideMark/>
          </w:tcPr>
          <w:p w14:paraId="4DC10433"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w:t>
            </w:r>
          </w:p>
        </w:tc>
        <w:tc>
          <w:tcPr>
            <w:tcW w:w="1640" w:type="dxa"/>
            <w:tcBorders>
              <w:top w:val="nil"/>
              <w:left w:val="nil"/>
              <w:right w:val="nil"/>
            </w:tcBorders>
            <w:shd w:val="clear" w:color="auto" w:fill="auto"/>
            <w:vAlign w:val="center"/>
            <w:hideMark/>
          </w:tcPr>
          <w:p w14:paraId="00CAFDE9"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w:t>
            </w:r>
          </w:p>
        </w:tc>
      </w:tr>
      <w:tr w:rsidR="00624EE6" w:rsidRPr="00DE449C" w14:paraId="62F89B2D" w14:textId="77777777" w:rsidTr="005E7AC2">
        <w:trPr>
          <w:trHeight w:val="315"/>
          <w:jc w:val="center"/>
        </w:trPr>
        <w:tc>
          <w:tcPr>
            <w:tcW w:w="1460" w:type="dxa"/>
            <w:tcBorders>
              <w:top w:val="nil"/>
              <w:left w:val="nil"/>
              <w:bottom w:val="single" w:sz="4" w:space="0" w:color="auto"/>
              <w:right w:val="nil"/>
            </w:tcBorders>
            <w:shd w:val="clear" w:color="auto" w:fill="auto"/>
            <w:vAlign w:val="center"/>
            <w:hideMark/>
          </w:tcPr>
          <w:p w14:paraId="4A99F1D7"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single" w:sz="4" w:space="0" w:color="auto"/>
              <w:right w:val="nil"/>
            </w:tcBorders>
            <w:shd w:val="clear" w:color="auto" w:fill="auto"/>
            <w:vAlign w:val="center"/>
            <w:hideMark/>
          </w:tcPr>
          <w:p w14:paraId="0EDFB22A"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w:t>
            </w:r>
          </w:p>
        </w:tc>
        <w:tc>
          <w:tcPr>
            <w:tcW w:w="1640" w:type="dxa"/>
            <w:tcBorders>
              <w:top w:val="nil"/>
              <w:left w:val="nil"/>
              <w:bottom w:val="single" w:sz="4" w:space="0" w:color="auto"/>
              <w:right w:val="nil"/>
            </w:tcBorders>
            <w:shd w:val="clear" w:color="auto" w:fill="auto"/>
            <w:vAlign w:val="center"/>
            <w:hideMark/>
          </w:tcPr>
          <w:p w14:paraId="36C29C72" w14:textId="77777777" w:rsidR="00624EE6" w:rsidRPr="00DE449C" w:rsidRDefault="00624EE6" w:rsidP="005E7AC2">
            <w:pPr>
              <w:spacing w:after="0" w:line="240" w:lineRule="auto"/>
              <w:jc w:val="center"/>
              <w:rPr>
                <w:rFonts w:ascii="Times New Roman" w:eastAsia="Times New Roman" w:hAnsi="Times New Roman" w:cs="Times New Roman"/>
                <w:color w:val="000000"/>
                <w:sz w:val="24"/>
                <w:szCs w:val="24"/>
              </w:rPr>
            </w:pPr>
            <w:r w:rsidRPr="00DE449C">
              <w:rPr>
                <w:rFonts w:ascii="Times New Roman" w:eastAsia="Times New Roman" w:hAnsi="Times New Roman" w:cs="Times New Roman"/>
                <w:color w:val="000000"/>
                <w:sz w:val="24"/>
                <w:szCs w:val="24"/>
              </w:rPr>
              <w:t>(0.00)</w:t>
            </w:r>
          </w:p>
        </w:tc>
      </w:tr>
    </w:tbl>
    <w:p w14:paraId="7665FE69" w14:textId="77777777" w:rsidR="00624EE6" w:rsidRDefault="00624EE6" w:rsidP="00624EE6">
      <w:pPr>
        <w:widowControl w:val="0"/>
        <w:autoSpaceDE w:val="0"/>
        <w:autoSpaceDN w:val="0"/>
        <w:adjustRightInd w:val="0"/>
        <w:spacing w:after="0" w:line="240" w:lineRule="auto"/>
        <w:jc w:val="center"/>
        <w:rPr>
          <w:rFonts w:ascii="Times New Roman" w:hAnsi="Times New Roman" w:cs="Times New Roman"/>
          <w:b/>
          <w:bCs/>
          <w:sz w:val="24"/>
          <w:szCs w:val="24"/>
        </w:rPr>
      </w:pPr>
    </w:p>
    <w:p w14:paraId="41DE0605" w14:textId="77777777" w:rsidR="00624EE6" w:rsidRDefault="00624EE6" w:rsidP="00624EE6">
      <w:pPr>
        <w:widowControl w:val="0"/>
        <w:autoSpaceDE w:val="0"/>
        <w:autoSpaceDN w:val="0"/>
        <w:adjustRightInd w:val="0"/>
        <w:spacing w:after="0" w:line="240" w:lineRule="auto"/>
        <w:jc w:val="center"/>
        <w:rPr>
          <w:rFonts w:ascii="Times New Roman" w:hAnsi="Times New Roman" w:cs="Times New Roman"/>
          <w:b/>
          <w:bCs/>
          <w:sz w:val="24"/>
          <w:szCs w:val="24"/>
        </w:rPr>
      </w:pPr>
    </w:p>
    <w:p w14:paraId="7D99BBAA" w14:textId="77777777" w:rsidR="00624EE6" w:rsidRPr="00331E66" w:rsidRDefault="00624EE6" w:rsidP="00624EE6">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b/>
          <w:bCs/>
          <w:sz w:val="24"/>
          <w:szCs w:val="24"/>
        </w:rPr>
        <w:t>Table 5 (continued)</w:t>
      </w:r>
    </w:p>
    <w:p w14:paraId="0DC15E66" w14:textId="77777777" w:rsidR="00624EE6" w:rsidRPr="00331E66" w:rsidRDefault="00624EE6" w:rsidP="00624EE6">
      <w:pPr>
        <w:spacing w:after="0"/>
        <w:jc w:val="center"/>
        <w:rPr>
          <w:rFonts w:ascii="Times New Roman" w:hAnsi="Times New Roman" w:cs="Times New Roman"/>
          <w:b/>
          <w:bCs/>
          <w:sz w:val="24"/>
          <w:szCs w:val="24"/>
        </w:rPr>
      </w:pPr>
      <w:r w:rsidRPr="00331E66">
        <w:rPr>
          <w:rFonts w:ascii="Times New Roman" w:hAnsi="Times New Roman" w:cs="Times New Roman"/>
          <w:b/>
          <w:bCs/>
          <w:sz w:val="24"/>
          <w:szCs w:val="24"/>
        </w:rPr>
        <w:t>IRS Schedule UTP Tax Reporting Impact on FIN 48 Disclosure Quality</w:t>
      </w:r>
    </w:p>
    <w:p w14:paraId="4E4F296C" w14:textId="77777777" w:rsidR="00624EE6" w:rsidRPr="00331E66" w:rsidRDefault="00624EE6" w:rsidP="00624EE6">
      <w:pPr>
        <w:spacing w:after="0"/>
        <w:jc w:val="center"/>
        <w:rPr>
          <w:rFonts w:ascii="Times New Roman" w:hAnsi="Times New Roman" w:cs="Times New Roman"/>
          <w:b/>
          <w:bCs/>
          <w:sz w:val="24"/>
          <w:szCs w:val="24"/>
        </w:rPr>
      </w:pPr>
    </w:p>
    <w:p w14:paraId="4DF5012E" w14:textId="77777777" w:rsidR="00624EE6" w:rsidRDefault="00624EE6" w:rsidP="00624EE6">
      <w:pPr>
        <w:spacing w:after="0"/>
        <w:jc w:val="center"/>
        <w:rPr>
          <w:rFonts w:ascii="Times New Roman" w:hAnsi="Times New Roman" w:cs="Times New Roman"/>
          <w:b/>
          <w:bCs/>
          <w:sz w:val="24"/>
          <w:szCs w:val="24"/>
        </w:rPr>
      </w:pPr>
    </w:p>
    <w:tbl>
      <w:tblPr>
        <w:tblW w:w="4740" w:type="dxa"/>
        <w:jc w:val="center"/>
        <w:tblLook w:val="04A0" w:firstRow="1" w:lastRow="0" w:firstColumn="1" w:lastColumn="0" w:noHBand="0" w:noVBand="1"/>
      </w:tblPr>
      <w:tblGrid>
        <w:gridCol w:w="1460"/>
        <w:gridCol w:w="1640"/>
        <w:gridCol w:w="1640"/>
      </w:tblGrid>
      <w:tr w:rsidR="00624EE6" w:rsidRPr="0075699D" w14:paraId="7F2AD84D" w14:textId="77777777" w:rsidTr="005E7AC2">
        <w:trPr>
          <w:trHeight w:val="330"/>
          <w:jc w:val="center"/>
        </w:trPr>
        <w:tc>
          <w:tcPr>
            <w:tcW w:w="1460" w:type="dxa"/>
            <w:tcBorders>
              <w:top w:val="single" w:sz="4" w:space="0" w:color="auto"/>
              <w:left w:val="nil"/>
              <w:bottom w:val="single" w:sz="4" w:space="0" w:color="auto"/>
              <w:right w:val="nil"/>
            </w:tcBorders>
            <w:shd w:val="clear" w:color="auto" w:fill="auto"/>
            <w:vAlign w:val="center"/>
            <w:hideMark/>
          </w:tcPr>
          <w:p w14:paraId="4B3B1F99"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 </w:t>
            </w:r>
          </w:p>
        </w:tc>
        <w:tc>
          <w:tcPr>
            <w:tcW w:w="1640" w:type="dxa"/>
            <w:tcBorders>
              <w:top w:val="single" w:sz="4" w:space="0" w:color="auto"/>
              <w:left w:val="nil"/>
              <w:bottom w:val="single" w:sz="4" w:space="0" w:color="auto"/>
              <w:right w:val="nil"/>
            </w:tcBorders>
            <w:shd w:val="clear" w:color="auto" w:fill="auto"/>
            <w:vAlign w:val="center"/>
            <w:hideMark/>
          </w:tcPr>
          <w:p w14:paraId="3637FAE9"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COMPLETE</w:t>
            </w:r>
          </w:p>
        </w:tc>
        <w:tc>
          <w:tcPr>
            <w:tcW w:w="1640" w:type="dxa"/>
            <w:tcBorders>
              <w:top w:val="single" w:sz="4" w:space="0" w:color="auto"/>
              <w:left w:val="nil"/>
              <w:bottom w:val="single" w:sz="4" w:space="0" w:color="auto"/>
              <w:right w:val="nil"/>
            </w:tcBorders>
            <w:shd w:val="clear" w:color="auto" w:fill="auto"/>
            <w:vAlign w:val="center"/>
            <w:hideMark/>
          </w:tcPr>
          <w:p w14:paraId="1CA19DAE"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CLARITY</w:t>
            </w:r>
          </w:p>
        </w:tc>
      </w:tr>
      <w:tr w:rsidR="00624EE6" w:rsidRPr="0075699D" w14:paraId="625ED6B5" w14:textId="77777777" w:rsidTr="005E7AC2">
        <w:trPr>
          <w:trHeight w:val="315"/>
          <w:jc w:val="center"/>
        </w:trPr>
        <w:tc>
          <w:tcPr>
            <w:tcW w:w="1460" w:type="dxa"/>
            <w:tcBorders>
              <w:top w:val="nil"/>
              <w:left w:val="nil"/>
              <w:bottom w:val="nil"/>
              <w:right w:val="nil"/>
            </w:tcBorders>
            <w:shd w:val="clear" w:color="auto" w:fill="auto"/>
            <w:vAlign w:val="center"/>
            <w:hideMark/>
          </w:tcPr>
          <w:p w14:paraId="29B8F5BD"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37B81F90" w14:textId="77777777" w:rsidR="00624EE6" w:rsidRPr="0075699D" w:rsidRDefault="00624EE6" w:rsidP="005E7AC2">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vAlign w:val="center"/>
            <w:hideMark/>
          </w:tcPr>
          <w:p w14:paraId="2D9FB13A" w14:textId="77777777" w:rsidR="00624EE6" w:rsidRPr="0075699D" w:rsidRDefault="00624EE6" w:rsidP="005E7AC2">
            <w:pPr>
              <w:spacing w:after="0" w:line="240" w:lineRule="auto"/>
              <w:jc w:val="center"/>
              <w:rPr>
                <w:rFonts w:ascii="Times New Roman" w:eastAsia="Times New Roman" w:hAnsi="Times New Roman" w:cs="Times New Roman"/>
                <w:sz w:val="20"/>
                <w:szCs w:val="20"/>
              </w:rPr>
            </w:pPr>
          </w:p>
        </w:tc>
      </w:tr>
      <w:tr w:rsidR="00624EE6" w:rsidRPr="0075699D" w14:paraId="7836BCE2" w14:textId="77777777" w:rsidTr="005E7AC2">
        <w:trPr>
          <w:trHeight w:val="315"/>
          <w:jc w:val="center"/>
        </w:trPr>
        <w:tc>
          <w:tcPr>
            <w:tcW w:w="1460" w:type="dxa"/>
            <w:tcBorders>
              <w:top w:val="nil"/>
              <w:left w:val="nil"/>
              <w:bottom w:val="nil"/>
              <w:right w:val="nil"/>
            </w:tcBorders>
            <w:shd w:val="clear" w:color="auto" w:fill="auto"/>
            <w:vAlign w:val="center"/>
            <w:hideMark/>
          </w:tcPr>
          <w:p w14:paraId="6B5FD962"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BUS_SEG</w:t>
            </w:r>
          </w:p>
        </w:tc>
        <w:tc>
          <w:tcPr>
            <w:tcW w:w="1640" w:type="dxa"/>
            <w:tcBorders>
              <w:top w:val="nil"/>
              <w:left w:val="nil"/>
              <w:bottom w:val="nil"/>
              <w:right w:val="nil"/>
            </w:tcBorders>
            <w:shd w:val="clear" w:color="auto" w:fill="auto"/>
            <w:vAlign w:val="center"/>
            <w:hideMark/>
          </w:tcPr>
          <w:p w14:paraId="57237990"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-0.003</w:t>
            </w:r>
          </w:p>
        </w:tc>
        <w:tc>
          <w:tcPr>
            <w:tcW w:w="1640" w:type="dxa"/>
            <w:tcBorders>
              <w:top w:val="nil"/>
              <w:left w:val="nil"/>
              <w:bottom w:val="nil"/>
              <w:right w:val="nil"/>
            </w:tcBorders>
            <w:shd w:val="clear" w:color="auto" w:fill="auto"/>
            <w:vAlign w:val="center"/>
            <w:hideMark/>
          </w:tcPr>
          <w:p w14:paraId="06FB77FC"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0.010</w:t>
            </w:r>
          </w:p>
        </w:tc>
      </w:tr>
      <w:tr w:rsidR="00624EE6" w:rsidRPr="0075699D" w14:paraId="49BC75FE" w14:textId="77777777" w:rsidTr="005E7AC2">
        <w:trPr>
          <w:trHeight w:val="315"/>
          <w:jc w:val="center"/>
        </w:trPr>
        <w:tc>
          <w:tcPr>
            <w:tcW w:w="1460" w:type="dxa"/>
            <w:tcBorders>
              <w:top w:val="nil"/>
              <w:left w:val="nil"/>
              <w:bottom w:val="nil"/>
              <w:right w:val="nil"/>
            </w:tcBorders>
            <w:shd w:val="clear" w:color="auto" w:fill="auto"/>
            <w:vAlign w:val="center"/>
            <w:hideMark/>
          </w:tcPr>
          <w:p w14:paraId="66F92F19"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0090BBCF"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(0.002)</w:t>
            </w:r>
          </w:p>
        </w:tc>
        <w:tc>
          <w:tcPr>
            <w:tcW w:w="1640" w:type="dxa"/>
            <w:tcBorders>
              <w:top w:val="nil"/>
              <w:left w:val="nil"/>
              <w:bottom w:val="nil"/>
              <w:right w:val="nil"/>
            </w:tcBorders>
            <w:shd w:val="clear" w:color="auto" w:fill="auto"/>
            <w:vAlign w:val="center"/>
            <w:hideMark/>
          </w:tcPr>
          <w:p w14:paraId="4B81B2FD"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(0.006)</w:t>
            </w:r>
          </w:p>
        </w:tc>
      </w:tr>
      <w:tr w:rsidR="00624EE6" w:rsidRPr="0075699D" w14:paraId="0D0AA210" w14:textId="77777777" w:rsidTr="005E7AC2">
        <w:trPr>
          <w:trHeight w:val="315"/>
          <w:jc w:val="center"/>
        </w:trPr>
        <w:tc>
          <w:tcPr>
            <w:tcW w:w="1460" w:type="dxa"/>
            <w:tcBorders>
              <w:top w:val="nil"/>
              <w:left w:val="nil"/>
              <w:bottom w:val="nil"/>
              <w:right w:val="nil"/>
            </w:tcBorders>
            <w:shd w:val="clear" w:color="auto" w:fill="auto"/>
            <w:vAlign w:val="center"/>
            <w:hideMark/>
          </w:tcPr>
          <w:p w14:paraId="5E076DA9"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GEO_SEG</w:t>
            </w:r>
          </w:p>
        </w:tc>
        <w:tc>
          <w:tcPr>
            <w:tcW w:w="1640" w:type="dxa"/>
            <w:tcBorders>
              <w:top w:val="nil"/>
              <w:left w:val="nil"/>
              <w:bottom w:val="nil"/>
              <w:right w:val="nil"/>
            </w:tcBorders>
            <w:shd w:val="clear" w:color="auto" w:fill="auto"/>
            <w:vAlign w:val="center"/>
            <w:hideMark/>
          </w:tcPr>
          <w:p w14:paraId="5E06C4CF"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-0.002</w:t>
            </w:r>
          </w:p>
        </w:tc>
        <w:tc>
          <w:tcPr>
            <w:tcW w:w="1640" w:type="dxa"/>
            <w:tcBorders>
              <w:top w:val="nil"/>
              <w:left w:val="nil"/>
              <w:bottom w:val="nil"/>
              <w:right w:val="nil"/>
            </w:tcBorders>
            <w:shd w:val="clear" w:color="auto" w:fill="auto"/>
            <w:vAlign w:val="center"/>
            <w:hideMark/>
          </w:tcPr>
          <w:p w14:paraId="44B91FED"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-0.002</w:t>
            </w:r>
          </w:p>
        </w:tc>
      </w:tr>
      <w:tr w:rsidR="00624EE6" w:rsidRPr="0075699D" w14:paraId="062EE12D" w14:textId="77777777" w:rsidTr="005E7AC2">
        <w:trPr>
          <w:trHeight w:val="315"/>
          <w:jc w:val="center"/>
        </w:trPr>
        <w:tc>
          <w:tcPr>
            <w:tcW w:w="1460" w:type="dxa"/>
            <w:tcBorders>
              <w:top w:val="nil"/>
              <w:left w:val="nil"/>
              <w:bottom w:val="nil"/>
              <w:right w:val="nil"/>
            </w:tcBorders>
            <w:shd w:val="clear" w:color="auto" w:fill="auto"/>
            <w:vAlign w:val="center"/>
            <w:hideMark/>
          </w:tcPr>
          <w:p w14:paraId="6BF806EB"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252E4DAC"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(0.001)</w:t>
            </w:r>
          </w:p>
        </w:tc>
        <w:tc>
          <w:tcPr>
            <w:tcW w:w="1640" w:type="dxa"/>
            <w:tcBorders>
              <w:top w:val="nil"/>
              <w:left w:val="nil"/>
              <w:bottom w:val="nil"/>
              <w:right w:val="nil"/>
            </w:tcBorders>
            <w:shd w:val="clear" w:color="auto" w:fill="auto"/>
            <w:vAlign w:val="center"/>
            <w:hideMark/>
          </w:tcPr>
          <w:p w14:paraId="7C669353"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(0.003)</w:t>
            </w:r>
          </w:p>
        </w:tc>
      </w:tr>
      <w:tr w:rsidR="00624EE6" w:rsidRPr="0075699D" w14:paraId="10FE92BD" w14:textId="77777777" w:rsidTr="005E7AC2">
        <w:trPr>
          <w:trHeight w:val="330"/>
          <w:jc w:val="center"/>
        </w:trPr>
        <w:tc>
          <w:tcPr>
            <w:tcW w:w="1460" w:type="dxa"/>
            <w:tcBorders>
              <w:top w:val="nil"/>
              <w:left w:val="nil"/>
              <w:bottom w:val="nil"/>
              <w:right w:val="nil"/>
            </w:tcBorders>
            <w:shd w:val="clear" w:color="auto" w:fill="auto"/>
            <w:noWrap/>
            <w:vAlign w:val="center"/>
            <w:hideMark/>
          </w:tcPr>
          <w:p w14:paraId="4F811EF0"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noWrap/>
            <w:vAlign w:val="center"/>
            <w:hideMark/>
          </w:tcPr>
          <w:p w14:paraId="278CC1BE" w14:textId="77777777" w:rsidR="00624EE6" w:rsidRPr="0075699D" w:rsidRDefault="00624EE6" w:rsidP="005E7AC2">
            <w:pPr>
              <w:spacing w:after="0" w:line="240" w:lineRule="auto"/>
              <w:jc w:val="center"/>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center"/>
            <w:hideMark/>
          </w:tcPr>
          <w:p w14:paraId="5DF166B8" w14:textId="77777777" w:rsidR="00624EE6" w:rsidRPr="0075699D" w:rsidRDefault="00624EE6" w:rsidP="005E7AC2">
            <w:pPr>
              <w:spacing w:after="0" w:line="240" w:lineRule="auto"/>
              <w:jc w:val="center"/>
              <w:rPr>
                <w:rFonts w:ascii="Times New Roman" w:eastAsia="Times New Roman" w:hAnsi="Times New Roman" w:cs="Times New Roman"/>
                <w:sz w:val="20"/>
                <w:szCs w:val="20"/>
              </w:rPr>
            </w:pPr>
          </w:p>
        </w:tc>
      </w:tr>
      <w:tr w:rsidR="00624EE6" w:rsidRPr="0075699D" w14:paraId="4880EE04" w14:textId="77777777" w:rsidTr="005E7AC2">
        <w:trPr>
          <w:trHeight w:val="630"/>
          <w:jc w:val="center"/>
        </w:trPr>
        <w:tc>
          <w:tcPr>
            <w:tcW w:w="1460" w:type="dxa"/>
            <w:tcBorders>
              <w:top w:val="nil"/>
              <w:left w:val="nil"/>
              <w:bottom w:val="nil"/>
              <w:right w:val="nil"/>
            </w:tcBorders>
            <w:shd w:val="clear" w:color="auto" w:fill="auto"/>
            <w:vAlign w:val="center"/>
            <w:hideMark/>
          </w:tcPr>
          <w:p w14:paraId="115013BC"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Firm Fixed Effects</w:t>
            </w:r>
          </w:p>
        </w:tc>
        <w:tc>
          <w:tcPr>
            <w:tcW w:w="1640" w:type="dxa"/>
            <w:tcBorders>
              <w:top w:val="nil"/>
              <w:left w:val="nil"/>
              <w:bottom w:val="nil"/>
              <w:right w:val="nil"/>
            </w:tcBorders>
            <w:shd w:val="clear" w:color="auto" w:fill="auto"/>
            <w:vAlign w:val="center"/>
            <w:hideMark/>
          </w:tcPr>
          <w:p w14:paraId="4811DA2E"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YES</w:t>
            </w:r>
          </w:p>
        </w:tc>
        <w:tc>
          <w:tcPr>
            <w:tcW w:w="1640" w:type="dxa"/>
            <w:tcBorders>
              <w:top w:val="nil"/>
              <w:left w:val="nil"/>
              <w:bottom w:val="nil"/>
              <w:right w:val="nil"/>
            </w:tcBorders>
            <w:shd w:val="clear" w:color="auto" w:fill="auto"/>
            <w:vAlign w:val="center"/>
            <w:hideMark/>
          </w:tcPr>
          <w:p w14:paraId="6FEBEA1B"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YES</w:t>
            </w:r>
          </w:p>
        </w:tc>
      </w:tr>
      <w:tr w:rsidR="00624EE6" w:rsidRPr="0075699D" w14:paraId="39ECB996" w14:textId="77777777" w:rsidTr="005E7AC2">
        <w:trPr>
          <w:trHeight w:val="315"/>
          <w:jc w:val="center"/>
        </w:trPr>
        <w:tc>
          <w:tcPr>
            <w:tcW w:w="1460" w:type="dxa"/>
            <w:tcBorders>
              <w:top w:val="nil"/>
              <w:left w:val="nil"/>
              <w:bottom w:val="nil"/>
              <w:right w:val="nil"/>
            </w:tcBorders>
            <w:shd w:val="clear" w:color="auto" w:fill="auto"/>
            <w:vAlign w:val="center"/>
            <w:hideMark/>
          </w:tcPr>
          <w:p w14:paraId="1537F1FD"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p>
        </w:tc>
        <w:tc>
          <w:tcPr>
            <w:tcW w:w="1640" w:type="dxa"/>
            <w:tcBorders>
              <w:top w:val="nil"/>
              <w:left w:val="nil"/>
              <w:bottom w:val="nil"/>
              <w:right w:val="nil"/>
            </w:tcBorders>
            <w:shd w:val="clear" w:color="auto" w:fill="auto"/>
            <w:vAlign w:val="center"/>
            <w:hideMark/>
          </w:tcPr>
          <w:p w14:paraId="1E4B24EB" w14:textId="77777777" w:rsidR="00624EE6" w:rsidRPr="0075699D" w:rsidRDefault="00624EE6" w:rsidP="005E7AC2">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vAlign w:val="center"/>
            <w:hideMark/>
          </w:tcPr>
          <w:p w14:paraId="43D41314" w14:textId="77777777" w:rsidR="00624EE6" w:rsidRPr="0075699D" w:rsidRDefault="00624EE6" w:rsidP="005E7AC2">
            <w:pPr>
              <w:spacing w:after="0" w:line="240" w:lineRule="auto"/>
              <w:jc w:val="center"/>
              <w:rPr>
                <w:rFonts w:ascii="Times New Roman" w:eastAsia="Times New Roman" w:hAnsi="Times New Roman" w:cs="Times New Roman"/>
                <w:sz w:val="20"/>
                <w:szCs w:val="20"/>
              </w:rPr>
            </w:pPr>
          </w:p>
        </w:tc>
      </w:tr>
      <w:tr w:rsidR="00624EE6" w:rsidRPr="0075699D" w14:paraId="041ED0B8" w14:textId="77777777" w:rsidTr="005E7AC2">
        <w:trPr>
          <w:trHeight w:val="315"/>
          <w:jc w:val="center"/>
        </w:trPr>
        <w:tc>
          <w:tcPr>
            <w:tcW w:w="1460" w:type="dxa"/>
            <w:tcBorders>
              <w:top w:val="nil"/>
              <w:left w:val="nil"/>
              <w:bottom w:val="nil"/>
              <w:right w:val="nil"/>
            </w:tcBorders>
            <w:shd w:val="clear" w:color="auto" w:fill="auto"/>
            <w:vAlign w:val="center"/>
            <w:hideMark/>
          </w:tcPr>
          <w:p w14:paraId="499888BB"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N</w:t>
            </w:r>
          </w:p>
        </w:tc>
        <w:tc>
          <w:tcPr>
            <w:tcW w:w="1640" w:type="dxa"/>
            <w:tcBorders>
              <w:top w:val="nil"/>
              <w:left w:val="nil"/>
              <w:bottom w:val="nil"/>
              <w:right w:val="nil"/>
            </w:tcBorders>
            <w:shd w:val="clear" w:color="auto" w:fill="auto"/>
            <w:vAlign w:val="center"/>
            <w:hideMark/>
          </w:tcPr>
          <w:p w14:paraId="7BC25495"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1,456</w:t>
            </w:r>
          </w:p>
        </w:tc>
        <w:tc>
          <w:tcPr>
            <w:tcW w:w="1640" w:type="dxa"/>
            <w:tcBorders>
              <w:top w:val="nil"/>
              <w:left w:val="nil"/>
              <w:bottom w:val="nil"/>
              <w:right w:val="nil"/>
            </w:tcBorders>
            <w:shd w:val="clear" w:color="auto" w:fill="auto"/>
            <w:vAlign w:val="center"/>
            <w:hideMark/>
          </w:tcPr>
          <w:p w14:paraId="6933D27C"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1,172</w:t>
            </w:r>
          </w:p>
        </w:tc>
      </w:tr>
      <w:tr w:rsidR="00624EE6" w:rsidRPr="0075699D" w14:paraId="6B781C5C" w14:textId="77777777" w:rsidTr="005E7AC2">
        <w:trPr>
          <w:trHeight w:val="330"/>
          <w:jc w:val="center"/>
        </w:trPr>
        <w:tc>
          <w:tcPr>
            <w:tcW w:w="1460" w:type="dxa"/>
            <w:tcBorders>
              <w:top w:val="nil"/>
              <w:left w:val="nil"/>
              <w:bottom w:val="single" w:sz="8" w:space="0" w:color="auto"/>
              <w:right w:val="nil"/>
            </w:tcBorders>
            <w:shd w:val="clear" w:color="auto" w:fill="auto"/>
            <w:vAlign w:val="center"/>
            <w:hideMark/>
          </w:tcPr>
          <w:p w14:paraId="2D39C503" w14:textId="77777777" w:rsidR="00624EE6" w:rsidRPr="0075699D" w:rsidRDefault="00624EE6" w:rsidP="005E7AC2">
            <w:pPr>
              <w:spacing w:after="0" w:line="240" w:lineRule="auto"/>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Firms</w:t>
            </w:r>
          </w:p>
        </w:tc>
        <w:tc>
          <w:tcPr>
            <w:tcW w:w="1640" w:type="dxa"/>
            <w:tcBorders>
              <w:top w:val="nil"/>
              <w:left w:val="nil"/>
              <w:bottom w:val="single" w:sz="8" w:space="0" w:color="auto"/>
              <w:right w:val="nil"/>
            </w:tcBorders>
            <w:shd w:val="clear" w:color="auto" w:fill="auto"/>
            <w:vAlign w:val="center"/>
            <w:hideMark/>
          </w:tcPr>
          <w:p w14:paraId="1C47D756"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728</w:t>
            </w:r>
          </w:p>
        </w:tc>
        <w:tc>
          <w:tcPr>
            <w:tcW w:w="1640" w:type="dxa"/>
            <w:tcBorders>
              <w:top w:val="nil"/>
              <w:left w:val="nil"/>
              <w:bottom w:val="single" w:sz="8" w:space="0" w:color="auto"/>
              <w:right w:val="nil"/>
            </w:tcBorders>
            <w:shd w:val="clear" w:color="auto" w:fill="auto"/>
            <w:vAlign w:val="center"/>
            <w:hideMark/>
          </w:tcPr>
          <w:p w14:paraId="0B1CD084" w14:textId="77777777" w:rsidR="00624EE6" w:rsidRPr="0075699D" w:rsidRDefault="00624EE6" w:rsidP="005E7AC2">
            <w:pPr>
              <w:spacing w:after="0" w:line="240" w:lineRule="auto"/>
              <w:jc w:val="center"/>
              <w:rPr>
                <w:rFonts w:ascii="Times New Roman" w:eastAsia="Times New Roman" w:hAnsi="Times New Roman" w:cs="Times New Roman"/>
                <w:color w:val="000000"/>
                <w:sz w:val="24"/>
                <w:szCs w:val="24"/>
              </w:rPr>
            </w:pPr>
            <w:r w:rsidRPr="0075699D">
              <w:rPr>
                <w:rFonts w:ascii="Times New Roman" w:eastAsia="Times New Roman" w:hAnsi="Times New Roman" w:cs="Times New Roman"/>
                <w:color w:val="000000"/>
                <w:sz w:val="24"/>
                <w:szCs w:val="24"/>
              </w:rPr>
              <w:t>586</w:t>
            </w:r>
          </w:p>
        </w:tc>
      </w:tr>
    </w:tbl>
    <w:p w14:paraId="79E4EF67" w14:textId="22464F6F" w:rsidR="00624EE6" w:rsidRPr="00331E66" w:rsidRDefault="00624EE6" w:rsidP="00624EE6">
      <w:pPr>
        <w:pStyle w:val="FootnoteText"/>
        <w:rPr>
          <w:rFonts w:ascii="Times New Roman" w:hAnsi="Times New Roman" w:cs="Times New Roman"/>
        </w:rPr>
      </w:pPr>
      <w:r w:rsidRPr="00331E66">
        <w:rPr>
          <w:rFonts w:ascii="Times New Roman" w:hAnsi="Times New Roman" w:cs="Times New Roman"/>
          <w:szCs w:val="16"/>
        </w:rPr>
        <w:t>*, **, *** denote signiﬁcance at the 0.10, 0.05, and 0.01 (two-tailed) levels, respectively. This table presents the results of Poisson regressions (robust standard errors in parentheses in the second row) that evaluate the effect of IRS Schedule UTP adoption on FIN 48 disclosure quality.  I deﬁne the dependent variables as follows: COMPLETE = The sum of six required disclosure score components (see Appendix</w:t>
      </w:r>
      <w:r>
        <w:rPr>
          <w:rFonts w:ascii="Times New Roman" w:hAnsi="Times New Roman" w:cs="Times New Roman"/>
          <w:szCs w:val="16"/>
        </w:rPr>
        <w:t xml:space="preserve"> </w:t>
      </w:r>
      <w:r w:rsidR="00C3183E">
        <w:rPr>
          <w:rFonts w:ascii="Times New Roman" w:hAnsi="Times New Roman" w:cs="Times New Roman"/>
          <w:szCs w:val="16"/>
        </w:rPr>
        <w:t>A</w:t>
      </w:r>
      <w:r w:rsidRPr="00331E66">
        <w:rPr>
          <w:rFonts w:ascii="Times New Roman" w:hAnsi="Times New Roman" w:cs="Times New Roman"/>
          <w:szCs w:val="16"/>
        </w:rPr>
        <w:t>);</w:t>
      </w:r>
      <w:r w:rsidRPr="00331E66">
        <w:rPr>
          <w:rFonts w:ascii="Times New Roman" w:hAnsi="Times New Roman" w:cs="Times New Roman"/>
          <w:bCs/>
          <w:szCs w:val="16"/>
        </w:rPr>
        <w:t xml:space="preserve"> </w:t>
      </w:r>
      <w:r w:rsidRPr="00331E66">
        <w:rPr>
          <w:rFonts w:ascii="Times New Roman" w:hAnsi="Times New Roman" w:cs="Times New Roman"/>
          <w:szCs w:val="16"/>
        </w:rPr>
        <w:t>CLARITY = The sum of four discretionary disclosure score components (see Appendix</w:t>
      </w:r>
      <w:r>
        <w:rPr>
          <w:rFonts w:ascii="Times New Roman" w:hAnsi="Times New Roman" w:cs="Times New Roman"/>
          <w:szCs w:val="16"/>
        </w:rPr>
        <w:t xml:space="preserve"> </w:t>
      </w:r>
      <w:r w:rsidR="00C3183E">
        <w:rPr>
          <w:rFonts w:ascii="Times New Roman" w:hAnsi="Times New Roman" w:cs="Times New Roman"/>
          <w:szCs w:val="16"/>
        </w:rPr>
        <w:t>A</w:t>
      </w:r>
      <w:r>
        <w:rPr>
          <w:rFonts w:ascii="Times New Roman" w:hAnsi="Times New Roman" w:cs="Times New Roman"/>
          <w:szCs w:val="16"/>
        </w:rPr>
        <w:t xml:space="preserve">).  </w:t>
      </w:r>
      <w:r w:rsidRPr="00331E66">
        <w:rPr>
          <w:rFonts w:ascii="Times New Roman" w:hAnsi="Times New Roman" w:cs="Times New Roman"/>
          <w:szCs w:val="16"/>
        </w:rPr>
        <w:t xml:space="preserve">See Tables 1 or 2 for independent variable deﬁnitions.  </w:t>
      </w:r>
      <w:r w:rsidRPr="00331E66">
        <w:rPr>
          <w:rFonts w:ascii="Times New Roman" w:hAnsi="Times New Roman" w:cs="Times New Roman"/>
        </w:rPr>
        <w:t xml:space="preserve">The </w:t>
      </w:r>
      <w:r w:rsidRPr="00331E66">
        <w:rPr>
          <w:rFonts w:ascii="Times New Roman" w:hAnsi="Times New Roman" w:cs="Times New Roman"/>
          <w:i/>
        </w:rPr>
        <w:t>CLARITY</w:t>
      </w:r>
      <w:r w:rsidRPr="00331E66">
        <w:rPr>
          <w:rFonts w:ascii="Times New Roman" w:hAnsi="Times New Roman" w:cs="Times New Roman"/>
        </w:rPr>
        <w:t xml:space="preserve"> Poisson regression with fixed effects drops 14</w:t>
      </w:r>
      <w:r>
        <w:rPr>
          <w:rFonts w:ascii="Times New Roman" w:hAnsi="Times New Roman" w:cs="Times New Roman"/>
        </w:rPr>
        <w:t>2</w:t>
      </w:r>
      <w:r w:rsidRPr="00331E66">
        <w:rPr>
          <w:rFonts w:ascii="Times New Roman" w:hAnsi="Times New Roman" w:cs="Times New Roman"/>
        </w:rPr>
        <w:t xml:space="preserve"> firms or 2</w:t>
      </w:r>
      <w:r>
        <w:rPr>
          <w:rFonts w:ascii="Times New Roman" w:hAnsi="Times New Roman" w:cs="Times New Roman"/>
        </w:rPr>
        <w:t>84</w:t>
      </w:r>
      <w:r w:rsidRPr="00331E66">
        <w:rPr>
          <w:rFonts w:ascii="Times New Roman" w:hAnsi="Times New Roman" w:cs="Times New Roman"/>
        </w:rPr>
        <w:t xml:space="preserve"> firm-years that have no change in </w:t>
      </w:r>
      <w:r w:rsidRPr="00331E66">
        <w:rPr>
          <w:rFonts w:ascii="Times New Roman" w:hAnsi="Times New Roman" w:cs="Times New Roman"/>
          <w:i/>
        </w:rPr>
        <w:t>CLARITY</w:t>
      </w:r>
      <w:r w:rsidRPr="00331E66">
        <w:rPr>
          <w:rFonts w:ascii="Times New Roman" w:hAnsi="Times New Roman" w:cs="Times New Roman"/>
        </w:rPr>
        <w:t xml:space="preserve"> score, primarily firms that have a zero </w:t>
      </w:r>
      <w:r w:rsidRPr="00331E66">
        <w:rPr>
          <w:rFonts w:ascii="Times New Roman" w:hAnsi="Times New Roman" w:cs="Times New Roman"/>
          <w:i/>
        </w:rPr>
        <w:t>CLARITY</w:t>
      </w:r>
      <w:r w:rsidRPr="00331E66">
        <w:rPr>
          <w:rFonts w:ascii="Times New Roman" w:hAnsi="Times New Roman" w:cs="Times New Roman"/>
        </w:rPr>
        <w:t xml:space="preserve"> disclosure score in 2009 and 2010.</w:t>
      </w:r>
    </w:p>
    <w:p w14:paraId="5EC13788" w14:textId="77777777" w:rsidR="00624EE6" w:rsidRPr="00331E66" w:rsidRDefault="00624EE6" w:rsidP="00624EE6">
      <w:pPr>
        <w:widowControl w:val="0"/>
        <w:autoSpaceDE w:val="0"/>
        <w:autoSpaceDN w:val="0"/>
        <w:adjustRightInd w:val="0"/>
        <w:spacing w:after="0" w:line="240" w:lineRule="auto"/>
        <w:ind w:left="-270"/>
        <w:jc w:val="both"/>
        <w:rPr>
          <w:rFonts w:ascii="Times New Roman" w:hAnsi="Times New Roman" w:cs="Times New Roman"/>
          <w:sz w:val="20"/>
          <w:szCs w:val="16"/>
        </w:rPr>
      </w:pPr>
    </w:p>
    <w:p w14:paraId="357C32A6" w14:textId="77777777" w:rsidR="00624EE6" w:rsidRPr="00331E66" w:rsidRDefault="00624EE6" w:rsidP="00624EE6">
      <w:pPr>
        <w:rPr>
          <w:rFonts w:ascii="Times New Roman" w:hAnsi="Times New Roman" w:cs="Times New Roman"/>
          <w:sz w:val="16"/>
          <w:szCs w:val="16"/>
        </w:rPr>
      </w:pPr>
      <w:r w:rsidRPr="00331E66">
        <w:rPr>
          <w:rFonts w:ascii="Times New Roman" w:hAnsi="Times New Roman" w:cs="Times New Roman"/>
          <w:sz w:val="16"/>
          <w:szCs w:val="16"/>
        </w:rPr>
        <w:br w:type="page"/>
      </w:r>
    </w:p>
    <w:p w14:paraId="78AFE6C3" w14:textId="77777777" w:rsidR="00624EE6" w:rsidRPr="00331E66" w:rsidRDefault="00624EE6" w:rsidP="00624EE6">
      <w:pPr>
        <w:spacing w:after="0"/>
        <w:jc w:val="center"/>
        <w:rPr>
          <w:rFonts w:ascii="Times New Roman" w:hAnsi="Times New Roman" w:cs="Times New Roman"/>
          <w:b/>
          <w:bCs/>
          <w:sz w:val="19"/>
          <w:szCs w:val="19"/>
        </w:rPr>
      </w:pPr>
      <w:r w:rsidRPr="00331E66">
        <w:rPr>
          <w:rFonts w:ascii="Times New Roman" w:hAnsi="Times New Roman" w:cs="Times New Roman"/>
          <w:b/>
          <w:bCs/>
          <w:sz w:val="24"/>
          <w:szCs w:val="24"/>
        </w:rPr>
        <w:t xml:space="preserve">Table </w:t>
      </w:r>
      <w:r>
        <w:rPr>
          <w:rFonts w:ascii="Times New Roman" w:hAnsi="Times New Roman" w:cs="Times New Roman"/>
          <w:b/>
          <w:bCs/>
          <w:sz w:val="24"/>
          <w:szCs w:val="24"/>
        </w:rPr>
        <w:t>6</w:t>
      </w:r>
    </w:p>
    <w:p w14:paraId="0F34CC97" w14:textId="631AB05C" w:rsidR="00624EE6" w:rsidRPr="00331E66" w:rsidRDefault="00624EE6" w:rsidP="00624EE6">
      <w:pPr>
        <w:spacing w:after="0"/>
        <w:jc w:val="center"/>
        <w:rPr>
          <w:rFonts w:ascii="Times New Roman" w:hAnsi="Times New Roman" w:cs="Times New Roman"/>
          <w:b/>
          <w:bCs/>
          <w:sz w:val="24"/>
          <w:szCs w:val="24"/>
        </w:rPr>
      </w:pPr>
      <w:r w:rsidRPr="00331E66">
        <w:rPr>
          <w:rFonts w:ascii="Times New Roman" w:hAnsi="Times New Roman" w:cs="Times New Roman"/>
          <w:b/>
          <w:bCs/>
          <w:sz w:val="24"/>
          <w:szCs w:val="24"/>
        </w:rPr>
        <w:t xml:space="preserve">IRS Schedule UTP Impact on </w:t>
      </w:r>
      <w:r w:rsidR="008D16D5">
        <w:rPr>
          <w:rFonts w:ascii="Times New Roman" w:hAnsi="Times New Roman" w:cs="Times New Roman"/>
          <w:b/>
          <w:bCs/>
          <w:sz w:val="24"/>
          <w:szCs w:val="24"/>
        </w:rPr>
        <w:t>the Content of Mandatory FIN 48 Disclosures</w:t>
      </w:r>
    </w:p>
    <w:p w14:paraId="7799792B" w14:textId="77777777" w:rsidR="00624EE6" w:rsidRPr="00331E66" w:rsidRDefault="00624EE6" w:rsidP="00624EE6">
      <w:pPr>
        <w:spacing w:after="0"/>
        <w:jc w:val="center"/>
        <w:rPr>
          <w:rFonts w:ascii="Times New Roman" w:hAnsi="Times New Roman" w:cs="Times New Roman"/>
          <w:b/>
          <w:bCs/>
          <w:sz w:val="24"/>
          <w:szCs w:val="24"/>
        </w:rPr>
      </w:pPr>
    </w:p>
    <w:tbl>
      <w:tblPr>
        <w:tblW w:w="8190" w:type="dxa"/>
        <w:jc w:val="center"/>
        <w:tblLook w:val="04A0" w:firstRow="1" w:lastRow="0" w:firstColumn="1" w:lastColumn="0" w:noHBand="0" w:noVBand="1"/>
      </w:tblPr>
      <w:tblGrid>
        <w:gridCol w:w="1420"/>
        <w:gridCol w:w="3220"/>
        <w:gridCol w:w="3550"/>
      </w:tblGrid>
      <w:tr w:rsidR="00624EE6" w:rsidRPr="00E91C0F" w14:paraId="3C0E7CA2" w14:textId="77777777" w:rsidTr="005E7AC2">
        <w:trPr>
          <w:trHeight w:val="705"/>
          <w:jc w:val="center"/>
        </w:trPr>
        <w:tc>
          <w:tcPr>
            <w:tcW w:w="1420" w:type="dxa"/>
            <w:tcBorders>
              <w:top w:val="single" w:sz="4" w:space="0" w:color="auto"/>
              <w:left w:val="nil"/>
              <w:bottom w:val="single" w:sz="8" w:space="0" w:color="auto"/>
              <w:right w:val="nil"/>
            </w:tcBorders>
            <w:shd w:val="clear" w:color="auto" w:fill="auto"/>
            <w:vAlign w:val="center"/>
            <w:hideMark/>
          </w:tcPr>
          <w:p w14:paraId="55CA6F4A" w14:textId="77777777" w:rsidR="00624EE6" w:rsidRPr="00E91C0F" w:rsidRDefault="00624EE6" w:rsidP="005E7AC2">
            <w:pPr>
              <w:spacing w:after="0" w:line="240" w:lineRule="auto"/>
              <w:ind w:left="-464"/>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3220" w:type="dxa"/>
            <w:tcBorders>
              <w:top w:val="single" w:sz="4" w:space="0" w:color="auto"/>
              <w:left w:val="nil"/>
              <w:bottom w:val="single" w:sz="8" w:space="0" w:color="auto"/>
              <w:right w:val="nil"/>
            </w:tcBorders>
            <w:shd w:val="clear" w:color="auto" w:fill="auto"/>
            <w:hideMark/>
          </w:tcPr>
          <w:p w14:paraId="521C4FB6"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Forward-looking Statement</w:t>
            </w:r>
            <w:r w:rsidRPr="00E91C0F">
              <w:rPr>
                <w:rFonts w:ascii="Times New Roman" w:eastAsia="Times New Roman" w:hAnsi="Times New Roman" w:cs="Times New Roman"/>
                <w:b/>
                <w:bCs/>
                <w:color w:val="000000"/>
                <w:sz w:val="24"/>
                <w:szCs w:val="24"/>
              </w:rPr>
              <w:br/>
              <w:t>(7C_FWD)</w:t>
            </w:r>
          </w:p>
        </w:tc>
        <w:tc>
          <w:tcPr>
            <w:tcW w:w="3550" w:type="dxa"/>
            <w:tcBorders>
              <w:top w:val="single" w:sz="4" w:space="0" w:color="auto"/>
              <w:left w:val="nil"/>
              <w:bottom w:val="single" w:sz="8" w:space="0" w:color="auto"/>
              <w:right w:val="nil"/>
            </w:tcBorders>
            <w:shd w:val="clear" w:color="auto" w:fill="auto"/>
            <w:hideMark/>
          </w:tcPr>
          <w:p w14:paraId="232ACD30"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Includes a Numerical Estimate</w:t>
            </w:r>
            <w:r w:rsidRPr="00E91C0F">
              <w:rPr>
                <w:rFonts w:ascii="Times New Roman" w:eastAsia="Times New Roman" w:hAnsi="Times New Roman" w:cs="Times New Roman"/>
                <w:b/>
                <w:bCs/>
                <w:color w:val="000000"/>
                <w:sz w:val="24"/>
                <w:szCs w:val="24"/>
              </w:rPr>
              <w:br/>
              <w:t>in Forward-looking Statement</w:t>
            </w:r>
          </w:p>
        </w:tc>
      </w:tr>
      <w:tr w:rsidR="00624EE6" w:rsidRPr="00E91C0F" w14:paraId="2FB10E07" w14:textId="77777777" w:rsidTr="005E7AC2">
        <w:trPr>
          <w:trHeight w:val="199"/>
          <w:jc w:val="center"/>
        </w:trPr>
        <w:tc>
          <w:tcPr>
            <w:tcW w:w="1420" w:type="dxa"/>
            <w:tcBorders>
              <w:top w:val="nil"/>
              <w:left w:val="nil"/>
              <w:bottom w:val="nil"/>
              <w:right w:val="nil"/>
            </w:tcBorders>
            <w:shd w:val="clear" w:color="auto" w:fill="auto"/>
            <w:vAlign w:val="center"/>
            <w:hideMark/>
          </w:tcPr>
          <w:p w14:paraId="12D036A9"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3220" w:type="dxa"/>
            <w:tcBorders>
              <w:top w:val="nil"/>
              <w:left w:val="nil"/>
              <w:bottom w:val="nil"/>
              <w:right w:val="nil"/>
            </w:tcBorders>
            <w:shd w:val="clear" w:color="auto" w:fill="auto"/>
            <w:vAlign w:val="center"/>
            <w:hideMark/>
          </w:tcPr>
          <w:p w14:paraId="58CDA2C5"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3550" w:type="dxa"/>
            <w:tcBorders>
              <w:top w:val="nil"/>
              <w:left w:val="nil"/>
              <w:bottom w:val="nil"/>
              <w:right w:val="nil"/>
            </w:tcBorders>
            <w:shd w:val="clear" w:color="auto" w:fill="auto"/>
            <w:vAlign w:val="center"/>
            <w:hideMark/>
          </w:tcPr>
          <w:p w14:paraId="63EA544E"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53734DB2" w14:textId="77777777" w:rsidTr="005E7AC2">
        <w:trPr>
          <w:trHeight w:val="330"/>
          <w:jc w:val="center"/>
        </w:trPr>
        <w:tc>
          <w:tcPr>
            <w:tcW w:w="1420" w:type="dxa"/>
            <w:tcBorders>
              <w:top w:val="nil"/>
              <w:left w:val="nil"/>
              <w:bottom w:val="nil"/>
              <w:right w:val="nil"/>
            </w:tcBorders>
            <w:shd w:val="clear" w:color="auto" w:fill="auto"/>
            <w:vAlign w:val="center"/>
            <w:hideMark/>
          </w:tcPr>
          <w:p w14:paraId="3673E647" w14:textId="77777777" w:rsidR="00624EE6" w:rsidRPr="00E91C0F" w:rsidRDefault="00624EE6" w:rsidP="005E7AC2">
            <w:pPr>
              <w:spacing w:after="0" w:line="240" w:lineRule="auto"/>
              <w:rPr>
                <w:rFonts w:ascii="Times New Roman" w:eastAsia="Times New Roman" w:hAnsi="Times New Roman" w:cs="Times New Roman"/>
                <w:b/>
                <w:bCs/>
                <w:color w:val="000000"/>
                <w:sz w:val="24"/>
                <w:szCs w:val="24"/>
              </w:rPr>
            </w:pPr>
            <w:proofErr w:type="spellStart"/>
            <w:r w:rsidRPr="00E91C0F">
              <w:rPr>
                <w:rFonts w:ascii="Times New Roman" w:eastAsia="Times New Roman" w:hAnsi="Times New Roman" w:cs="Times New Roman"/>
                <w:b/>
                <w:bCs/>
                <w:color w:val="000000"/>
                <w:sz w:val="24"/>
                <w:szCs w:val="24"/>
              </w:rPr>
              <w:t>SchUTP</w:t>
            </w:r>
            <w:proofErr w:type="spellEnd"/>
          </w:p>
        </w:tc>
        <w:tc>
          <w:tcPr>
            <w:tcW w:w="3220" w:type="dxa"/>
            <w:tcBorders>
              <w:top w:val="nil"/>
              <w:left w:val="nil"/>
              <w:bottom w:val="nil"/>
              <w:right w:val="nil"/>
            </w:tcBorders>
            <w:shd w:val="clear" w:color="auto" w:fill="auto"/>
            <w:vAlign w:val="center"/>
            <w:hideMark/>
          </w:tcPr>
          <w:p w14:paraId="1756136D"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0.104</w:t>
            </w:r>
          </w:p>
        </w:tc>
        <w:tc>
          <w:tcPr>
            <w:tcW w:w="3550" w:type="dxa"/>
            <w:tcBorders>
              <w:top w:val="nil"/>
              <w:left w:val="nil"/>
              <w:bottom w:val="nil"/>
              <w:right w:val="nil"/>
            </w:tcBorders>
            <w:shd w:val="clear" w:color="auto" w:fill="auto"/>
            <w:vAlign w:val="center"/>
            <w:hideMark/>
          </w:tcPr>
          <w:p w14:paraId="5C340A12"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-0.157*</w:t>
            </w:r>
          </w:p>
        </w:tc>
      </w:tr>
      <w:tr w:rsidR="00624EE6" w:rsidRPr="00E91C0F" w14:paraId="0045DB49" w14:textId="77777777" w:rsidTr="005E7AC2">
        <w:trPr>
          <w:trHeight w:val="315"/>
          <w:jc w:val="center"/>
        </w:trPr>
        <w:tc>
          <w:tcPr>
            <w:tcW w:w="1420" w:type="dxa"/>
            <w:tcBorders>
              <w:top w:val="nil"/>
              <w:left w:val="nil"/>
              <w:bottom w:val="nil"/>
              <w:right w:val="nil"/>
            </w:tcBorders>
            <w:shd w:val="clear" w:color="auto" w:fill="auto"/>
            <w:vAlign w:val="center"/>
            <w:hideMark/>
          </w:tcPr>
          <w:p w14:paraId="09789ADB"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3220" w:type="dxa"/>
            <w:tcBorders>
              <w:top w:val="nil"/>
              <w:left w:val="nil"/>
              <w:bottom w:val="nil"/>
              <w:right w:val="nil"/>
            </w:tcBorders>
            <w:shd w:val="clear" w:color="auto" w:fill="auto"/>
            <w:vAlign w:val="center"/>
            <w:hideMark/>
          </w:tcPr>
          <w:p w14:paraId="72D97A5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(0.097)</w:t>
            </w:r>
          </w:p>
        </w:tc>
        <w:tc>
          <w:tcPr>
            <w:tcW w:w="3550" w:type="dxa"/>
            <w:tcBorders>
              <w:top w:val="nil"/>
              <w:left w:val="nil"/>
              <w:bottom w:val="nil"/>
              <w:right w:val="nil"/>
            </w:tcBorders>
            <w:shd w:val="clear" w:color="auto" w:fill="auto"/>
            <w:vAlign w:val="center"/>
            <w:hideMark/>
          </w:tcPr>
          <w:p w14:paraId="1C36E04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(0.088)</w:t>
            </w:r>
          </w:p>
        </w:tc>
      </w:tr>
      <w:tr w:rsidR="00624EE6" w:rsidRPr="00E91C0F" w14:paraId="4E6DDCE1" w14:textId="77777777" w:rsidTr="005E7AC2">
        <w:trPr>
          <w:trHeight w:val="315"/>
          <w:jc w:val="center"/>
        </w:trPr>
        <w:tc>
          <w:tcPr>
            <w:tcW w:w="1420" w:type="dxa"/>
            <w:tcBorders>
              <w:top w:val="nil"/>
              <w:left w:val="nil"/>
              <w:bottom w:val="nil"/>
              <w:right w:val="nil"/>
            </w:tcBorders>
            <w:shd w:val="clear" w:color="auto" w:fill="auto"/>
            <w:vAlign w:val="center"/>
            <w:hideMark/>
          </w:tcPr>
          <w:p w14:paraId="12FA1F71"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UTB</w:t>
            </w:r>
          </w:p>
        </w:tc>
        <w:tc>
          <w:tcPr>
            <w:tcW w:w="3220" w:type="dxa"/>
            <w:tcBorders>
              <w:top w:val="nil"/>
              <w:left w:val="nil"/>
              <w:bottom w:val="nil"/>
              <w:right w:val="nil"/>
            </w:tcBorders>
            <w:shd w:val="clear" w:color="auto" w:fill="auto"/>
            <w:vAlign w:val="center"/>
            <w:hideMark/>
          </w:tcPr>
          <w:p w14:paraId="2094F41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0.271***</w:t>
            </w:r>
          </w:p>
        </w:tc>
        <w:tc>
          <w:tcPr>
            <w:tcW w:w="3550" w:type="dxa"/>
            <w:tcBorders>
              <w:top w:val="nil"/>
              <w:left w:val="nil"/>
              <w:bottom w:val="nil"/>
              <w:right w:val="nil"/>
            </w:tcBorders>
            <w:shd w:val="clear" w:color="auto" w:fill="auto"/>
            <w:vAlign w:val="center"/>
            <w:hideMark/>
          </w:tcPr>
          <w:p w14:paraId="0D63F2F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0.211***</w:t>
            </w:r>
          </w:p>
        </w:tc>
      </w:tr>
      <w:tr w:rsidR="00624EE6" w:rsidRPr="00E91C0F" w14:paraId="29F8938C" w14:textId="77777777" w:rsidTr="005E7AC2">
        <w:trPr>
          <w:trHeight w:val="315"/>
          <w:jc w:val="center"/>
        </w:trPr>
        <w:tc>
          <w:tcPr>
            <w:tcW w:w="1420" w:type="dxa"/>
            <w:tcBorders>
              <w:top w:val="nil"/>
              <w:left w:val="nil"/>
              <w:bottom w:val="nil"/>
              <w:right w:val="nil"/>
            </w:tcBorders>
            <w:shd w:val="clear" w:color="auto" w:fill="auto"/>
            <w:vAlign w:val="center"/>
            <w:hideMark/>
          </w:tcPr>
          <w:p w14:paraId="67BF7F1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3220" w:type="dxa"/>
            <w:tcBorders>
              <w:top w:val="nil"/>
              <w:left w:val="nil"/>
              <w:bottom w:val="nil"/>
              <w:right w:val="nil"/>
            </w:tcBorders>
            <w:shd w:val="clear" w:color="auto" w:fill="auto"/>
            <w:vAlign w:val="center"/>
            <w:hideMark/>
          </w:tcPr>
          <w:p w14:paraId="387AE5D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(0.084)</w:t>
            </w:r>
          </w:p>
        </w:tc>
        <w:tc>
          <w:tcPr>
            <w:tcW w:w="3550" w:type="dxa"/>
            <w:tcBorders>
              <w:top w:val="nil"/>
              <w:left w:val="nil"/>
              <w:bottom w:val="nil"/>
              <w:right w:val="nil"/>
            </w:tcBorders>
            <w:shd w:val="clear" w:color="auto" w:fill="auto"/>
            <w:vAlign w:val="center"/>
            <w:hideMark/>
          </w:tcPr>
          <w:p w14:paraId="5DD0AFE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(0.051)</w:t>
            </w:r>
          </w:p>
        </w:tc>
      </w:tr>
      <w:tr w:rsidR="00624EE6" w:rsidRPr="00E91C0F" w14:paraId="4F9FA902" w14:textId="77777777" w:rsidTr="005E7AC2">
        <w:trPr>
          <w:trHeight w:val="199"/>
          <w:jc w:val="center"/>
        </w:trPr>
        <w:tc>
          <w:tcPr>
            <w:tcW w:w="1420" w:type="dxa"/>
            <w:tcBorders>
              <w:top w:val="nil"/>
              <w:left w:val="nil"/>
              <w:bottom w:val="nil"/>
              <w:right w:val="nil"/>
            </w:tcBorders>
            <w:shd w:val="clear" w:color="auto" w:fill="auto"/>
            <w:vAlign w:val="center"/>
            <w:hideMark/>
          </w:tcPr>
          <w:p w14:paraId="404133E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3220" w:type="dxa"/>
            <w:tcBorders>
              <w:top w:val="nil"/>
              <w:left w:val="nil"/>
              <w:bottom w:val="nil"/>
              <w:right w:val="nil"/>
            </w:tcBorders>
            <w:shd w:val="clear" w:color="auto" w:fill="auto"/>
            <w:vAlign w:val="center"/>
            <w:hideMark/>
          </w:tcPr>
          <w:p w14:paraId="20712127"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3550" w:type="dxa"/>
            <w:tcBorders>
              <w:top w:val="nil"/>
              <w:left w:val="nil"/>
              <w:bottom w:val="nil"/>
              <w:right w:val="nil"/>
            </w:tcBorders>
            <w:shd w:val="clear" w:color="auto" w:fill="auto"/>
            <w:vAlign w:val="center"/>
            <w:hideMark/>
          </w:tcPr>
          <w:p w14:paraId="2F118ECA"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46D81016" w14:textId="77777777" w:rsidTr="005E7AC2">
        <w:trPr>
          <w:trHeight w:val="330"/>
          <w:jc w:val="center"/>
        </w:trPr>
        <w:tc>
          <w:tcPr>
            <w:tcW w:w="1420" w:type="dxa"/>
            <w:tcBorders>
              <w:top w:val="nil"/>
              <w:left w:val="nil"/>
              <w:bottom w:val="nil"/>
              <w:right w:val="nil"/>
            </w:tcBorders>
            <w:shd w:val="clear" w:color="auto" w:fill="auto"/>
            <w:vAlign w:val="center"/>
            <w:hideMark/>
          </w:tcPr>
          <w:p w14:paraId="3B239276" w14:textId="77777777" w:rsidR="00624EE6" w:rsidRPr="00E91C0F" w:rsidRDefault="00624EE6" w:rsidP="005E7AC2">
            <w:pPr>
              <w:spacing w:after="0" w:line="240" w:lineRule="auto"/>
              <w:rPr>
                <w:rFonts w:ascii="Times New Roman" w:eastAsia="Times New Roman" w:hAnsi="Times New Roman" w:cs="Times New Roman"/>
                <w:color w:val="000000"/>
              </w:rPr>
            </w:pPr>
            <w:r w:rsidRPr="00E91C0F">
              <w:rPr>
                <w:rFonts w:ascii="Times New Roman" w:eastAsia="Times New Roman" w:hAnsi="Times New Roman" w:cs="Times New Roman"/>
                <w:color w:val="000000"/>
              </w:rPr>
              <w:t>CONTROLS</w:t>
            </w:r>
          </w:p>
        </w:tc>
        <w:tc>
          <w:tcPr>
            <w:tcW w:w="3220" w:type="dxa"/>
            <w:tcBorders>
              <w:top w:val="nil"/>
              <w:left w:val="nil"/>
              <w:bottom w:val="nil"/>
              <w:right w:val="nil"/>
            </w:tcBorders>
            <w:shd w:val="clear" w:color="auto" w:fill="auto"/>
            <w:vAlign w:val="center"/>
            <w:hideMark/>
          </w:tcPr>
          <w:p w14:paraId="5EB67F7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3550" w:type="dxa"/>
            <w:tcBorders>
              <w:top w:val="nil"/>
              <w:left w:val="nil"/>
              <w:bottom w:val="nil"/>
              <w:right w:val="nil"/>
            </w:tcBorders>
            <w:shd w:val="clear" w:color="auto" w:fill="auto"/>
            <w:vAlign w:val="center"/>
            <w:hideMark/>
          </w:tcPr>
          <w:p w14:paraId="1A443CA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r>
      <w:tr w:rsidR="00624EE6" w:rsidRPr="00E91C0F" w14:paraId="270E843A" w14:textId="77777777" w:rsidTr="005E7AC2">
        <w:trPr>
          <w:trHeight w:val="199"/>
          <w:jc w:val="center"/>
        </w:trPr>
        <w:tc>
          <w:tcPr>
            <w:tcW w:w="1420" w:type="dxa"/>
            <w:tcBorders>
              <w:top w:val="nil"/>
              <w:left w:val="nil"/>
              <w:bottom w:val="nil"/>
              <w:right w:val="nil"/>
            </w:tcBorders>
            <w:shd w:val="clear" w:color="auto" w:fill="auto"/>
            <w:vAlign w:val="center"/>
            <w:hideMark/>
          </w:tcPr>
          <w:p w14:paraId="69EDFD0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3220" w:type="dxa"/>
            <w:tcBorders>
              <w:top w:val="nil"/>
              <w:left w:val="nil"/>
              <w:bottom w:val="nil"/>
              <w:right w:val="nil"/>
            </w:tcBorders>
            <w:shd w:val="clear" w:color="auto" w:fill="auto"/>
            <w:vAlign w:val="center"/>
            <w:hideMark/>
          </w:tcPr>
          <w:p w14:paraId="6A10B1A2"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3550" w:type="dxa"/>
            <w:tcBorders>
              <w:top w:val="nil"/>
              <w:left w:val="nil"/>
              <w:bottom w:val="nil"/>
              <w:right w:val="nil"/>
            </w:tcBorders>
            <w:shd w:val="clear" w:color="auto" w:fill="auto"/>
            <w:vAlign w:val="center"/>
            <w:hideMark/>
          </w:tcPr>
          <w:p w14:paraId="1D7B879E"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26B8AB3E" w14:textId="77777777" w:rsidTr="005E7AC2">
        <w:trPr>
          <w:trHeight w:val="315"/>
          <w:jc w:val="center"/>
        </w:trPr>
        <w:tc>
          <w:tcPr>
            <w:tcW w:w="1420" w:type="dxa"/>
            <w:tcBorders>
              <w:top w:val="nil"/>
              <w:left w:val="nil"/>
              <w:bottom w:val="nil"/>
              <w:right w:val="nil"/>
            </w:tcBorders>
            <w:shd w:val="clear" w:color="auto" w:fill="auto"/>
            <w:vAlign w:val="center"/>
            <w:hideMark/>
          </w:tcPr>
          <w:p w14:paraId="72F37803"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N</w:t>
            </w:r>
          </w:p>
        </w:tc>
        <w:tc>
          <w:tcPr>
            <w:tcW w:w="3220" w:type="dxa"/>
            <w:tcBorders>
              <w:top w:val="nil"/>
              <w:left w:val="nil"/>
              <w:bottom w:val="nil"/>
              <w:right w:val="nil"/>
            </w:tcBorders>
            <w:shd w:val="clear" w:color="auto" w:fill="auto"/>
            <w:vAlign w:val="center"/>
            <w:hideMark/>
          </w:tcPr>
          <w:p w14:paraId="01500E3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c>
          <w:tcPr>
            <w:tcW w:w="3550" w:type="dxa"/>
            <w:tcBorders>
              <w:top w:val="nil"/>
              <w:left w:val="nil"/>
              <w:bottom w:val="nil"/>
              <w:right w:val="nil"/>
            </w:tcBorders>
            <w:shd w:val="clear" w:color="auto" w:fill="auto"/>
            <w:vAlign w:val="center"/>
            <w:hideMark/>
          </w:tcPr>
          <w:p w14:paraId="773E290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r>
      <w:tr w:rsidR="00624EE6" w:rsidRPr="00E91C0F" w14:paraId="44A61DA2" w14:textId="77777777" w:rsidTr="005E7AC2">
        <w:trPr>
          <w:trHeight w:val="390"/>
          <w:jc w:val="center"/>
        </w:trPr>
        <w:tc>
          <w:tcPr>
            <w:tcW w:w="1420" w:type="dxa"/>
            <w:tcBorders>
              <w:top w:val="nil"/>
              <w:left w:val="nil"/>
              <w:bottom w:val="single" w:sz="8" w:space="0" w:color="auto"/>
              <w:right w:val="nil"/>
            </w:tcBorders>
            <w:shd w:val="clear" w:color="auto" w:fill="auto"/>
            <w:vAlign w:val="center"/>
            <w:hideMark/>
          </w:tcPr>
          <w:p w14:paraId="158E234C"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Pseudo R</w:t>
            </w:r>
            <w:r w:rsidRPr="00E91C0F">
              <w:rPr>
                <w:rFonts w:ascii="Times New Roman" w:eastAsia="Times New Roman" w:hAnsi="Times New Roman" w:cs="Times New Roman"/>
                <w:color w:val="000000"/>
                <w:sz w:val="24"/>
                <w:szCs w:val="24"/>
                <w:vertAlign w:val="superscript"/>
              </w:rPr>
              <w:t>2</w:t>
            </w:r>
          </w:p>
        </w:tc>
        <w:tc>
          <w:tcPr>
            <w:tcW w:w="3220" w:type="dxa"/>
            <w:tcBorders>
              <w:top w:val="nil"/>
              <w:left w:val="nil"/>
              <w:bottom w:val="single" w:sz="8" w:space="0" w:color="auto"/>
              <w:right w:val="nil"/>
            </w:tcBorders>
            <w:shd w:val="clear" w:color="auto" w:fill="auto"/>
            <w:vAlign w:val="center"/>
            <w:hideMark/>
          </w:tcPr>
          <w:p w14:paraId="08ECCFD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0.078</w:t>
            </w:r>
          </w:p>
        </w:tc>
        <w:tc>
          <w:tcPr>
            <w:tcW w:w="3550" w:type="dxa"/>
            <w:tcBorders>
              <w:top w:val="nil"/>
              <w:left w:val="nil"/>
              <w:bottom w:val="single" w:sz="8" w:space="0" w:color="auto"/>
              <w:right w:val="nil"/>
            </w:tcBorders>
            <w:shd w:val="clear" w:color="auto" w:fill="auto"/>
            <w:vAlign w:val="center"/>
            <w:hideMark/>
          </w:tcPr>
          <w:p w14:paraId="7FED10B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0.049</w:t>
            </w:r>
          </w:p>
        </w:tc>
      </w:tr>
    </w:tbl>
    <w:p w14:paraId="33CBA6B2" w14:textId="1F0450DD" w:rsidR="00624EE6" w:rsidRPr="00331E66" w:rsidRDefault="00624EE6" w:rsidP="00624EE6">
      <w:pPr>
        <w:widowControl w:val="0"/>
        <w:autoSpaceDE w:val="0"/>
        <w:autoSpaceDN w:val="0"/>
        <w:adjustRightInd w:val="0"/>
        <w:spacing w:after="0" w:line="240" w:lineRule="auto"/>
        <w:ind w:left="-450"/>
        <w:rPr>
          <w:rFonts w:ascii="Times New Roman" w:hAnsi="Times New Roman" w:cs="Times New Roman"/>
          <w:sz w:val="20"/>
          <w:szCs w:val="16"/>
        </w:rPr>
      </w:pPr>
      <w:r w:rsidRPr="00331E66">
        <w:rPr>
          <w:rFonts w:ascii="Times New Roman" w:hAnsi="Times New Roman" w:cs="Times New Roman"/>
          <w:sz w:val="20"/>
          <w:szCs w:val="16"/>
        </w:rPr>
        <w:t>*, **, *** denote signiﬁcance at the 0.10, 0.05, and 0.01 (two-tailed) levels, respectively. This table presents the results of logit regressions (robust standard errors in parentheses in the second row) that evaluate the effect of ﬁrm-speciﬁc characteristics on FIN 48 disclosure quality. I cluster standard errors by industry (using two-digit NAICS codes).  I deﬁne the dependent variables as follows: Forward-looking Statement is an indicator variable equal to 1 if the firm provides a forward-looking statement about how the UTB balance is expected to change in the next twelve months, 0 otherwise.  Includes a Numerical Estimate in Forward-looking Statement is an indicator variable equal to 1 if the disclosure provides a numerical point or range estimate of the expected change to the UTB balance in the next twelve months, 0 otherwise.  See Appendix</w:t>
      </w:r>
      <w:r w:rsidR="00E118B3">
        <w:rPr>
          <w:rFonts w:ascii="Times New Roman" w:hAnsi="Times New Roman" w:cs="Times New Roman"/>
          <w:sz w:val="20"/>
          <w:szCs w:val="16"/>
        </w:rPr>
        <w:t xml:space="preserve"> </w:t>
      </w:r>
      <w:r w:rsidR="00C3183E">
        <w:rPr>
          <w:rFonts w:ascii="Times New Roman" w:hAnsi="Times New Roman" w:cs="Times New Roman"/>
          <w:sz w:val="20"/>
          <w:szCs w:val="16"/>
        </w:rPr>
        <w:t>B</w:t>
      </w:r>
      <w:r w:rsidRPr="00331E66">
        <w:rPr>
          <w:rFonts w:ascii="Times New Roman" w:hAnsi="Times New Roman" w:cs="Times New Roman"/>
          <w:sz w:val="20"/>
          <w:szCs w:val="16"/>
        </w:rPr>
        <w:t xml:space="preserve"> for FIN 48 disclosure examples.</w:t>
      </w:r>
    </w:p>
    <w:p w14:paraId="26C6C226" w14:textId="77777777" w:rsidR="00624EE6" w:rsidRPr="00331E66" w:rsidRDefault="00624EE6" w:rsidP="00624EE6">
      <w:pPr>
        <w:rPr>
          <w:rFonts w:ascii="Times New Roman" w:hAnsi="Times New Roman" w:cs="Times New Roman"/>
          <w:sz w:val="16"/>
          <w:szCs w:val="16"/>
        </w:rPr>
      </w:pPr>
      <w:r w:rsidRPr="00331E66">
        <w:rPr>
          <w:rFonts w:ascii="Times New Roman" w:hAnsi="Times New Roman" w:cs="Times New Roman"/>
          <w:sz w:val="16"/>
          <w:szCs w:val="16"/>
        </w:rPr>
        <w:br w:type="page"/>
      </w:r>
    </w:p>
    <w:p w14:paraId="3212EA39" w14:textId="77777777" w:rsidR="00624EE6" w:rsidRPr="00331E66" w:rsidRDefault="00624EE6" w:rsidP="00624EE6">
      <w:pPr>
        <w:spacing w:after="0"/>
        <w:jc w:val="center"/>
        <w:rPr>
          <w:rFonts w:ascii="Times New Roman" w:hAnsi="Times New Roman" w:cs="Times New Roman"/>
          <w:b/>
          <w:bCs/>
          <w:sz w:val="19"/>
          <w:szCs w:val="19"/>
        </w:rPr>
      </w:pPr>
      <w:r>
        <w:rPr>
          <w:rFonts w:ascii="Times New Roman" w:hAnsi="Times New Roman" w:cs="Times New Roman"/>
          <w:b/>
          <w:bCs/>
          <w:sz w:val="24"/>
          <w:szCs w:val="24"/>
        </w:rPr>
        <w:t>Table 7</w:t>
      </w:r>
    </w:p>
    <w:p w14:paraId="1AB04BF3" w14:textId="0E865476" w:rsidR="00624EE6" w:rsidRPr="00331E66" w:rsidRDefault="008D16D5" w:rsidP="00624EE6">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IRS Schedule UTP </w:t>
      </w:r>
      <w:r w:rsidR="00624EE6" w:rsidRPr="00331E66">
        <w:rPr>
          <w:rFonts w:ascii="Times New Roman" w:hAnsi="Times New Roman" w:cs="Times New Roman"/>
          <w:b/>
          <w:bCs/>
          <w:sz w:val="24"/>
          <w:szCs w:val="24"/>
        </w:rPr>
        <w:t xml:space="preserve">Impact on the </w:t>
      </w:r>
      <w:r>
        <w:rPr>
          <w:rFonts w:ascii="Times New Roman" w:hAnsi="Times New Roman" w:cs="Times New Roman"/>
          <w:b/>
          <w:bCs/>
          <w:sz w:val="24"/>
          <w:szCs w:val="24"/>
        </w:rPr>
        <w:t>Discretionary</w:t>
      </w:r>
      <w:r w:rsidR="00624EE6" w:rsidRPr="00331E66">
        <w:rPr>
          <w:rFonts w:ascii="Times New Roman" w:hAnsi="Times New Roman" w:cs="Times New Roman"/>
          <w:b/>
          <w:bCs/>
          <w:sz w:val="24"/>
          <w:szCs w:val="24"/>
        </w:rPr>
        <w:t xml:space="preserve"> of FIN 48 Disclosures</w:t>
      </w:r>
    </w:p>
    <w:p w14:paraId="785E6870" w14:textId="77777777" w:rsidR="00624EE6" w:rsidRPr="00331E66" w:rsidRDefault="00624EE6" w:rsidP="00624EE6">
      <w:pPr>
        <w:spacing w:after="0"/>
        <w:jc w:val="center"/>
        <w:rPr>
          <w:rFonts w:ascii="Times New Roman" w:hAnsi="Times New Roman" w:cs="Times New Roman"/>
        </w:rPr>
      </w:pPr>
    </w:p>
    <w:tbl>
      <w:tblPr>
        <w:tblW w:w="9180" w:type="dxa"/>
        <w:tblLook w:val="04A0" w:firstRow="1" w:lastRow="0" w:firstColumn="1" w:lastColumn="0" w:noHBand="0" w:noVBand="1"/>
      </w:tblPr>
      <w:tblGrid>
        <w:gridCol w:w="1620"/>
        <w:gridCol w:w="1817"/>
        <w:gridCol w:w="1963"/>
        <w:gridCol w:w="1890"/>
        <w:gridCol w:w="1890"/>
      </w:tblGrid>
      <w:tr w:rsidR="00624EE6" w:rsidRPr="00E91C0F" w14:paraId="2292ADEE" w14:textId="77777777" w:rsidTr="005E2686">
        <w:trPr>
          <w:trHeight w:val="645"/>
        </w:trPr>
        <w:tc>
          <w:tcPr>
            <w:tcW w:w="1620" w:type="dxa"/>
            <w:tcBorders>
              <w:top w:val="single" w:sz="4" w:space="0" w:color="auto"/>
              <w:left w:val="nil"/>
              <w:bottom w:val="nil"/>
              <w:right w:val="nil"/>
            </w:tcBorders>
            <w:shd w:val="clear" w:color="auto" w:fill="auto"/>
            <w:noWrap/>
            <w:vAlign w:val="bottom"/>
            <w:hideMark/>
          </w:tcPr>
          <w:p w14:paraId="58D9959C" w14:textId="77777777" w:rsidR="00624EE6" w:rsidRPr="00E91C0F" w:rsidRDefault="00624EE6" w:rsidP="005E7AC2">
            <w:pPr>
              <w:spacing w:after="0" w:line="240" w:lineRule="auto"/>
              <w:rPr>
                <w:rFonts w:ascii="Times New Roman" w:eastAsia="Times New Roman" w:hAnsi="Times New Roman" w:cs="Times New Roman"/>
                <w:sz w:val="24"/>
                <w:szCs w:val="24"/>
              </w:rPr>
            </w:pPr>
          </w:p>
        </w:tc>
        <w:tc>
          <w:tcPr>
            <w:tcW w:w="1817" w:type="dxa"/>
            <w:tcBorders>
              <w:top w:val="single" w:sz="4" w:space="0" w:color="auto"/>
              <w:left w:val="nil"/>
              <w:bottom w:val="nil"/>
              <w:right w:val="nil"/>
            </w:tcBorders>
            <w:shd w:val="clear" w:color="auto" w:fill="auto"/>
            <w:vAlign w:val="center"/>
            <w:hideMark/>
          </w:tcPr>
          <w:p w14:paraId="2E4D6481"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Non-ETR Impact</w:t>
            </w:r>
          </w:p>
        </w:tc>
        <w:tc>
          <w:tcPr>
            <w:tcW w:w="1963" w:type="dxa"/>
            <w:tcBorders>
              <w:top w:val="single" w:sz="4" w:space="0" w:color="auto"/>
              <w:left w:val="nil"/>
              <w:bottom w:val="nil"/>
              <w:right w:val="nil"/>
            </w:tcBorders>
            <w:shd w:val="clear" w:color="auto" w:fill="auto"/>
            <w:vAlign w:val="center"/>
            <w:hideMark/>
          </w:tcPr>
          <w:p w14:paraId="6A1572BE"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Gross/Net</w:t>
            </w:r>
          </w:p>
        </w:tc>
        <w:tc>
          <w:tcPr>
            <w:tcW w:w="1890" w:type="dxa"/>
            <w:tcBorders>
              <w:top w:val="single" w:sz="4" w:space="0" w:color="auto"/>
              <w:left w:val="nil"/>
              <w:bottom w:val="nil"/>
              <w:right w:val="nil"/>
            </w:tcBorders>
            <w:shd w:val="clear" w:color="auto" w:fill="auto"/>
            <w:vAlign w:val="center"/>
            <w:hideMark/>
          </w:tcPr>
          <w:p w14:paraId="53DFC09C"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Include/Exclude Interest</w:t>
            </w:r>
          </w:p>
        </w:tc>
        <w:tc>
          <w:tcPr>
            <w:tcW w:w="1890" w:type="dxa"/>
            <w:tcBorders>
              <w:top w:val="single" w:sz="4" w:space="0" w:color="auto"/>
              <w:left w:val="nil"/>
              <w:bottom w:val="nil"/>
              <w:right w:val="nil"/>
            </w:tcBorders>
            <w:shd w:val="clear" w:color="auto" w:fill="auto"/>
            <w:vAlign w:val="center"/>
            <w:hideMark/>
          </w:tcPr>
          <w:p w14:paraId="49ECF57E"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Report I&amp;P Separately</w:t>
            </w:r>
          </w:p>
        </w:tc>
      </w:tr>
      <w:tr w:rsidR="00624EE6" w:rsidRPr="00E91C0F" w14:paraId="26613595" w14:textId="77777777" w:rsidTr="005E2686">
        <w:trPr>
          <w:trHeight w:val="330"/>
        </w:trPr>
        <w:tc>
          <w:tcPr>
            <w:tcW w:w="1620" w:type="dxa"/>
            <w:tcBorders>
              <w:top w:val="nil"/>
              <w:left w:val="nil"/>
              <w:bottom w:val="single" w:sz="8" w:space="0" w:color="auto"/>
              <w:right w:val="nil"/>
            </w:tcBorders>
            <w:shd w:val="clear" w:color="auto" w:fill="auto"/>
            <w:vAlign w:val="center"/>
            <w:hideMark/>
          </w:tcPr>
          <w:p w14:paraId="70273E0D"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817" w:type="dxa"/>
            <w:tcBorders>
              <w:top w:val="nil"/>
              <w:left w:val="nil"/>
              <w:bottom w:val="single" w:sz="8" w:space="0" w:color="auto"/>
              <w:right w:val="nil"/>
            </w:tcBorders>
            <w:shd w:val="clear" w:color="auto" w:fill="auto"/>
            <w:vAlign w:val="center"/>
            <w:hideMark/>
          </w:tcPr>
          <w:p w14:paraId="2C847A93"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1CL_NONETR</w:t>
            </w:r>
          </w:p>
        </w:tc>
        <w:tc>
          <w:tcPr>
            <w:tcW w:w="1963" w:type="dxa"/>
            <w:tcBorders>
              <w:top w:val="nil"/>
              <w:left w:val="nil"/>
              <w:bottom w:val="single" w:sz="8" w:space="0" w:color="auto"/>
              <w:right w:val="nil"/>
            </w:tcBorders>
            <w:shd w:val="clear" w:color="auto" w:fill="auto"/>
            <w:vAlign w:val="center"/>
            <w:hideMark/>
          </w:tcPr>
          <w:p w14:paraId="715F2AFF"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2CL_GROSS</w:t>
            </w:r>
          </w:p>
        </w:tc>
        <w:tc>
          <w:tcPr>
            <w:tcW w:w="1890" w:type="dxa"/>
            <w:tcBorders>
              <w:top w:val="nil"/>
              <w:left w:val="nil"/>
              <w:bottom w:val="single" w:sz="8" w:space="0" w:color="auto"/>
              <w:right w:val="nil"/>
            </w:tcBorders>
            <w:shd w:val="clear" w:color="auto" w:fill="auto"/>
            <w:vAlign w:val="center"/>
            <w:hideMark/>
          </w:tcPr>
          <w:p w14:paraId="6B01716B"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3CL_INCL</w:t>
            </w:r>
          </w:p>
        </w:tc>
        <w:tc>
          <w:tcPr>
            <w:tcW w:w="1890" w:type="dxa"/>
            <w:tcBorders>
              <w:top w:val="nil"/>
              <w:left w:val="nil"/>
              <w:bottom w:val="single" w:sz="8" w:space="0" w:color="auto"/>
              <w:right w:val="nil"/>
            </w:tcBorders>
            <w:shd w:val="clear" w:color="auto" w:fill="auto"/>
            <w:vAlign w:val="center"/>
            <w:hideMark/>
          </w:tcPr>
          <w:p w14:paraId="31690E95"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4CL_LUMP</w:t>
            </w:r>
          </w:p>
        </w:tc>
      </w:tr>
      <w:tr w:rsidR="00624EE6" w:rsidRPr="00E91C0F" w14:paraId="16205E04" w14:textId="77777777" w:rsidTr="005E2686">
        <w:trPr>
          <w:trHeight w:val="315"/>
        </w:trPr>
        <w:tc>
          <w:tcPr>
            <w:tcW w:w="1620" w:type="dxa"/>
            <w:tcBorders>
              <w:top w:val="nil"/>
              <w:left w:val="nil"/>
              <w:bottom w:val="nil"/>
              <w:right w:val="nil"/>
            </w:tcBorders>
            <w:shd w:val="clear" w:color="auto" w:fill="auto"/>
            <w:vAlign w:val="center"/>
            <w:hideMark/>
          </w:tcPr>
          <w:p w14:paraId="7A516B98"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817" w:type="dxa"/>
            <w:tcBorders>
              <w:top w:val="nil"/>
              <w:left w:val="nil"/>
              <w:bottom w:val="nil"/>
              <w:right w:val="nil"/>
            </w:tcBorders>
            <w:shd w:val="clear" w:color="auto" w:fill="auto"/>
            <w:vAlign w:val="center"/>
            <w:hideMark/>
          </w:tcPr>
          <w:p w14:paraId="20999796"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1963" w:type="dxa"/>
            <w:tcBorders>
              <w:top w:val="nil"/>
              <w:left w:val="nil"/>
              <w:bottom w:val="nil"/>
              <w:right w:val="nil"/>
            </w:tcBorders>
            <w:shd w:val="clear" w:color="auto" w:fill="auto"/>
            <w:vAlign w:val="center"/>
            <w:hideMark/>
          </w:tcPr>
          <w:p w14:paraId="3F592897"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5A76ED30"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1F763D74"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6AE60677" w14:textId="77777777" w:rsidTr="005E2686">
        <w:trPr>
          <w:trHeight w:val="315"/>
        </w:trPr>
        <w:tc>
          <w:tcPr>
            <w:tcW w:w="1620" w:type="dxa"/>
            <w:tcBorders>
              <w:top w:val="nil"/>
              <w:left w:val="nil"/>
              <w:bottom w:val="nil"/>
              <w:right w:val="nil"/>
            </w:tcBorders>
            <w:shd w:val="clear" w:color="auto" w:fill="auto"/>
            <w:vAlign w:val="center"/>
            <w:hideMark/>
          </w:tcPr>
          <w:p w14:paraId="72C36EE1" w14:textId="77777777" w:rsidR="00624EE6" w:rsidRPr="00E91C0F" w:rsidRDefault="00624EE6" w:rsidP="005E7AC2">
            <w:pPr>
              <w:spacing w:after="0" w:line="240" w:lineRule="auto"/>
              <w:rPr>
                <w:rFonts w:ascii="Times New Roman" w:eastAsia="Times New Roman" w:hAnsi="Times New Roman" w:cs="Times New Roman"/>
                <w:b/>
                <w:bCs/>
                <w:color w:val="000000"/>
                <w:sz w:val="24"/>
                <w:szCs w:val="24"/>
              </w:rPr>
            </w:pPr>
            <w:proofErr w:type="spellStart"/>
            <w:r w:rsidRPr="00E91C0F">
              <w:rPr>
                <w:rFonts w:ascii="Times New Roman" w:eastAsia="Times New Roman" w:hAnsi="Times New Roman" w:cs="Times New Roman"/>
                <w:b/>
                <w:bCs/>
                <w:color w:val="000000"/>
                <w:sz w:val="24"/>
                <w:szCs w:val="24"/>
              </w:rPr>
              <w:t>SchUTP</w:t>
            </w:r>
            <w:proofErr w:type="spellEnd"/>
          </w:p>
        </w:tc>
        <w:tc>
          <w:tcPr>
            <w:tcW w:w="1817" w:type="dxa"/>
            <w:tcBorders>
              <w:top w:val="nil"/>
              <w:left w:val="nil"/>
              <w:bottom w:val="nil"/>
              <w:right w:val="nil"/>
            </w:tcBorders>
            <w:shd w:val="clear" w:color="auto" w:fill="auto"/>
            <w:vAlign w:val="center"/>
            <w:hideMark/>
          </w:tcPr>
          <w:p w14:paraId="4E81AD1E"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-0.212**</w:t>
            </w:r>
          </w:p>
        </w:tc>
        <w:tc>
          <w:tcPr>
            <w:tcW w:w="1963" w:type="dxa"/>
            <w:tcBorders>
              <w:top w:val="nil"/>
              <w:left w:val="nil"/>
              <w:bottom w:val="nil"/>
              <w:right w:val="nil"/>
            </w:tcBorders>
            <w:shd w:val="clear" w:color="auto" w:fill="auto"/>
            <w:vAlign w:val="center"/>
            <w:hideMark/>
          </w:tcPr>
          <w:p w14:paraId="5FDB29A5"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-0.084</w:t>
            </w:r>
          </w:p>
        </w:tc>
        <w:tc>
          <w:tcPr>
            <w:tcW w:w="1890" w:type="dxa"/>
            <w:tcBorders>
              <w:top w:val="nil"/>
              <w:left w:val="nil"/>
              <w:bottom w:val="nil"/>
              <w:right w:val="nil"/>
            </w:tcBorders>
            <w:shd w:val="clear" w:color="auto" w:fill="auto"/>
            <w:vAlign w:val="center"/>
            <w:hideMark/>
          </w:tcPr>
          <w:p w14:paraId="75D97F4C"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-0.102</w:t>
            </w:r>
          </w:p>
        </w:tc>
        <w:tc>
          <w:tcPr>
            <w:tcW w:w="1890" w:type="dxa"/>
            <w:tcBorders>
              <w:top w:val="nil"/>
              <w:left w:val="nil"/>
              <w:bottom w:val="nil"/>
              <w:right w:val="nil"/>
            </w:tcBorders>
            <w:shd w:val="clear" w:color="auto" w:fill="auto"/>
            <w:vAlign w:val="center"/>
            <w:hideMark/>
          </w:tcPr>
          <w:p w14:paraId="33F57714"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-0.085</w:t>
            </w:r>
          </w:p>
        </w:tc>
      </w:tr>
      <w:tr w:rsidR="00624EE6" w:rsidRPr="00E91C0F" w14:paraId="01E752C6" w14:textId="77777777" w:rsidTr="005E2686">
        <w:trPr>
          <w:trHeight w:val="315"/>
        </w:trPr>
        <w:tc>
          <w:tcPr>
            <w:tcW w:w="1620" w:type="dxa"/>
            <w:tcBorders>
              <w:top w:val="nil"/>
              <w:left w:val="nil"/>
              <w:bottom w:val="nil"/>
              <w:right w:val="nil"/>
            </w:tcBorders>
            <w:shd w:val="clear" w:color="auto" w:fill="auto"/>
            <w:vAlign w:val="center"/>
            <w:hideMark/>
          </w:tcPr>
          <w:p w14:paraId="1592F905"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817" w:type="dxa"/>
            <w:tcBorders>
              <w:top w:val="nil"/>
              <w:left w:val="nil"/>
              <w:bottom w:val="nil"/>
              <w:right w:val="nil"/>
            </w:tcBorders>
            <w:shd w:val="clear" w:color="auto" w:fill="auto"/>
            <w:vAlign w:val="center"/>
            <w:hideMark/>
          </w:tcPr>
          <w:p w14:paraId="4267FCF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(0.091)</w:t>
            </w:r>
          </w:p>
        </w:tc>
        <w:tc>
          <w:tcPr>
            <w:tcW w:w="1963" w:type="dxa"/>
            <w:tcBorders>
              <w:top w:val="nil"/>
              <w:left w:val="nil"/>
              <w:bottom w:val="nil"/>
              <w:right w:val="nil"/>
            </w:tcBorders>
            <w:shd w:val="clear" w:color="auto" w:fill="auto"/>
            <w:vAlign w:val="center"/>
            <w:hideMark/>
          </w:tcPr>
          <w:p w14:paraId="2A60B33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(0.058)</w:t>
            </w:r>
          </w:p>
        </w:tc>
        <w:tc>
          <w:tcPr>
            <w:tcW w:w="1890" w:type="dxa"/>
            <w:tcBorders>
              <w:top w:val="nil"/>
              <w:left w:val="nil"/>
              <w:bottom w:val="nil"/>
              <w:right w:val="nil"/>
            </w:tcBorders>
            <w:shd w:val="clear" w:color="auto" w:fill="auto"/>
            <w:vAlign w:val="center"/>
            <w:hideMark/>
          </w:tcPr>
          <w:p w14:paraId="5AC8789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(0.068)</w:t>
            </w:r>
          </w:p>
        </w:tc>
        <w:tc>
          <w:tcPr>
            <w:tcW w:w="1890" w:type="dxa"/>
            <w:tcBorders>
              <w:top w:val="nil"/>
              <w:left w:val="nil"/>
              <w:bottom w:val="nil"/>
              <w:right w:val="nil"/>
            </w:tcBorders>
            <w:shd w:val="clear" w:color="auto" w:fill="auto"/>
            <w:vAlign w:val="center"/>
            <w:hideMark/>
          </w:tcPr>
          <w:p w14:paraId="57C6D50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(0.076)</w:t>
            </w:r>
          </w:p>
        </w:tc>
      </w:tr>
      <w:tr w:rsidR="00624EE6" w:rsidRPr="00E91C0F" w14:paraId="7C2EA65B" w14:textId="77777777" w:rsidTr="005E2686">
        <w:trPr>
          <w:trHeight w:val="315"/>
        </w:trPr>
        <w:tc>
          <w:tcPr>
            <w:tcW w:w="1620" w:type="dxa"/>
            <w:tcBorders>
              <w:top w:val="nil"/>
              <w:left w:val="nil"/>
              <w:bottom w:val="nil"/>
              <w:right w:val="nil"/>
            </w:tcBorders>
            <w:shd w:val="clear" w:color="auto" w:fill="auto"/>
            <w:vAlign w:val="center"/>
            <w:hideMark/>
          </w:tcPr>
          <w:p w14:paraId="225F389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817" w:type="dxa"/>
            <w:tcBorders>
              <w:top w:val="nil"/>
              <w:left w:val="nil"/>
              <w:bottom w:val="nil"/>
              <w:right w:val="nil"/>
            </w:tcBorders>
            <w:shd w:val="clear" w:color="auto" w:fill="auto"/>
            <w:vAlign w:val="center"/>
            <w:hideMark/>
          </w:tcPr>
          <w:p w14:paraId="3A0BD234"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1963" w:type="dxa"/>
            <w:tcBorders>
              <w:top w:val="nil"/>
              <w:left w:val="nil"/>
              <w:bottom w:val="nil"/>
              <w:right w:val="nil"/>
            </w:tcBorders>
            <w:shd w:val="clear" w:color="auto" w:fill="auto"/>
            <w:vAlign w:val="center"/>
            <w:hideMark/>
          </w:tcPr>
          <w:p w14:paraId="728BE656"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7C105C16"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1AA9B919"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035EDCE6" w14:textId="77777777" w:rsidTr="005E2686">
        <w:trPr>
          <w:trHeight w:val="315"/>
        </w:trPr>
        <w:tc>
          <w:tcPr>
            <w:tcW w:w="1620" w:type="dxa"/>
            <w:tcBorders>
              <w:top w:val="nil"/>
              <w:left w:val="nil"/>
              <w:bottom w:val="nil"/>
              <w:right w:val="nil"/>
            </w:tcBorders>
            <w:shd w:val="clear" w:color="auto" w:fill="auto"/>
            <w:vAlign w:val="center"/>
            <w:hideMark/>
          </w:tcPr>
          <w:p w14:paraId="7DCAC42D"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UTB</w:t>
            </w:r>
          </w:p>
        </w:tc>
        <w:tc>
          <w:tcPr>
            <w:tcW w:w="1817" w:type="dxa"/>
            <w:tcBorders>
              <w:top w:val="nil"/>
              <w:left w:val="nil"/>
              <w:bottom w:val="nil"/>
              <w:right w:val="nil"/>
            </w:tcBorders>
            <w:shd w:val="clear" w:color="auto" w:fill="auto"/>
            <w:vAlign w:val="center"/>
            <w:hideMark/>
          </w:tcPr>
          <w:p w14:paraId="66D4F0E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-0.169***</w:t>
            </w:r>
          </w:p>
        </w:tc>
        <w:tc>
          <w:tcPr>
            <w:tcW w:w="1963" w:type="dxa"/>
            <w:tcBorders>
              <w:top w:val="nil"/>
              <w:left w:val="nil"/>
              <w:bottom w:val="nil"/>
              <w:right w:val="nil"/>
            </w:tcBorders>
            <w:shd w:val="clear" w:color="auto" w:fill="auto"/>
            <w:vAlign w:val="center"/>
            <w:hideMark/>
          </w:tcPr>
          <w:p w14:paraId="122A9FD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0.159***</w:t>
            </w:r>
          </w:p>
        </w:tc>
        <w:tc>
          <w:tcPr>
            <w:tcW w:w="1890" w:type="dxa"/>
            <w:tcBorders>
              <w:top w:val="nil"/>
              <w:left w:val="nil"/>
              <w:bottom w:val="nil"/>
              <w:right w:val="nil"/>
            </w:tcBorders>
            <w:shd w:val="clear" w:color="auto" w:fill="auto"/>
            <w:vAlign w:val="center"/>
            <w:hideMark/>
          </w:tcPr>
          <w:p w14:paraId="0841DCD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0.044</w:t>
            </w:r>
          </w:p>
        </w:tc>
        <w:tc>
          <w:tcPr>
            <w:tcW w:w="1890" w:type="dxa"/>
            <w:tcBorders>
              <w:top w:val="nil"/>
              <w:left w:val="nil"/>
              <w:bottom w:val="nil"/>
              <w:right w:val="nil"/>
            </w:tcBorders>
            <w:shd w:val="clear" w:color="auto" w:fill="auto"/>
            <w:vAlign w:val="center"/>
            <w:hideMark/>
          </w:tcPr>
          <w:p w14:paraId="61C2A5C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0.038</w:t>
            </w:r>
          </w:p>
        </w:tc>
      </w:tr>
      <w:tr w:rsidR="00624EE6" w:rsidRPr="00E91C0F" w14:paraId="4060C402" w14:textId="77777777" w:rsidTr="005E2686">
        <w:trPr>
          <w:trHeight w:val="315"/>
        </w:trPr>
        <w:tc>
          <w:tcPr>
            <w:tcW w:w="1620" w:type="dxa"/>
            <w:tcBorders>
              <w:top w:val="nil"/>
              <w:left w:val="nil"/>
              <w:bottom w:val="nil"/>
              <w:right w:val="nil"/>
            </w:tcBorders>
            <w:shd w:val="clear" w:color="auto" w:fill="auto"/>
            <w:vAlign w:val="center"/>
            <w:hideMark/>
          </w:tcPr>
          <w:p w14:paraId="694D24F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817" w:type="dxa"/>
            <w:tcBorders>
              <w:top w:val="nil"/>
              <w:left w:val="nil"/>
              <w:bottom w:val="nil"/>
              <w:right w:val="nil"/>
            </w:tcBorders>
            <w:shd w:val="clear" w:color="auto" w:fill="auto"/>
            <w:vAlign w:val="center"/>
            <w:hideMark/>
          </w:tcPr>
          <w:p w14:paraId="4F90078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(0.063)</w:t>
            </w:r>
          </w:p>
        </w:tc>
        <w:tc>
          <w:tcPr>
            <w:tcW w:w="1963" w:type="dxa"/>
            <w:tcBorders>
              <w:top w:val="nil"/>
              <w:left w:val="nil"/>
              <w:bottom w:val="nil"/>
              <w:right w:val="nil"/>
            </w:tcBorders>
            <w:shd w:val="clear" w:color="auto" w:fill="auto"/>
            <w:vAlign w:val="center"/>
            <w:hideMark/>
          </w:tcPr>
          <w:p w14:paraId="637D79D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(0.057)</w:t>
            </w:r>
          </w:p>
        </w:tc>
        <w:tc>
          <w:tcPr>
            <w:tcW w:w="1890" w:type="dxa"/>
            <w:tcBorders>
              <w:top w:val="nil"/>
              <w:left w:val="nil"/>
              <w:bottom w:val="nil"/>
              <w:right w:val="nil"/>
            </w:tcBorders>
            <w:shd w:val="clear" w:color="auto" w:fill="auto"/>
            <w:vAlign w:val="center"/>
            <w:hideMark/>
          </w:tcPr>
          <w:p w14:paraId="5FB7347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(0.048)</w:t>
            </w:r>
          </w:p>
        </w:tc>
        <w:tc>
          <w:tcPr>
            <w:tcW w:w="1890" w:type="dxa"/>
            <w:tcBorders>
              <w:top w:val="nil"/>
              <w:left w:val="nil"/>
              <w:bottom w:val="nil"/>
              <w:right w:val="nil"/>
            </w:tcBorders>
            <w:shd w:val="clear" w:color="auto" w:fill="auto"/>
            <w:vAlign w:val="center"/>
            <w:hideMark/>
          </w:tcPr>
          <w:p w14:paraId="1264CED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(0.081)</w:t>
            </w:r>
          </w:p>
        </w:tc>
      </w:tr>
      <w:tr w:rsidR="00624EE6" w:rsidRPr="00E91C0F" w14:paraId="4B6FD498" w14:textId="77777777" w:rsidTr="005E2686">
        <w:trPr>
          <w:trHeight w:val="330"/>
        </w:trPr>
        <w:tc>
          <w:tcPr>
            <w:tcW w:w="1620" w:type="dxa"/>
            <w:tcBorders>
              <w:top w:val="nil"/>
              <w:left w:val="nil"/>
              <w:bottom w:val="nil"/>
              <w:right w:val="nil"/>
            </w:tcBorders>
            <w:shd w:val="clear" w:color="auto" w:fill="auto"/>
            <w:vAlign w:val="center"/>
            <w:hideMark/>
          </w:tcPr>
          <w:p w14:paraId="5B4C64C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817" w:type="dxa"/>
            <w:tcBorders>
              <w:top w:val="nil"/>
              <w:left w:val="nil"/>
              <w:bottom w:val="nil"/>
              <w:right w:val="nil"/>
            </w:tcBorders>
            <w:shd w:val="clear" w:color="auto" w:fill="auto"/>
            <w:vAlign w:val="center"/>
            <w:hideMark/>
          </w:tcPr>
          <w:p w14:paraId="1CC22CC3"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1963" w:type="dxa"/>
            <w:tcBorders>
              <w:top w:val="nil"/>
              <w:left w:val="nil"/>
              <w:bottom w:val="nil"/>
              <w:right w:val="nil"/>
            </w:tcBorders>
            <w:shd w:val="clear" w:color="auto" w:fill="auto"/>
            <w:vAlign w:val="center"/>
            <w:hideMark/>
          </w:tcPr>
          <w:p w14:paraId="603BF6DA"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7779E401"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1A2D0043"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262F909D" w14:textId="77777777" w:rsidTr="005E2686">
        <w:trPr>
          <w:trHeight w:val="315"/>
        </w:trPr>
        <w:tc>
          <w:tcPr>
            <w:tcW w:w="1620" w:type="dxa"/>
            <w:tcBorders>
              <w:top w:val="nil"/>
              <w:left w:val="nil"/>
              <w:bottom w:val="nil"/>
              <w:right w:val="nil"/>
            </w:tcBorders>
            <w:shd w:val="clear" w:color="auto" w:fill="auto"/>
            <w:vAlign w:val="center"/>
            <w:hideMark/>
          </w:tcPr>
          <w:p w14:paraId="1C3BA549"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CONTROLS</w:t>
            </w:r>
          </w:p>
        </w:tc>
        <w:tc>
          <w:tcPr>
            <w:tcW w:w="1817" w:type="dxa"/>
            <w:tcBorders>
              <w:top w:val="nil"/>
              <w:left w:val="nil"/>
              <w:bottom w:val="nil"/>
              <w:right w:val="nil"/>
            </w:tcBorders>
            <w:shd w:val="clear" w:color="auto" w:fill="auto"/>
            <w:vAlign w:val="center"/>
            <w:hideMark/>
          </w:tcPr>
          <w:p w14:paraId="3740A1B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963" w:type="dxa"/>
            <w:tcBorders>
              <w:top w:val="nil"/>
              <w:left w:val="nil"/>
              <w:bottom w:val="nil"/>
              <w:right w:val="nil"/>
            </w:tcBorders>
            <w:shd w:val="clear" w:color="auto" w:fill="auto"/>
            <w:vAlign w:val="center"/>
            <w:hideMark/>
          </w:tcPr>
          <w:p w14:paraId="4589765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890" w:type="dxa"/>
            <w:tcBorders>
              <w:top w:val="nil"/>
              <w:left w:val="nil"/>
              <w:bottom w:val="nil"/>
              <w:right w:val="nil"/>
            </w:tcBorders>
            <w:shd w:val="clear" w:color="auto" w:fill="auto"/>
            <w:vAlign w:val="center"/>
            <w:hideMark/>
          </w:tcPr>
          <w:p w14:paraId="458D1D8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890" w:type="dxa"/>
            <w:tcBorders>
              <w:top w:val="nil"/>
              <w:left w:val="nil"/>
              <w:bottom w:val="nil"/>
              <w:right w:val="nil"/>
            </w:tcBorders>
            <w:shd w:val="clear" w:color="auto" w:fill="auto"/>
            <w:vAlign w:val="center"/>
            <w:hideMark/>
          </w:tcPr>
          <w:p w14:paraId="51B19F0D"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r>
      <w:tr w:rsidR="00624EE6" w:rsidRPr="00E91C0F" w14:paraId="1C126F58" w14:textId="77777777" w:rsidTr="005E2686">
        <w:trPr>
          <w:trHeight w:val="315"/>
        </w:trPr>
        <w:tc>
          <w:tcPr>
            <w:tcW w:w="1620" w:type="dxa"/>
            <w:tcBorders>
              <w:top w:val="nil"/>
              <w:left w:val="nil"/>
              <w:bottom w:val="nil"/>
              <w:right w:val="nil"/>
            </w:tcBorders>
            <w:shd w:val="clear" w:color="auto" w:fill="auto"/>
            <w:vAlign w:val="center"/>
            <w:hideMark/>
          </w:tcPr>
          <w:p w14:paraId="09CB972D"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817" w:type="dxa"/>
            <w:tcBorders>
              <w:top w:val="nil"/>
              <w:left w:val="nil"/>
              <w:bottom w:val="nil"/>
              <w:right w:val="nil"/>
            </w:tcBorders>
            <w:shd w:val="clear" w:color="auto" w:fill="auto"/>
            <w:vAlign w:val="center"/>
            <w:hideMark/>
          </w:tcPr>
          <w:p w14:paraId="62735F67" w14:textId="77777777" w:rsidR="00624EE6" w:rsidRPr="00E91C0F" w:rsidRDefault="00624EE6" w:rsidP="005E7AC2">
            <w:pPr>
              <w:spacing w:after="0" w:line="240" w:lineRule="auto"/>
              <w:rPr>
                <w:rFonts w:ascii="Times New Roman" w:eastAsia="Times New Roman" w:hAnsi="Times New Roman" w:cs="Times New Roman"/>
                <w:sz w:val="20"/>
                <w:szCs w:val="20"/>
              </w:rPr>
            </w:pPr>
          </w:p>
        </w:tc>
        <w:tc>
          <w:tcPr>
            <w:tcW w:w="1963" w:type="dxa"/>
            <w:tcBorders>
              <w:top w:val="nil"/>
              <w:left w:val="nil"/>
              <w:bottom w:val="nil"/>
              <w:right w:val="nil"/>
            </w:tcBorders>
            <w:shd w:val="clear" w:color="auto" w:fill="auto"/>
            <w:vAlign w:val="center"/>
            <w:hideMark/>
          </w:tcPr>
          <w:p w14:paraId="7F1FEC3F"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06B73A6E"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vAlign w:val="center"/>
            <w:hideMark/>
          </w:tcPr>
          <w:p w14:paraId="3E494615" w14:textId="77777777" w:rsidR="00624EE6" w:rsidRPr="00E91C0F" w:rsidRDefault="00624EE6" w:rsidP="005E7AC2">
            <w:pPr>
              <w:spacing w:after="0" w:line="240" w:lineRule="auto"/>
              <w:jc w:val="center"/>
              <w:rPr>
                <w:rFonts w:ascii="Times New Roman" w:eastAsia="Times New Roman" w:hAnsi="Times New Roman" w:cs="Times New Roman"/>
                <w:sz w:val="20"/>
                <w:szCs w:val="20"/>
              </w:rPr>
            </w:pPr>
          </w:p>
        </w:tc>
      </w:tr>
      <w:tr w:rsidR="00624EE6" w:rsidRPr="00E91C0F" w14:paraId="66EFFCD3" w14:textId="77777777" w:rsidTr="005E2686">
        <w:trPr>
          <w:trHeight w:val="315"/>
        </w:trPr>
        <w:tc>
          <w:tcPr>
            <w:tcW w:w="1620" w:type="dxa"/>
            <w:tcBorders>
              <w:top w:val="nil"/>
              <w:left w:val="nil"/>
              <w:bottom w:val="nil"/>
              <w:right w:val="nil"/>
            </w:tcBorders>
            <w:shd w:val="clear" w:color="auto" w:fill="auto"/>
            <w:vAlign w:val="center"/>
            <w:hideMark/>
          </w:tcPr>
          <w:p w14:paraId="0A464309"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N</w:t>
            </w:r>
          </w:p>
        </w:tc>
        <w:tc>
          <w:tcPr>
            <w:tcW w:w="1817" w:type="dxa"/>
            <w:tcBorders>
              <w:top w:val="nil"/>
              <w:left w:val="nil"/>
              <w:bottom w:val="nil"/>
              <w:right w:val="nil"/>
            </w:tcBorders>
            <w:shd w:val="clear" w:color="auto" w:fill="auto"/>
            <w:vAlign w:val="center"/>
            <w:hideMark/>
          </w:tcPr>
          <w:p w14:paraId="44866F5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c>
          <w:tcPr>
            <w:tcW w:w="1963" w:type="dxa"/>
            <w:tcBorders>
              <w:top w:val="nil"/>
              <w:left w:val="nil"/>
              <w:bottom w:val="nil"/>
              <w:right w:val="nil"/>
            </w:tcBorders>
            <w:shd w:val="clear" w:color="auto" w:fill="auto"/>
            <w:vAlign w:val="center"/>
            <w:hideMark/>
          </w:tcPr>
          <w:p w14:paraId="746AF40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c>
          <w:tcPr>
            <w:tcW w:w="1890" w:type="dxa"/>
            <w:tcBorders>
              <w:top w:val="nil"/>
              <w:left w:val="nil"/>
              <w:bottom w:val="nil"/>
              <w:right w:val="nil"/>
            </w:tcBorders>
            <w:shd w:val="clear" w:color="auto" w:fill="auto"/>
            <w:vAlign w:val="center"/>
            <w:hideMark/>
          </w:tcPr>
          <w:p w14:paraId="461FFDE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c>
          <w:tcPr>
            <w:tcW w:w="1890" w:type="dxa"/>
            <w:tcBorders>
              <w:top w:val="nil"/>
              <w:left w:val="nil"/>
              <w:bottom w:val="nil"/>
              <w:right w:val="nil"/>
            </w:tcBorders>
            <w:shd w:val="clear" w:color="auto" w:fill="auto"/>
            <w:vAlign w:val="center"/>
            <w:hideMark/>
          </w:tcPr>
          <w:p w14:paraId="545BF5C2"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1,456</w:t>
            </w:r>
          </w:p>
        </w:tc>
      </w:tr>
      <w:tr w:rsidR="00624EE6" w:rsidRPr="00E91C0F" w14:paraId="06EF6535" w14:textId="77777777" w:rsidTr="005E2686">
        <w:trPr>
          <w:trHeight w:val="390"/>
        </w:trPr>
        <w:tc>
          <w:tcPr>
            <w:tcW w:w="1620" w:type="dxa"/>
            <w:tcBorders>
              <w:top w:val="nil"/>
              <w:left w:val="nil"/>
              <w:bottom w:val="single" w:sz="8" w:space="0" w:color="auto"/>
              <w:right w:val="nil"/>
            </w:tcBorders>
            <w:shd w:val="clear" w:color="auto" w:fill="auto"/>
            <w:vAlign w:val="center"/>
            <w:hideMark/>
          </w:tcPr>
          <w:p w14:paraId="1FC31354"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Pseudo R</w:t>
            </w:r>
            <w:r w:rsidRPr="00E91C0F">
              <w:rPr>
                <w:rFonts w:ascii="Times New Roman" w:eastAsia="Times New Roman" w:hAnsi="Times New Roman" w:cs="Times New Roman"/>
                <w:color w:val="000000"/>
                <w:sz w:val="24"/>
                <w:szCs w:val="24"/>
                <w:vertAlign w:val="superscript"/>
              </w:rPr>
              <w:t>2</w:t>
            </w:r>
          </w:p>
        </w:tc>
        <w:tc>
          <w:tcPr>
            <w:tcW w:w="1817" w:type="dxa"/>
            <w:tcBorders>
              <w:top w:val="nil"/>
              <w:left w:val="nil"/>
              <w:bottom w:val="single" w:sz="8" w:space="0" w:color="auto"/>
              <w:right w:val="nil"/>
            </w:tcBorders>
            <w:shd w:val="clear" w:color="auto" w:fill="auto"/>
            <w:vAlign w:val="center"/>
            <w:hideMark/>
          </w:tcPr>
          <w:p w14:paraId="19C94DD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0.040</w:t>
            </w:r>
          </w:p>
        </w:tc>
        <w:tc>
          <w:tcPr>
            <w:tcW w:w="1963" w:type="dxa"/>
            <w:tcBorders>
              <w:top w:val="nil"/>
              <w:left w:val="nil"/>
              <w:bottom w:val="single" w:sz="8" w:space="0" w:color="auto"/>
              <w:right w:val="nil"/>
            </w:tcBorders>
            <w:shd w:val="clear" w:color="auto" w:fill="auto"/>
            <w:vAlign w:val="center"/>
            <w:hideMark/>
          </w:tcPr>
          <w:p w14:paraId="5ABC002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0.040</w:t>
            </w:r>
          </w:p>
        </w:tc>
        <w:tc>
          <w:tcPr>
            <w:tcW w:w="1890" w:type="dxa"/>
            <w:tcBorders>
              <w:top w:val="nil"/>
              <w:left w:val="nil"/>
              <w:bottom w:val="single" w:sz="8" w:space="0" w:color="auto"/>
              <w:right w:val="nil"/>
            </w:tcBorders>
            <w:shd w:val="clear" w:color="auto" w:fill="auto"/>
            <w:vAlign w:val="center"/>
            <w:hideMark/>
          </w:tcPr>
          <w:p w14:paraId="795ECA3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0.023</w:t>
            </w:r>
          </w:p>
        </w:tc>
        <w:tc>
          <w:tcPr>
            <w:tcW w:w="1890" w:type="dxa"/>
            <w:tcBorders>
              <w:top w:val="nil"/>
              <w:left w:val="nil"/>
              <w:bottom w:val="single" w:sz="8" w:space="0" w:color="auto"/>
              <w:right w:val="nil"/>
            </w:tcBorders>
            <w:shd w:val="clear" w:color="auto" w:fill="auto"/>
            <w:vAlign w:val="center"/>
            <w:hideMark/>
          </w:tcPr>
          <w:p w14:paraId="44803EA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0.032</w:t>
            </w:r>
          </w:p>
        </w:tc>
      </w:tr>
    </w:tbl>
    <w:p w14:paraId="290A5701" w14:textId="77777777" w:rsidR="00624EE6" w:rsidRPr="00331E66" w:rsidRDefault="00624EE6" w:rsidP="00624EE6">
      <w:pPr>
        <w:rPr>
          <w:rFonts w:ascii="Times New Roman" w:hAnsi="Times New Roman" w:cs="Times New Roman"/>
          <w:sz w:val="20"/>
          <w:szCs w:val="20"/>
        </w:rPr>
      </w:pPr>
      <w:r w:rsidRPr="00331E66">
        <w:rPr>
          <w:rFonts w:ascii="Times New Roman" w:hAnsi="Times New Roman" w:cs="Times New Roman"/>
          <w:sz w:val="20"/>
          <w:szCs w:val="20"/>
        </w:rPr>
        <w:t>*, **, *** denote signiﬁcance at the 0.10, 0.05, and 0.01 (two-tailed) levels, respectively. This table presents the results of logit regressions (robust standard errors in parentheses in the second row) that evaluate the effect of ﬁrm-speciﬁc characteristics on components of FIN 48 disclosure CLARITY. I cluster standard errors by industry (using two-digit NAICS codes).  I deﬁne the dependent variables as follows: 1CL_NONETR is an indicator variable that takes the value of 1 if the firm included a discussion or amount of the UTB that does not affect the ETR (e.g., temporary differences, goodwill, or other comprehensive income adjustments) included in the UTB, 0 otherwise; 2CL_GROSS is an indicator variable that takes the value of 1 if the firm explicitly stated whether the reported UTB was gross or net, 0 otherwise; 3CL_INCL is an indicator variable that takes the value of 1 if the firm explicitly stated whether the reported UTB included interest and penalties, 0 otherwise; 4CL_LUMP is an indicator variable that takes the value of 1 if the firm reported interest and penalties separately, 0 otherwise.</w:t>
      </w:r>
    </w:p>
    <w:p w14:paraId="0CB89669" w14:textId="77777777" w:rsidR="00624EE6" w:rsidRPr="00331E66" w:rsidRDefault="00624EE6" w:rsidP="00624EE6">
      <w:pPr>
        <w:rPr>
          <w:rFonts w:ascii="Times New Roman" w:hAnsi="Times New Roman" w:cs="Times New Roman"/>
          <w:b/>
          <w:bCs/>
          <w:sz w:val="24"/>
          <w:szCs w:val="24"/>
        </w:rPr>
      </w:pPr>
      <w:r w:rsidRPr="00331E66">
        <w:rPr>
          <w:rFonts w:ascii="Times New Roman" w:hAnsi="Times New Roman" w:cs="Times New Roman"/>
          <w:b/>
          <w:bCs/>
          <w:sz w:val="24"/>
          <w:szCs w:val="24"/>
        </w:rPr>
        <w:br w:type="page"/>
      </w:r>
    </w:p>
    <w:p w14:paraId="206EF3D7" w14:textId="77777777" w:rsidR="00624EE6" w:rsidRDefault="00624EE6" w:rsidP="00624EE6">
      <w:pPr>
        <w:spacing w:after="0"/>
        <w:jc w:val="center"/>
        <w:rPr>
          <w:rFonts w:ascii="Times New Roman" w:hAnsi="Times New Roman" w:cs="Times New Roman"/>
          <w:b/>
          <w:bCs/>
          <w:sz w:val="24"/>
          <w:szCs w:val="24"/>
        </w:rPr>
      </w:pPr>
      <w:r>
        <w:rPr>
          <w:rFonts w:ascii="Times New Roman" w:hAnsi="Times New Roman" w:cs="Times New Roman"/>
          <w:b/>
          <w:bCs/>
          <w:sz w:val="24"/>
          <w:szCs w:val="24"/>
        </w:rPr>
        <w:t>Table 8</w:t>
      </w:r>
    </w:p>
    <w:p w14:paraId="5B8D53B3" w14:textId="77524231" w:rsidR="00624EE6" w:rsidRDefault="00624EE6" w:rsidP="00B61F35">
      <w:pPr>
        <w:spacing w:after="0"/>
        <w:jc w:val="center"/>
        <w:rPr>
          <w:rFonts w:ascii="Times New Roman" w:hAnsi="Times New Roman" w:cs="Times New Roman"/>
          <w:b/>
          <w:bCs/>
          <w:sz w:val="24"/>
          <w:szCs w:val="24"/>
        </w:rPr>
      </w:pPr>
      <w:r>
        <w:rPr>
          <w:rFonts w:ascii="Times New Roman" w:hAnsi="Times New Roman" w:cs="Times New Roman"/>
          <w:b/>
          <w:bCs/>
          <w:sz w:val="24"/>
          <w:szCs w:val="24"/>
        </w:rPr>
        <w:t>Additional Analysis</w:t>
      </w:r>
    </w:p>
    <w:p w14:paraId="29C23A1A" w14:textId="77777777" w:rsidR="00B61F35" w:rsidRPr="00331E66" w:rsidRDefault="00B61F35" w:rsidP="00B61F35">
      <w:pPr>
        <w:spacing w:after="0"/>
        <w:jc w:val="center"/>
        <w:rPr>
          <w:rFonts w:ascii="Times New Roman" w:hAnsi="Times New Roman" w:cs="Times New Roman"/>
          <w:b/>
          <w:bCs/>
          <w:sz w:val="24"/>
          <w:szCs w:val="24"/>
        </w:rPr>
      </w:pPr>
    </w:p>
    <w:tbl>
      <w:tblPr>
        <w:tblW w:w="9450" w:type="dxa"/>
        <w:tblLayout w:type="fixed"/>
        <w:tblLook w:val="04A0" w:firstRow="1" w:lastRow="0" w:firstColumn="1" w:lastColumn="0" w:noHBand="0" w:noVBand="1"/>
      </w:tblPr>
      <w:tblGrid>
        <w:gridCol w:w="2250"/>
        <w:gridCol w:w="1260"/>
        <w:gridCol w:w="1260"/>
        <w:gridCol w:w="1260"/>
        <w:gridCol w:w="1260"/>
        <w:gridCol w:w="1080"/>
        <w:gridCol w:w="1080"/>
      </w:tblGrid>
      <w:tr w:rsidR="00624EE6" w:rsidRPr="00E91C0F" w14:paraId="5DA0CFD7" w14:textId="77777777" w:rsidTr="00B24510">
        <w:trPr>
          <w:trHeight w:val="960"/>
        </w:trPr>
        <w:tc>
          <w:tcPr>
            <w:tcW w:w="2250" w:type="dxa"/>
            <w:tcBorders>
              <w:top w:val="single" w:sz="4" w:space="0" w:color="auto"/>
              <w:left w:val="nil"/>
              <w:bottom w:val="single" w:sz="4" w:space="0" w:color="auto"/>
            </w:tcBorders>
            <w:shd w:val="clear" w:color="auto" w:fill="auto"/>
            <w:vAlign w:val="center"/>
            <w:hideMark/>
          </w:tcPr>
          <w:p w14:paraId="01C7188A"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single" w:sz="4" w:space="0" w:color="auto"/>
              <w:bottom w:val="single" w:sz="4" w:space="0" w:color="auto"/>
            </w:tcBorders>
            <w:shd w:val="clear" w:color="auto" w:fill="auto"/>
            <w:vAlign w:val="center"/>
            <w:hideMark/>
          </w:tcPr>
          <w:p w14:paraId="4E051A22"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Analyst Following</w:t>
            </w:r>
          </w:p>
        </w:tc>
        <w:tc>
          <w:tcPr>
            <w:tcW w:w="1260" w:type="dxa"/>
            <w:tcBorders>
              <w:top w:val="single" w:sz="4" w:space="0" w:color="auto"/>
              <w:bottom w:val="single" w:sz="4" w:space="0" w:color="auto"/>
            </w:tcBorders>
            <w:shd w:val="clear" w:color="auto" w:fill="auto"/>
            <w:vAlign w:val="center"/>
            <w:hideMark/>
          </w:tcPr>
          <w:p w14:paraId="34C86671"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High Analyst Following</w:t>
            </w:r>
          </w:p>
        </w:tc>
        <w:tc>
          <w:tcPr>
            <w:tcW w:w="1260" w:type="dxa"/>
            <w:tcBorders>
              <w:top w:val="single" w:sz="4" w:space="0" w:color="auto"/>
              <w:bottom w:val="single" w:sz="4" w:space="0" w:color="auto"/>
            </w:tcBorders>
            <w:shd w:val="clear" w:color="auto" w:fill="auto"/>
            <w:vAlign w:val="center"/>
            <w:hideMark/>
          </w:tcPr>
          <w:p w14:paraId="070ED09A"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Low Analyst</w:t>
            </w:r>
            <w:r w:rsidRPr="00E91C0F">
              <w:rPr>
                <w:rFonts w:ascii="Times New Roman" w:eastAsia="Times New Roman" w:hAnsi="Times New Roman" w:cs="Times New Roman"/>
                <w:b/>
                <w:bCs/>
                <w:color w:val="000000"/>
                <w:sz w:val="24"/>
                <w:szCs w:val="24"/>
              </w:rPr>
              <w:br/>
              <w:t>Following</w:t>
            </w:r>
          </w:p>
        </w:tc>
        <w:tc>
          <w:tcPr>
            <w:tcW w:w="1260" w:type="dxa"/>
            <w:tcBorders>
              <w:top w:val="single" w:sz="4" w:space="0" w:color="auto"/>
              <w:bottom w:val="single" w:sz="4" w:space="0" w:color="auto"/>
            </w:tcBorders>
            <w:shd w:val="clear" w:color="auto" w:fill="auto"/>
            <w:vAlign w:val="center"/>
            <w:hideMark/>
          </w:tcPr>
          <w:p w14:paraId="5E65455D"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Tax Risk</w:t>
            </w:r>
          </w:p>
        </w:tc>
        <w:tc>
          <w:tcPr>
            <w:tcW w:w="1080" w:type="dxa"/>
            <w:tcBorders>
              <w:top w:val="single" w:sz="4" w:space="0" w:color="auto"/>
              <w:bottom w:val="single" w:sz="4" w:space="0" w:color="auto"/>
            </w:tcBorders>
            <w:shd w:val="clear" w:color="auto" w:fill="auto"/>
            <w:vAlign w:val="center"/>
            <w:hideMark/>
          </w:tcPr>
          <w:p w14:paraId="6E22DB12"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 xml:space="preserve">High </w:t>
            </w:r>
            <w:r w:rsidRPr="00E91C0F">
              <w:rPr>
                <w:rFonts w:ascii="Times New Roman" w:eastAsia="Times New Roman" w:hAnsi="Times New Roman" w:cs="Times New Roman"/>
                <w:b/>
                <w:bCs/>
                <w:color w:val="000000"/>
                <w:sz w:val="24"/>
                <w:szCs w:val="24"/>
              </w:rPr>
              <w:br/>
              <w:t>Tax Risk</w:t>
            </w:r>
          </w:p>
        </w:tc>
        <w:tc>
          <w:tcPr>
            <w:tcW w:w="1080" w:type="dxa"/>
            <w:tcBorders>
              <w:top w:val="single" w:sz="4" w:space="0" w:color="auto"/>
              <w:bottom w:val="single" w:sz="4" w:space="0" w:color="auto"/>
            </w:tcBorders>
            <w:shd w:val="clear" w:color="auto" w:fill="auto"/>
            <w:vAlign w:val="center"/>
            <w:hideMark/>
          </w:tcPr>
          <w:p w14:paraId="4A3B3D05"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Low</w:t>
            </w:r>
            <w:r w:rsidRPr="00E91C0F">
              <w:rPr>
                <w:rFonts w:ascii="Times New Roman" w:eastAsia="Times New Roman" w:hAnsi="Times New Roman" w:cs="Times New Roman"/>
                <w:b/>
                <w:bCs/>
                <w:color w:val="000000"/>
                <w:sz w:val="24"/>
                <w:szCs w:val="24"/>
              </w:rPr>
              <w:br/>
              <w:t>Tax Risk</w:t>
            </w:r>
          </w:p>
        </w:tc>
      </w:tr>
      <w:tr w:rsidR="00624EE6" w:rsidRPr="00E91C0F" w14:paraId="010F2F69" w14:textId="77777777" w:rsidTr="00B24510">
        <w:trPr>
          <w:trHeight w:val="315"/>
        </w:trPr>
        <w:tc>
          <w:tcPr>
            <w:tcW w:w="2250" w:type="dxa"/>
            <w:tcBorders>
              <w:top w:val="single" w:sz="4" w:space="0" w:color="auto"/>
              <w:left w:val="nil"/>
              <w:bottom w:val="nil"/>
            </w:tcBorders>
            <w:shd w:val="clear" w:color="auto" w:fill="auto"/>
            <w:vAlign w:val="center"/>
            <w:hideMark/>
          </w:tcPr>
          <w:p w14:paraId="7D5261F0"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260" w:type="dxa"/>
            <w:tcBorders>
              <w:top w:val="single" w:sz="4" w:space="0" w:color="auto"/>
              <w:bottom w:val="nil"/>
            </w:tcBorders>
            <w:shd w:val="clear" w:color="auto" w:fill="auto"/>
            <w:vAlign w:val="center"/>
            <w:hideMark/>
          </w:tcPr>
          <w:p w14:paraId="5C84378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single" w:sz="4" w:space="0" w:color="auto"/>
              <w:bottom w:val="nil"/>
            </w:tcBorders>
            <w:shd w:val="clear" w:color="auto" w:fill="auto"/>
            <w:vAlign w:val="center"/>
            <w:hideMark/>
          </w:tcPr>
          <w:p w14:paraId="57536CA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single" w:sz="4" w:space="0" w:color="auto"/>
              <w:bottom w:val="nil"/>
            </w:tcBorders>
            <w:shd w:val="clear" w:color="auto" w:fill="auto"/>
            <w:vAlign w:val="center"/>
            <w:hideMark/>
          </w:tcPr>
          <w:p w14:paraId="367BC2A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single" w:sz="4" w:space="0" w:color="auto"/>
              <w:bottom w:val="nil"/>
            </w:tcBorders>
            <w:shd w:val="clear" w:color="auto" w:fill="auto"/>
            <w:vAlign w:val="center"/>
            <w:hideMark/>
          </w:tcPr>
          <w:p w14:paraId="44E7F3F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080" w:type="dxa"/>
            <w:tcBorders>
              <w:top w:val="single" w:sz="4" w:space="0" w:color="auto"/>
              <w:bottom w:val="nil"/>
            </w:tcBorders>
            <w:shd w:val="clear" w:color="auto" w:fill="auto"/>
            <w:vAlign w:val="center"/>
            <w:hideMark/>
          </w:tcPr>
          <w:p w14:paraId="1186F60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080" w:type="dxa"/>
            <w:tcBorders>
              <w:top w:val="single" w:sz="4" w:space="0" w:color="auto"/>
              <w:bottom w:val="nil"/>
            </w:tcBorders>
            <w:shd w:val="clear" w:color="auto" w:fill="auto"/>
            <w:vAlign w:val="center"/>
            <w:hideMark/>
          </w:tcPr>
          <w:p w14:paraId="0199B70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706B14CA" w14:textId="77777777" w:rsidTr="00B24510">
        <w:trPr>
          <w:trHeight w:val="315"/>
        </w:trPr>
        <w:tc>
          <w:tcPr>
            <w:tcW w:w="2250" w:type="dxa"/>
            <w:tcBorders>
              <w:top w:val="nil"/>
              <w:left w:val="nil"/>
              <w:bottom w:val="nil"/>
            </w:tcBorders>
            <w:shd w:val="clear" w:color="auto" w:fill="auto"/>
            <w:vAlign w:val="center"/>
            <w:hideMark/>
          </w:tcPr>
          <w:p w14:paraId="3E9A7489" w14:textId="77777777" w:rsidR="00624EE6" w:rsidRPr="00E91C0F" w:rsidRDefault="00624EE6" w:rsidP="005E7AC2">
            <w:pPr>
              <w:spacing w:after="0" w:line="240" w:lineRule="auto"/>
              <w:rPr>
                <w:rFonts w:ascii="Times New Roman" w:eastAsia="Times New Roman" w:hAnsi="Times New Roman" w:cs="Times New Roman"/>
                <w:b/>
                <w:bCs/>
                <w:color w:val="000000"/>
                <w:sz w:val="24"/>
                <w:szCs w:val="24"/>
              </w:rPr>
            </w:pPr>
            <w:proofErr w:type="spellStart"/>
            <w:r w:rsidRPr="00E91C0F">
              <w:rPr>
                <w:rFonts w:ascii="Times New Roman" w:eastAsia="Times New Roman" w:hAnsi="Times New Roman" w:cs="Times New Roman"/>
                <w:b/>
                <w:bCs/>
                <w:color w:val="000000"/>
                <w:sz w:val="24"/>
                <w:szCs w:val="24"/>
              </w:rPr>
              <w:t>SchUTP</w:t>
            </w:r>
            <w:proofErr w:type="spellEnd"/>
          </w:p>
        </w:tc>
        <w:tc>
          <w:tcPr>
            <w:tcW w:w="1260" w:type="dxa"/>
            <w:tcBorders>
              <w:top w:val="nil"/>
              <w:bottom w:val="nil"/>
            </w:tcBorders>
            <w:shd w:val="clear" w:color="auto" w:fill="auto"/>
            <w:vAlign w:val="center"/>
            <w:hideMark/>
          </w:tcPr>
          <w:p w14:paraId="4675833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-0.099***</w:t>
            </w:r>
          </w:p>
        </w:tc>
        <w:tc>
          <w:tcPr>
            <w:tcW w:w="1260" w:type="dxa"/>
            <w:tcBorders>
              <w:top w:val="nil"/>
              <w:bottom w:val="nil"/>
            </w:tcBorders>
            <w:shd w:val="clear" w:color="auto" w:fill="auto"/>
            <w:vAlign w:val="center"/>
            <w:hideMark/>
          </w:tcPr>
          <w:p w14:paraId="2538E074"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-0.035</w:t>
            </w:r>
          </w:p>
        </w:tc>
        <w:tc>
          <w:tcPr>
            <w:tcW w:w="1260" w:type="dxa"/>
            <w:tcBorders>
              <w:top w:val="nil"/>
              <w:bottom w:val="nil"/>
            </w:tcBorders>
            <w:shd w:val="clear" w:color="auto" w:fill="auto"/>
            <w:vAlign w:val="center"/>
            <w:hideMark/>
          </w:tcPr>
          <w:p w14:paraId="12079072"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-0.132***</w:t>
            </w:r>
          </w:p>
        </w:tc>
        <w:tc>
          <w:tcPr>
            <w:tcW w:w="1260" w:type="dxa"/>
            <w:tcBorders>
              <w:top w:val="nil"/>
              <w:bottom w:val="nil"/>
            </w:tcBorders>
            <w:shd w:val="clear" w:color="auto" w:fill="auto"/>
            <w:vAlign w:val="center"/>
            <w:hideMark/>
          </w:tcPr>
          <w:p w14:paraId="473D11C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-0.106***</w:t>
            </w:r>
          </w:p>
        </w:tc>
        <w:tc>
          <w:tcPr>
            <w:tcW w:w="1080" w:type="dxa"/>
            <w:tcBorders>
              <w:top w:val="nil"/>
              <w:bottom w:val="nil"/>
            </w:tcBorders>
            <w:shd w:val="clear" w:color="auto" w:fill="auto"/>
            <w:vAlign w:val="center"/>
            <w:hideMark/>
          </w:tcPr>
          <w:p w14:paraId="0CDFA0CA"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-0.063</w:t>
            </w:r>
          </w:p>
        </w:tc>
        <w:tc>
          <w:tcPr>
            <w:tcW w:w="1080" w:type="dxa"/>
            <w:tcBorders>
              <w:top w:val="nil"/>
              <w:bottom w:val="nil"/>
            </w:tcBorders>
            <w:shd w:val="clear" w:color="auto" w:fill="auto"/>
            <w:vAlign w:val="center"/>
            <w:hideMark/>
          </w:tcPr>
          <w:p w14:paraId="7A282046"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-0.164***</w:t>
            </w:r>
          </w:p>
        </w:tc>
        <w:bookmarkStart w:id="0" w:name="_GoBack"/>
        <w:bookmarkEnd w:id="0"/>
      </w:tr>
      <w:tr w:rsidR="00624EE6" w:rsidRPr="00E91C0F" w14:paraId="790D983D" w14:textId="77777777" w:rsidTr="00B24510">
        <w:trPr>
          <w:trHeight w:val="315"/>
        </w:trPr>
        <w:tc>
          <w:tcPr>
            <w:tcW w:w="2250" w:type="dxa"/>
            <w:tcBorders>
              <w:top w:val="nil"/>
              <w:left w:val="nil"/>
              <w:bottom w:val="nil"/>
            </w:tcBorders>
            <w:shd w:val="clear" w:color="auto" w:fill="auto"/>
            <w:vAlign w:val="center"/>
            <w:hideMark/>
          </w:tcPr>
          <w:p w14:paraId="570970DC"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Analyst</w:t>
            </w:r>
          </w:p>
        </w:tc>
        <w:tc>
          <w:tcPr>
            <w:tcW w:w="1260" w:type="dxa"/>
            <w:tcBorders>
              <w:top w:val="nil"/>
              <w:bottom w:val="nil"/>
            </w:tcBorders>
            <w:shd w:val="clear" w:color="auto" w:fill="auto"/>
            <w:vAlign w:val="center"/>
            <w:hideMark/>
          </w:tcPr>
          <w:p w14:paraId="203B7BE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-0.005</w:t>
            </w:r>
          </w:p>
        </w:tc>
        <w:tc>
          <w:tcPr>
            <w:tcW w:w="1260" w:type="dxa"/>
            <w:tcBorders>
              <w:top w:val="nil"/>
              <w:bottom w:val="nil"/>
            </w:tcBorders>
            <w:shd w:val="clear" w:color="auto" w:fill="auto"/>
            <w:vAlign w:val="center"/>
            <w:hideMark/>
          </w:tcPr>
          <w:p w14:paraId="250DB19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0.006</w:t>
            </w:r>
          </w:p>
        </w:tc>
        <w:tc>
          <w:tcPr>
            <w:tcW w:w="1260" w:type="dxa"/>
            <w:tcBorders>
              <w:top w:val="nil"/>
              <w:bottom w:val="nil"/>
            </w:tcBorders>
            <w:shd w:val="clear" w:color="auto" w:fill="auto"/>
            <w:vAlign w:val="center"/>
            <w:hideMark/>
          </w:tcPr>
          <w:p w14:paraId="1963228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-0.269</w:t>
            </w:r>
          </w:p>
        </w:tc>
        <w:tc>
          <w:tcPr>
            <w:tcW w:w="1260" w:type="dxa"/>
            <w:tcBorders>
              <w:top w:val="nil"/>
              <w:bottom w:val="nil"/>
            </w:tcBorders>
            <w:shd w:val="clear" w:color="auto" w:fill="auto"/>
            <w:vAlign w:val="center"/>
            <w:hideMark/>
          </w:tcPr>
          <w:p w14:paraId="0B2FAC9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0.012*</w:t>
            </w:r>
          </w:p>
        </w:tc>
        <w:tc>
          <w:tcPr>
            <w:tcW w:w="1080" w:type="dxa"/>
            <w:tcBorders>
              <w:top w:val="nil"/>
              <w:bottom w:val="nil"/>
            </w:tcBorders>
            <w:shd w:val="clear" w:color="auto" w:fill="auto"/>
            <w:vAlign w:val="center"/>
            <w:hideMark/>
          </w:tcPr>
          <w:p w14:paraId="3EFD151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0.009</w:t>
            </w:r>
          </w:p>
        </w:tc>
        <w:tc>
          <w:tcPr>
            <w:tcW w:w="1080" w:type="dxa"/>
            <w:tcBorders>
              <w:top w:val="nil"/>
              <w:bottom w:val="nil"/>
            </w:tcBorders>
            <w:shd w:val="clear" w:color="auto" w:fill="auto"/>
            <w:vAlign w:val="center"/>
            <w:hideMark/>
          </w:tcPr>
          <w:p w14:paraId="0E1FE7D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0.012</w:t>
            </w:r>
          </w:p>
        </w:tc>
      </w:tr>
      <w:tr w:rsidR="00624EE6" w:rsidRPr="00E91C0F" w14:paraId="29D82430" w14:textId="77777777" w:rsidTr="00B24510">
        <w:trPr>
          <w:trHeight w:val="315"/>
        </w:trPr>
        <w:tc>
          <w:tcPr>
            <w:tcW w:w="2250" w:type="dxa"/>
            <w:tcBorders>
              <w:top w:val="nil"/>
              <w:left w:val="nil"/>
              <w:bottom w:val="nil"/>
            </w:tcBorders>
            <w:shd w:val="clear" w:color="auto" w:fill="auto"/>
            <w:vAlign w:val="center"/>
            <w:hideMark/>
          </w:tcPr>
          <w:p w14:paraId="19964F67" w14:textId="77777777" w:rsidR="00624EE6" w:rsidRPr="00E91C0F" w:rsidRDefault="00624EE6" w:rsidP="005E7AC2">
            <w:pPr>
              <w:spacing w:after="0" w:line="240" w:lineRule="auto"/>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 xml:space="preserve">Analyst * </w:t>
            </w:r>
            <w:proofErr w:type="spellStart"/>
            <w:r w:rsidRPr="00E91C0F">
              <w:rPr>
                <w:rFonts w:ascii="Times New Roman" w:eastAsia="Times New Roman" w:hAnsi="Times New Roman" w:cs="Times New Roman"/>
                <w:b/>
                <w:bCs/>
                <w:color w:val="000000"/>
                <w:sz w:val="24"/>
                <w:szCs w:val="24"/>
              </w:rPr>
              <w:t>SchUTP</w:t>
            </w:r>
            <w:proofErr w:type="spellEnd"/>
          </w:p>
        </w:tc>
        <w:tc>
          <w:tcPr>
            <w:tcW w:w="1260" w:type="dxa"/>
            <w:tcBorders>
              <w:top w:val="nil"/>
              <w:bottom w:val="nil"/>
            </w:tcBorders>
            <w:shd w:val="clear" w:color="auto" w:fill="auto"/>
            <w:vAlign w:val="center"/>
            <w:hideMark/>
          </w:tcPr>
          <w:p w14:paraId="3670E3FB"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0.004</w:t>
            </w:r>
          </w:p>
        </w:tc>
        <w:tc>
          <w:tcPr>
            <w:tcW w:w="1260" w:type="dxa"/>
            <w:tcBorders>
              <w:top w:val="nil"/>
              <w:bottom w:val="nil"/>
            </w:tcBorders>
            <w:shd w:val="clear" w:color="auto" w:fill="auto"/>
            <w:vAlign w:val="center"/>
            <w:hideMark/>
          </w:tcPr>
          <w:p w14:paraId="23E6EB8D"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260" w:type="dxa"/>
            <w:tcBorders>
              <w:top w:val="nil"/>
              <w:bottom w:val="nil"/>
            </w:tcBorders>
            <w:shd w:val="clear" w:color="auto" w:fill="auto"/>
            <w:vAlign w:val="center"/>
            <w:hideMark/>
          </w:tcPr>
          <w:p w14:paraId="6CE7521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01463732"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080" w:type="dxa"/>
            <w:tcBorders>
              <w:top w:val="nil"/>
              <w:bottom w:val="nil"/>
            </w:tcBorders>
            <w:shd w:val="clear" w:color="auto" w:fill="auto"/>
            <w:vAlign w:val="center"/>
            <w:hideMark/>
          </w:tcPr>
          <w:p w14:paraId="7DC03B0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080" w:type="dxa"/>
            <w:tcBorders>
              <w:top w:val="nil"/>
              <w:bottom w:val="nil"/>
            </w:tcBorders>
            <w:shd w:val="clear" w:color="auto" w:fill="auto"/>
            <w:noWrap/>
            <w:vAlign w:val="bottom"/>
            <w:hideMark/>
          </w:tcPr>
          <w:p w14:paraId="52A5486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269A4426" w14:textId="77777777" w:rsidTr="00B24510">
        <w:trPr>
          <w:trHeight w:val="315"/>
        </w:trPr>
        <w:tc>
          <w:tcPr>
            <w:tcW w:w="2250" w:type="dxa"/>
            <w:tcBorders>
              <w:top w:val="nil"/>
              <w:left w:val="nil"/>
              <w:bottom w:val="nil"/>
            </w:tcBorders>
            <w:shd w:val="clear" w:color="auto" w:fill="auto"/>
            <w:vAlign w:val="center"/>
            <w:hideMark/>
          </w:tcPr>
          <w:p w14:paraId="63F10DD1"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Tax Risk</w:t>
            </w:r>
          </w:p>
        </w:tc>
        <w:tc>
          <w:tcPr>
            <w:tcW w:w="1260" w:type="dxa"/>
            <w:tcBorders>
              <w:top w:val="nil"/>
              <w:bottom w:val="nil"/>
            </w:tcBorders>
            <w:shd w:val="clear" w:color="auto" w:fill="auto"/>
            <w:vAlign w:val="center"/>
            <w:hideMark/>
          </w:tcPr>
          <w:p w14:paraId="31ABF69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2D20261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nil"/>
              <w:bottom w:val="nil"/>
            </w:tcBorders>
            <w:shd w:val="clear" w:color="auto" w:fill="auto"/>
            <w:vAlign w:val="center"/>
            <w:hideMark/>
          </w:tcPr>
          <w:p w14:paraId="456250B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67C063A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-0.305</w:t>
            </w:r>
          </w:p>
        </w:tc>
        <w:tc>
          <w:tcPr>
            <w:tcW w:w="1080" w:type="dxa"/>
            <w:tcBorders>
              <w:top w:val="nil"/>
              <w:bottom w:val="nil"/>
            </w:tcBorders>
            <w:shd w:val="clear" w:color="auto" w:fill="auto"/>
            <w:vAlign w:val="center"/>
            <w:hideMark/>
          </w:tcPr>
          <w:p w14:paraId="5ABD288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080" w:type="dxa"/>
            <w:tcBorders>
              <w:top w:val="nil"/>
              <w:bottom w:val="nil"/>
            </w:tcBorders>
            <w:shd w:val="clear" w:color="auto" w:fill="auto"/>
            <w:vAlign w:val="center"/>
            <w:hideMark/>
          </w:tcPr>
          <w:p w14:paraId="25C8E23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08A0F2C9" w14:textId="77777777" w:rsidTr="00B24510">
        <w:trPr>
          <w:trHeight w:val="315"/>
        </w:trPr>
        <w:tc>
          <w:tcPr>
            <w:tcW w:w="2250" w:type="dxa"/>
            <w:tcBorders>
              <w:top w:val="nil"/>
              <w:left w:val="nil"/>
              <w:bottom w:val="nil"/>
            </w:tcBorders>
            <w:shd w:val="clear" w:color="auto" w:fill="auto"/>
            <w:vAlign w:val="center"/>
            <w:hideMark/>
          </w:tcPr>
          <w:p w14:paraId="07353130" w14:textId="77777777" w:rsidR="00624EE6" w:rsidRPr="00E91C0F" w:rsidRDefault="00624EE6" w:rsidP="005E7AC2">
            <w:pPr>
              <w:spacing w:after="0" w:line="240" w:lineRule="auto"/>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 xml:space="preserve">Tax Risk * </w:t>
            </w:r>
            <w:proofErr w:type="spellStart"/>
            <w:r w:rsidRPr="00E91C0F">
              <w:rPr>
                <w:rFonts w:ascii="Times New Roman" w:eastAsia="Times New Roman" w:hAnsi="Times New Roman" w:cs="Times New Roman"/>
                <w:b/>
                <w:bCs/>
                <w:color w:val="000000"/>
                <w:sz w:val="24"/>
                <w:szCs w:val="24"/>
              </w:rPr>
              <w:t>SchUTP</w:t>
            </w:r>
            <w:proofErr w:type="spellEnd"/>
          </w:p>
        </w:tc>
        <w:tc>
          <w:tcPr>
            <w:tcW w:w="1260" w:type="dxa"/>
            <w:tcBorders>
              <w:top w:val="nil"/>
              <w:bottom w:val="nil"/>
            </w:tcBorders>
            <w:shd w:val="clear" w:color="auto" w:fill="auto"/>
            <w:vAlign w:val="center"/>
            <w:hideMark/>
          </w:tcPr>
          <w:p w14:paraId="1EACA793"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 </w:t>
            </w:r>
          </w:p>
        </w:tc>
        <w:tc>
          <w:tcPr>
            <w:tcW w:w="1260" w:type="dxa"/>
            <w:tcBorders>
              <w:top w:val="nil"/>
              <w:bottom w:val="nil"/>
            </w:tcBorders>
            <w:shd w:val="clear" w:color="auto" w:fill="auto"/>
            <w:vAlign w:val="center"/>
            <w:hideMark/>
          </w:tcPr>
          <w:p w14:paraId="60A58186"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260" w:type="dxa"/>
            <w:tcBorders>
              <w:top w:val="nil"/>
              <w:bottom w:val="nil"/>
            </w:tcBorders>
            <w:shd w:val="clear" w:color="auto" w:fill="auto"/>
            <w:vAlign w:val="center"/>
            <w:hideMark/>
          </w:tcPr>
          <w:p w14:paraId="4866EAB0"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 </w:t>
            </w:r>
          </w:p>
        </w:tc>
        <w:tc>
          <w:tcPr>
            <w:tcW w:w="1260" w:type="dxa"/>
            <w:tcBorders>
              <w:top w:val="nil"/>
              <w:bottom w:val="nil"/>
            </w:tcBorders>
            <w:shd w:val="clear" w:color="auto" w:fill="auto"/>
            <w:vAlign w:val="center"/>
            <w:hideMark/>
          </w:tcPr>
          <w:p w14:paraId="2F464931"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r w:rsidRPr="00E91C0F">
              <w:rPr>
                <w:rFonts w:ascii="Times New Roman" w:eastAsia="Times New Roman" w:hAnsi="Times New Roman" w:cs="Times New Roman"/>
                <w:b/>
                <w:bCs/>
                <w:color w:val="000000"/>
                <w:sz w:val="24"/>
                <w:szCs w:val="24"/>
              </w:rPr>
              <w:t>0.020</w:t>
            </w:r>
          </w:p>
        </w:tc>
        <w:tc>
          <w:tcPr>
            <w:tcW w:w="1080" w:type="dxa"/>
            <w:tcBorders>
              <w:top w:val="nil"/>
              <w:bottom w:val="nil"/>
            </w:tcBorders>
            <w:shd w:val="clear" w:color="auto" w:fill="auto"/>
            <w:vAlign w:val="center"/>
            <w:hideMark/>
          </w:tcPr>
          <w:p w14:paraId="36729BD1" w14:textId="77777777" w:rsidR="00624EE6" w:rsidRPr="00E91C0F"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080" w:type="dxa"/>
            <w:tcBorders>
              <w:top w:val="nil"/>
              <w:bottom w:val="nil"/>
            </w:tcBorders>
            <w:shd w:val="clear" w:color="auto" w:fill="auto"/>
            <w:vAlign w:val="center"/>
            <w:hideMark/>
          </w:tcPr>
          <w:p w14:paraId="65D0718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709F67E7" w14:textId="77777777" w:rsidTr="00B24510">
        <w:trPr>
          <w:trHeight w:val="315"/>
        </w:trPr>
        <w:tc>
          <w:tcPr>
            <w:tcW w:w="2250" w:type="dxa"/>
            <w:tcBorders>
              <w:top w:val="nil"/>
              <w:left w:val="nil"/>
              <w:bottom w:val="nil"/>
            </w:tcBorders>
            <w:shd w:val="clear" w:color="auto" w:fill="auto"/>
            <w:vAlign w:val="center"/>
            <w:hideMark/>
          </w:tcPr>
          <w:p w14:paraId="218EC437"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UTB</w:t>
            </w:r>
          </w:p>
        </w:tc>
        <w:tc>
          <w:tcPr>
            <w:tcW w:w="1260" w:type="dxa"/>
            <w:tcBorders>
              <w:top w:val="nil"/>
              <w:bottom w:val="nil"/>
            </w:tcBorders>
            <w:shd w:val="clear" w:color="auto" w:fill="auto"/>
            <w:vAlign w:val="center"/>
            <w:hideMark/>
          </w:tcPr>
          <w:p w14:paraId="7D0A387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-0.057***</w:t>
            </w:r>
          </w:p>
        </w:tc>
        <w:tc>
          <w:tcPr>
            <w:tcW w:w="1260" w:type="dxa"/>
            <w:tcBorders>
              <w:top w:val="nil"/>
              <w:bottom w:val="nil"/>
            </w:tcBorders>
            <w:shd w:val="clear" w:color="auto" w:fill="auto"/>
            <w:vAlign w:val="center"/>
            <w:hideMark/>
          </w:tcPr>
          <w:p w14:paraId="0C25EA5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-0.039</w:t>
            </w:r>
          </w:p>
        </w:tc>
        <w:tc>
          <w:tcPr>
            <w:tcW w:w="1260" w:type="dxa"/>
            <w:tcBorders>
              <w:top w:val="nil"/>
              <w:bottom w:val="nil"/>
            </w:tcBorders>
            <w:shd w:val="clear" w:color="auto" w:fill="auto"/>
            <w:vAlign w:val="center"/>
            <w:hideMark/>
          </w:tcPr>
          <w:p w14:paraId="259B66F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-0.068**</w:t>
            </w:r>
          </w:p>
        </w:tc>
        <w:tc>
          <w:tcPr>
            <w:tcW w:w="1260" w:type="dxa"/>
            <w:tcBorders>
              <w:top w:val="nil"/>
              <w:bottom w:val="nil"/>
            </w:tcBorders>
            <w:shd w:val="clear" w:color="auto" w:fill="auto"/>
            <w:vAlign w:val="center"/>
            <w:hideMark/>
          </w:tcPr>
          <w:p w14:paraId="55C9F263"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-0.056***</w:t>
            </w:r>
          </w:p>
        </w:tc>
        <w:tc>
          <w:tcPr>
            <w:tcW w:w="1080" w:type="dxa"/>
            <w:tcBorders>
              <w:top w:val="nil"/>
              <w:bottom w:val="nil"/>
            </w:tcBorders>
            <w:shd w:val="clear" w:color="auto" w:fill="auto"/>
            <w:vAlign w:val="center"/>
            <w:hideMark/>
          </w:tcPr>
          <w:p w14:paraId="3F64A5F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-0.092**</w:t>
            </w:r>
          </w:p>
        </w:tc>
        <w:tc>
          <w:tcPr>
            <w:tcW w:w="1080" w:type="dxa"/>
            <w:tcBorders>
              <w:top w:val="nil"/>
              <w:bottom w:val="nil"/>
            </w:tcBorders>
            <w:shd w:val="clear" w:color="auto" w:fill="auto"/>
            <w:vAlign w:val="center"/>
            <w:hideMark/>
          </w:tcPr>
          <w:p w14:paraId="133EF08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-0.042**</w:t>
            </w:r>
          </w:p>
        </w:tc>
      </w:tr>
      <w:tr w:rsidR="00624EE6" w:rsidRPr="00E91C0F" w14:paraId="411E6C5F" w14:textId="77777777" w:rsidTr="00B24510">
        <w:trPr>
          <w:trHeight w:val="315"/>
        </w:trPr>
        <w:tc>
          <w:tcPr>
            <w:tcW w:w="2250" w:type="dxa"/>
            <w:tcBorders>
              <w:top w:val="nil"/>
              <w:left w:val="nil"/>
              <w:bottom w:val="nil"/>
            </w:tcBorders>
            <w:shd w:val="clear" w:color="auto" w:fill="auto"/>
            <w:vAlign w:val="center"/>
            <w:hideMark/>
          </w:tcPr>
          <w:p w14:paraId="2E61ED7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nil"/>
              <w:bottom w:val="nil"/>
            </w:tcBorders>
            <w:shd w:val="clear" w:color="auto" w:fill="auto"/>
            <w:vAlign w:val="center"/>
            <w:hideMark/>
          </w:tcPr>
          <w:p w14:paraId="7DE00BCD"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1731B74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nil"/>
              <w:bottom w:val="nil"/>
            </w:tcBorders>
            <w:shd w:val="clear" w:color="auto" w:fill="auto"/>
            <w:vAlign w:val="center"/>
            <w:hideMark/>
          </w:tcPr>
          <w:p w14:paraId="6951DA5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04312AF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080" w:type="dxa"/>
            <w:tcBorders>
              <w:top w:val="nil"/>
              <w:bottom w:val="nil"/>
            </w:tcBorders>
            <w:shd w:val="clear" w:color="auto" w:fill="auto"/>
            <w:vAlign w:val="center"/>
            <w:hideMark/>
          </w:tcPr>
          <w:p w14:paraId="6D4B3CB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080" w:type="dxa"/>
            <w:tcBorders>
              <w:top w:val="nil"/>
              <w:bottom w:val="nil"/>
            </w:tcBorders>
            <w:shd w:val="clear" w:color="auto" w:fill="auto"/>
            <w:vAlign w:val="center"/>
            <w:hideMark/>
          </w:tcPr>
          <w:p w14:paraId="7A66497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4126C605" w14:textId="77777777" w:rsidTr="00B24510">
        <w:trPr>
          <w:trHeight w:val="315"/>
        </w:trPr>
        <w:tc>
          <w:tcPr>
            <w:tcW w:w="2250" w:type="dxa"/>
            <w:tcBorders>
              <w:top w:val="nil"/>
              <w:left w:val="nil"/>
              <w:bottom w:val="nil"/>
            </w:tcBorders>
            <w:shd w:val="clear" w:color="auto" w:fill="auto"/>
            <w:vAlign w:val="center"/>
            <w:hideMark/>
          </w:tcPr>
          <w:p w14:paraId="47304D41"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CONTROLS</w:t>
            </w:r>
          </w:p>
        </w:tc>
        <w:tc>
          <w:tcPr>
            <w:tcW w:w="1260" w:type="dxa"/>
            <w:tcBorders>
              <w:top w:val="nil"/>
              <w:bottom w:val="nil"/>
            </w:tcBorders>
            <w:shd w:val="clear" w:color="auto" w:fill="auto"/>
            <w:vAlign w:val="center"/>
            <w:hideMark/>
          </w:tcPr>
          <w:p w14:paraId="2310A12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500386F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325DD992"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55708B1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080" w:type="dxa"/>
            <w:tcBorders>
              <w:top w:val="nil"/>
              <w:bottom w:val="nil"/>
            </w:tcBorders>
            <w:shd w:val="clear" w:color="auto" w:fill="auto"/>
            <w:vAlign w:val="center"/>
            <w:hideMark/>
          </w:tcPr>
          <w:p w14:paraId="599484B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080" w:type="dxa"/>
            <w:tcBorders>
              <w:top w:val="nil"/>
              <w:bottom w:val="nil"/>
            </w:tcBorders>
            <w:shd w:val="clear" w:color="auto" w:fill="auto"/>
            <w:vAlign w:val="center"/>
            <w:hideMark/>
          </w:tcPr>
          <w:p w14:paraId="31B32888"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r>
      <w:tr w:rsidR="00624EE6" w:rsidRPr="00E91C0F" w14:paraId="2A1DC4F0" w14:textId="77777777" w:rsidTr="00B24510">
        <w:trPr>
          <w:trHeight w:val="315"/>
        </w:trPr>
        <w:tc>
          <w:tcPr>
            <w:tcW w:w="2250" w:type="dxa"/>
            <w:tcBorders>
              <w:top w:val="nil"/>
              <w:left w:val="nil"/>
              <w:bottom w:val="nil"/>
            </w:tcBorders>
            <w:shd w:val="clear" w:color="auto" w:fill="auto"/>
            <w:vAlign w:val="center"/>
            <w:hideMark/>
          </w:tcPr>
          <w:p w14:paraId="078774C7"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Firm Fixed Effects</w:t>
            </w:r>
          </w:p>
        </w:tc>
        <w:tc>
          <w:tcPr>
            <w:tcW w:w="1260" w:type="dxa"/>
            <w:tcBorders>
              <w:top w:val="nil"/>
              <w:bottom w:val="nil"/>
            </w:tcBorders>
            <w:shd w:val="clear" w:color="auto" w:fill="auto"/>
            <w:vAlign w:val="center"/>
            <w:hideMark/>
          </w:tcPr>
          <w:p w14:paraId="7297AA4A"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3F6CDB55"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4E272EDC"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260" w:type="dxa"/>
            <w:tcBorders>
              <w:top w:val="nil"/>
              <w:bottom w:val="nil"/>
            </w:tcBorders>
            <w:shd w:val="clear" w:color="auto" w:fill="auto"/>
            <w:vAlign w:val="center"/>
            <w:hideMark/>
          </w:tcPr>
          <w:p w14:paraId="503D85BD"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080" w:type="dxa"/>
            <w:tcBorders>
              <w:top w:val="nil"/>
              <w:bottom w:val="nil"/>
            </w:tcBorders>
            <w:shd w:val="clear" w:color="auto" w:fill="auto"/>
            <w:vAlign w:val="center"/>
            <w:hideMark/>
          </w:tcPr>
          <w:p w14:paraId="6340790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c>
          <w:tcPr>
            <w:tcW w:w="1080" w:type="dxa"/>
            <w:tcBorders>
              <w:top w:val="nil"/>
              <w:bottom w:val="nil"/>
            </w:tcBorders>
            <w:shd w:val="clear" w:color="auto" w:fill="auto"/>
            <w:vAlign w:val="center"/>
            <w:hideMark/>
          </w:tcPr>
          <w:p w14:paraId="3B6EF0E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YES</w:t>
            </w:r>
          </w:p>
        </w:tc>
      </w:tr>
      <w:tr w:rsidR="00624EE6" w:rsidRPr="00E91C0F" w14:paraId="2DBC66E9" w14:textId="77777777" w:rsidTr="00B24510">
        <w:trPr>
          <w:trHeight w:val="315"/>
        </w:trPr>
        <w:tc>
          <w:tcPr>
            <w:tcW w:w="2250" w:type="dxa"/>
            <w:tcBorders>
              <w:top w:val="nil"/>
              <w:left w:val="nil"/>
              <w:bottom w:val="nil"/>
            </w:tcBorders>
            <w:shd w:val="clear" w:color="auto" w:fill="auto"/>
            <w:vAlign w:val="center"/>
            <w:hideMark/>
          </w:tcPr>
          <w:p w14:paraId="5318E2E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nil"/>
              <w:bottom w:val="nil"/>
            </w:tcBorders>
            <w:shd w:val="clear" w:color="auto" w:fill="auto"/>
            <w:vAlign w:val="center"/>
            <w:hideMark/>
          </w:tcPr>
          <w:p w14:paraId="7CC6CA0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7142761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260" w:type="dxa"/>
            <w:tcBorders>
              <w:top w:val="nil"/>
              <w:bottom w:val="nil"/>
            </w:tcBorders>
            <w:shd w:val="clear" w:color="auto" w:fill="auto"/>
            <w:vAlign w:val="center"/>
            <w:hideMark/>
          </w:tcPr>
          <w:p w14:paraId="1DBA40A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260" w:type="dxa"/>
            <w:tcBorders>
              <w:top w:val="nil"/>
              <w:bottom w:val="nil"/>
            </w:tcBorders>
            <w:shd w:val="clear" w:color="auto" w:fill="auto"/>
            <w:vAlign w:val="center"/>
            <w:hideMark/>
          </w:tcPr>
          <w:p w14:paraId="0D4E3157"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c>
          <w:tcPr>
            <w:tcW w:w="1080" w:type="dxa"/>
            <w:tcBorders>
              <w:top w:val="nil"/>
              <w:bottom w:val="nil"/>
            </w:tcBorders>
            <w:shd w:val="clear" w:color="auto" w:fill="auto"/>
            <w:vAlign w:val="center"/>
            <w:hideMark/>
          </w:tcPr>
          <w:p w14:paraId="0BC789B6"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p>
        </w:tc>
        <w:tc>
          <w:tcPr>
            <w:tcW w:w="1080" w:type="dxa"/>
            <w:tcBorders>
              <w:top w:val="nil"/>
              <w:bottom w:val="nil"/>
            </w:tcBorders>
            <w:shd w:val="clear" w:color="auto" w:fill="auto"/>
            <w:vAlign w:val="center"/>
            <w:hideMark/>
          </w:tcPr>
          <w:p w14:paraId="00FAB9F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 </w:t>
            </w:r>
          </w:p>
        </w:tc>
      </w:tr>
      <w:tr w:rsidR="00624EE6" w:rsidRPr="00E91C0F" w14:paraId="21F5572B" w14:textId="77777777" w:rsidTr="00B24510">
        <w:trPr>
          <w:trHeight w:val="315"/>
        </w:trPr>
        <w:tc>
          <w:tcPr>
            <w:tcW w:w="2250" w:type="dxa"/>
            <w:tcBorders>
              <w:top w:val="nil"/>
              <w:left w:val="nil"/>
            </w:tcBorders>
            <w:shd w:val="clear" w:color="auto" w:fill="auto"/>
            <w:vAlign w:val="center"/>
            <w:hideMark/>
          </w:tcPr>
          <w:p w14:paraId="2FC4C500"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N</w:t>
            </w:r>
          </w:p>
        </w:tc>
        <w:tc>
          <w:tcPr>
            <w:tcW w:w="1260" w:type="dxa"/>
            <w:tcBorders>
              <w:top w:val="nil"/>
            </w:tcBorders>
            <w:shd w:val="clear" w:color="auto" w:fill="auto"/>
            <w:vAlign w:val="center"/>
            <w:hideMark/>
          </w:tcPr>
          <w:p w14:paraId="2AC65380"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1,172</w:t>
            </w:r>
          </w:p>
        </w:tc>
        <w:tc>
          <w:tcPr>
            <w:tcW w:w="1260" w:type="dxa"/>
            <w:tcBorders>
              <w:top w:val="nil"/>
            </w:tcBorders>
            <w:shd w:val="clear" w:color="auto" w:fill="auto"/>
            <w:vAlign w:val="center"/>
            <w:hideMark/>
          </w:tcPr>
          <w:p w14:paraId="157E241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590</w:t>
            </w:r>
          </w:p>
        </w:tc>
        <w:tc>
          <w:tcPr>
            <w:tcW w:w="1260" w:type="dxa"/>
            <w:tcBorders>
              <w:top w:val="nil"/>
            </w:tcBorders>
            <w:shd w:val="clear" w:color="auto" w:fill="auto"/>
            <w:vAlign w:val="center"/>
            <w:hideMark/>
          </w:tcPr>
          <w:p w14:paraId="233A51B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574</w:t>
            </w:r>
          </w:p>
        </w:tc>
        <w:tc>
          <w:tcPr>
            <w:tcW w:w="1260" w:type="dxa"/>
            <w:tcBorders>
              <w:top w:val="nil"/>
            </w:tcBorders>
            <w:shd w:val="clear" w:color="auto" w:fill="auto"/>
            <w:vAlign w:val="center"/>
            <w:hideMark/>
          </w:tcPr>
          <w:p w14:paraId="0F5EB2A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1,104</w:t>
            </w:r>
          </w:p>
        </w:tc>
        <w:tc>
          <w:tcPr>
            <w:tcW w:w="1080" w:type="dxa"/>
            <w:tcBorders>
              <w:top w:val="nil"/>
            </w:tcBorders>
            <w:shd w:val="clear" w:color="auto" w:fill="auto"/>
            <w:vAlign w:val="center"/>
            <w:hideMark/>
          </w:tcPr>
          <w:p w14:paraId="3EF7F9C9"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602</w:t>
            </w:r>
          </w:p>
        </w:tc>
        <w:tc>
          <w:tcPr>
            <w:tcW w:w="1080" w:type="dxa"/>
            <w:tcBorders>
              <w:top w:val="nil"/>
            </w:tcBorders>
            <w:shd w:val="clear" w:color="auto" w:fill="auto"/>
            <w:vAlign w:val="center"/>
            <w:hideMark/>
          </w:tcPr>
          <w:p w14:paraId="4A3658B1"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570</w:t>
            </w:r>
          </w:p>
        </w:tc>
      </w:tr>
      <w:tr w:rsidR="00624EE6" w:rsidRPr="00E91C0F" w14:paraId="1622BF11" w14:textId="77777777" w:rsidTr="00B24510">
        <w:trPr>
          <w:trHeight w:val="330"/>
        </w:trPr>
        <w:tc>
          <w:tcPr>
            <w:tcW w:w="2250" w:type="dxa"/>
            <w:tcBorders>
              <w:top w:val="nil"/>
              <w:left w:val="nil"/>
              <w:bottom w:val="single" w:sz="4" w:space="0" w:color="auto"/>
            </w:tcBorders>
            <w:shd w:val="clear" w:color="auto" w:fill="auto"/>
            <w:vAlign w:val="center"/>
            <w:hideMark/>
          </w:tcPr>
          <w:p w14:paraId="5C1DD06E" w14:textId="77777777" w:rsidR="00624EE6" w:rsidRPr="00E91C0F" w:rsidRDefault="00624EE6" w:rsidP="005E7AC2">
            <w:pPr>
              <w:spacing w:after="0" w:line="240" w:lineRule="auto"/>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Firms</w:t>
            </w:r>
          </w:p>
        </w:tc>
        <w:tc>
          <w:tcPr>
            <w:tcW w:w="1260" w:type="dxa"/>
            <w:tcBorders>
              <w:top w:val="nil"/>
              <w:bottom w:val="single" w:sz="4" w:space="0" w:color="auto"/>
            </w:tcBorders>
            <w:shd w:val="clear" w:color="auto" w:fill="auto"/>
            <w:vAlign w:val="center"/>
            <w:hideMark/>
          </w:tcPr>
          <w:p w14:paraId="7ED1F48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586</w:t>
            </w:r>
          </w:p>
        </w:tc>
        <w:tc>
          <w:tcPr>
            <w:tcW w:w="1260" w:type="dxa"/>
            <w:tcBorders>
              <w:top w:val="nil"/>
              <w:bottom w:val="single" w:sz="4" w:space="0" w:color="auto"/>
            </w:tcBorders>
            <w:shd w:val="clear" w:color="auto" w:fill="auto"/>
            <w:vAlign w:val="center"/>
            <w:hideMark/>
          </w:tcPr>
          <w:p w14:paraId="57A001A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295</w:t>
            </w:r>
          </w:p>
        </w:tc>
        <w:tc>
          <w:tcPr>
            <w:tcW w:w="1260" w:type="dxa"/>
            <w:tcBorders>
              <w:top w:val="nil"/>
              <w:bottom w:val="single" w:sz="4" w:space="0" w:color="auto"/>
            </w:tcBorders>
            <w:shd w:val="clear" w:color="auto" w:fill="auto"/>
            <w:vAlign w:val="center"/>
            <w:hideMark/>
          </w:tcPr>
          <w:p w14:paraId="306CD05E"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287</w:t>
            </w:r>
          </w:p>
        </w:tc>
        <w:tc>
          <w:tcPr>
            <w:tcW w:w="1260" w:type="dxa"/>
            <w:tcBorders>
              <w:top w:val="nil"/>
              <w:bottom w:val="single" w:sz="4" w:space="0" w:color="auto"/>
            </w:tcBorders>
            <w:shd w:val="clear" w:color="auto" w:fill="auto"/>
            <w:vAlign w:val="center"/>
            <w:hideMark/>
          </w:tcPr>
          <w:p w14:paraId="5982786B"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552</w:t>
            </w:r>
          </w:p>
        </w:tc>
        <w:tc>
          <w:tcPr>
            <w:tcW w:w="1080" w:type="dxa"/>
            <w:tcBorders>
              <w:top w:val="nil"/>
              <w:bottom w:val="single" w:sz="4" w:space="0" w:color="auto"/>
            </w:tcBorders>
            <w:shd w:val="clear" w:color="auto" w:fill="auto"/>
            <w:vAlign w:val="center"/>
            <w:hideMark/>
          </w:tcPr>
          <w:p w14:paraId="7D528BA4"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301</w:t>
            </w:r>
          </w:p>
        </w:tc>
        <w:tc>
          <w:tcPr>
            <w:tcW w:w="1080" w:type="dxa"/>
            <w:tcBorders>
              <w:top w:val="nil"/>
              <w:bottom w:val="single" w:sz="4" w:space="0" w:color="auto"/>
            </w:tcBorders>
            <w:shd w:val="clear" w:color="auto" w:fill="auto"/>
            <w:vAlign w:val="center"/>
            <w:hideMark/>
          </w:tcPr>
          <w:p w14:paraId="62C40C8F" w14:textId="77777777" w:rsidR="00624EE6" w:rsidRPr="00E91C0F" w:rsidRDefault="00624EE6" w:rsidP="005E7AC2">
            <w:pPr>
              <w:spacing w:after="0" w:line="240" w:lineRule="auto"/>
              <w:jc w:val="center"/>
              <w:rPr>
                <w:rFonts w:ascii="Times New Roman" w:eastAsia="Times New Roman" w:hAnsi="Times New Roman" w:cs="Times New Roman"/>
                <w:color w:val="000000"/>
                <w:sz w:val="24"/>
                <w:szCs w:val="24"/>
              </w:rPr>
            </w:pPr>
            <w:r w:rsidRPr="00E91C0F">
              <w:rPr>
                <w:rFonts w:ascii="Times New Roman" w:eastAsia="Times New Roman" w:hAnsi="Times New Roman" w:cs="Times New Roman"/>
                <w:color w:val="000000"/>
                <w:sz w:val="24"/>
                <w:szCs w:val="24"/>
              </w:rPr>
              <w:t>285</w:t>
            </w:r>
          </w:p>
        </w:tc>
      </w:tr>
    </w:tbl>
    <w:p w14:paraId="4E089EFB" w14:textId="77777777" w:rsidR="00624EE6" w:rsidRPr="00331E66" w:rsidRDefault="00624EE6" w:rsidP="00624EE6">
      <w:pPr>
        <w:pStyle w:val="FootnoteText"/>
        <w:rPr>
          <w:rFonts w:ascii="Times New Roman" w:hAnsi="Times New Roman" w:cs="Times New Roman"/>
        </w:rPr>
      </w:pPr>
      <w:r w:rsidRPr="00E91C0F">
        <w:rPr>
          <w:rFonts w:ascii="Times New Roman" w:hAnsi="Times New Roman" w:cs="Times New Roman"/>
        </w:rPr>
        <w:t>*, **, *** denote signiﬁcance at the 0.10, 0.05, and 0.01 (two-tailed) levels, respectively. This table pre</w:t>
      </w:r>
      <w:r>
        <w:rPr>
          <w:rFonts w:ascii="Times New Roman" w:hAnsi="Times New Roman" w:cs="Times New Roman"/>
        </w:rPr>
        <w:t xml:space="preserve">sents the </w:t>
      </w:r>
      <w:r w:rsidRPr="00E91C0F">
        <w:rPr>
          <w:rFonts w:ascii="Times New Roman" w:hAnsi="Times New Roman" w:cs="Times New Roman"/>
        </w:rPr>
        <w:t>results of Poisson regressions</w:t>
      </w:r>
      <w:r>
        <w:rPr>
          <w:rFonts w:ascii="Times New Roman" w:hAnsi="Times New Roman" w:cs="Times New Roman"/>
        </w:rPr>
        <w:t xml:space="preserve">.  </w:t>
      </w:r>
      <w:r w:rsidRPr="00E91C0F">
        <w:rPr>
          <w:rFonts w:ascii="Times New Roman" w:hAnsi="Times New Roman" w:cs="Times New Roman"/>
        </w:rPr>
        <w:t xml:space="preserve">High Analyst Following </w:t>
      </w:r>
      <w:r>
        <w:rPr>
          <w:rFonts w:ascii="Times New Roman" w:hAnsi="Times New Roman" w:cs="Times New Roman"/>
        </w:rPr>
        <w:t xml:space="preserve">(column 2) </w:t>
      </w:r>
      <w:r w:rsidRPr="00E91C0F">
        <w:rPr>
          <w:rFonts w:ascii="Times New Roman" w:hAnsi="Times New Roman" w:cs="Times New Roman"/>
        </w:rPr>
        <w:t xml:space="preserve">is above the median number of analysts and Low Analyst Following </w:t>
      </w:r>
      <w:r>
        <w:rPr>
          <w:rFonts w:ascii="Times New Roman" w:hAnsi="Times New Roman" w:cs="Times New Roman"/>
        </w:rPr>
        <w:t xml:space="preserve">(column 3) </w:t>
      </w:r>
      <w:r w:rsidRPr="00E91C0F">
        <w:rPr>
          <w:rFonts w:ascii="Times New Roman" w:hAnsi="Times New Roman" w:cs="Times New Roman"/>
        </w:rPr>
        <w:t xml:space="preserve">is below the median number of analysts.  </w:t>
      </w:r>
      <w:r w:rsidRPr="00331E66">
        <w:rPr>
          <w:rFonts w:ascii="Times New Roman" w:hAnsi="Times New Roman" w:cs="Times New Roman"/>
          <w:szCs w:val="16"/>
        </w:rPr>
        <w:t>TAX RISK is measured as the standard deviation of annual Cash ETRs measured over a five-year period,</w:t>
      </w:r>
      <w:r w:rsidRPr="00331E66">
        <w:rPr>
          <w:rFonts w:ascii="Times New Roman" w:hAnsi="Times New Roman" w:cs="Times New Roman"/>
          <w:i/>
          <w:szCs w:val="16"/>
        </w:rPr>
        <w:t xml:space="preserve"> t</w:t>
      </w:r>
      <w:r w:rsidRPr="00331E66">
        <w:rPr>
          <w:rFonts w:ascii="Times New Roman" w:hAnsi="Times New Roman" w:cs="Times New Roman"/>
          <w:szCs w:val="16"/>
        </w:rPr>
        <w:t xml:space="preserve">-4 to </w:t>
      </w:r>
      <w:r w:rsidRPr="00331E66">
        <w:rPr>
          <w:rFonts w:ascii="Times New Roman" w:hAnsi="Times New Roman" w:cs="Times New Roman"/>
          <w:i/>
          <w:szCs w:val="16"/>
        </w:rPr>
        <w:t>t</w:t>
      </w:r>
      <w:r w:rsidRPr="00331E66">
        <w:rPr>
          <w:rFonts w:ascii="Times New Roman" w:hAnsi="Times New Roman" w:cs="Times New Roman"/>
          <w:szCs w:val="16"/>
        </w:rPr>
        <w:t xml:space="preserve">.  </w:t>
      </w:r>
      <w:r w:rsidRPr="00E91C0F">
        <w:rPr>
          <w:rFonts w:ascii="Times New Roman" w:hAnsi="Times New Roman" w:cs="Times New Roman"/>
        </w:rPr>
        <w:t xml:space="preserve">High </w:t>
      </w:r>
      <w:r>
        <w:rPr>
          <w:rFonts w:ascii="Times New Roman" w:hAnsi="Times New Roman" w:cs="Times New Roman"/>
        </w:rPr>
        <w:t>Tax Risk</w:t>
      </w:r>
      <w:r w:rsidRPr="00E91C0F">
        <w:rPr>
          <w:rFonts w:ascii="Times New Roman" w:hAnsi="Times New Roman" w:cs="Times New Roman"/>
        </w:rPr>
        <w:t xml:space="preserve"> </w:t>
      </w:r>
      <w:r>
        <w:rPr>
          <w:rFonts w:ascii="Times New Roman" w:hAnsi="Times New Roman" w:cs="Times New Roman"/>
        </w:rPr>
        <w:t xml:space="preserve">(column 5) </w:t>
      </w:r>
      <w:r w:rsidRPr="00E91C0F">
        <w:rPr>
          <w:rFonts w:ascii="Times New Roman" w:hAnsi="Times New Roman" w:cs="Times New Roman"/>
        </w:rPr>
        <w:t xml:space="preserve">is above the median </w:t>
      </w:r>
      <w:r>
        <w:rPr>
          <w:rFonts w:ascii="Times New Roman" w:hAnsi="Times New Roman" w:cs="Times New Roman"/>
        </w:rPr>
        <w:t>tax risk</w:t>
      </w:r>
      <w:r w:rsidRPr="00E91C0F">
        <w:rPr>
          <w:rFonts w:ascii="Times New Roman" w:hAnsi="Times New Roman" w:cs="Times New Roman"/>
        </w:rPr>
        <w:t xml:space="preserve"> and Low </w:t>
      </w:r>
      <w:r>
        <w:rPr>
          <w:rFonts w:ascii="Times New Roman" w:hAnsi="Times New Roman" w:cs="Times New Roman"/>
        </w:rPr>
        <w:t>Tax Risk</w:t>
      </w:r>
      <w:r w:rsidRPr="00E91C0F">
        <w:rPr>
          <w:rFonts w:ascii="Times New Roman" w:hAnsi="Times New Roman" w:cs="Times New Roman"/>
        </w:rPr>
        <w:t xml:space="preserve"> </w:t>
      </w:r>
      <w:r>
        <w:rPr>
          <w:rFonts w:ascii="Times New Roman" w:hAnsi="Times New Roman" w:cs="Times New Roman"/>
        </w:rPr>
        <w:t>(column 6) is below the median tax risk</w:t>
      </w:r>
      <w:r w:rsidRPr="00E91C0F">
        <w:rPr>
          <w:rFonts w:ascii="Times New Roman" w:hAnsi="Times New Roman" w:cs="Times New Roman"/>
        </w:rPr>
        <w:t xml:space="preserve">.  </w:t>
      </w:r>
    </w:p>
    <w:p w14:paraId="3BC7D8AD" w14:textId="77777777" w:rsidR="00624EE6" w:rsidRPr="00E91C0F" w:rsidRDefault="00624EE6" w:rsidP="00624EE6">
      <w:pPr>
        <w:widowControl w:val="0"/>
        <w:autoSpaceDE w:val="0"/>
        <w:autoSpaceDN w:val="0"/>
        <w:adjustRightInd w:val="0"/>
        <w:spacing w:after="0" w:line="240" w:lineRule="auto"/>
        <w:rPr>
          <w:rFonts w:ascii="Times New Roman" w:hAnsi="Times New Roman" w:cs="Times New Roman"/>
          <w:sz w:val="20"/>
          <w:szCs w:val="20"/>
        </w:rPr>
      </w:pPr>
    </w:p>
    <w:p w14:paraId="7CD04859" w14:textId="77777777" w:rsidR="00624EE6" w:rsidRDefault="00624EE6" w:rsidP="00624EE6">
      <w:pPr>
        <w:rPr>
          <w:rFonts w:ascii="Times New Roman" w:hAnsi="Times New Roman" w:cs="Times New Roman"/>
          <w:b/>
          <w:bCs/>
          <w:sz w:val="24"/>
          <w:szCs w:val="24"/>
        </w:rPr>
      </w:pPr>
    </w:p>
    <w:p w14:paraId="5D7486ED" w14:textId="77777777" w:rsidR="00624EE6" w:rsidRDefault="00624EE6" w:rsidP="00624EE6">
      <w:pPr>
        <w:rPr>
          <w:rFonts w:ascii="Times New Roman" w:hAnsi="Times New Roman" w:cs="Times New Roman"/>
          <w:b/>
          <w:bCs/>
          <w:sz w:val="24"/>
          <w:szCs w:val="24"/>
        </w:rPr>
      </w:pPr>
      <w:r>
        <w:rPr>
          <w:rFonts w:ascii="Times New Roman" w:hAnsi="Times New Roman" w:cs="Times New Roman"/>
          <w:b/>
          <w:bCs/>
          <w:sz w:val="24"/>
          <w:szCs w:val="24"/>
        </w:rPr>
        <w:br w:type="page"/>
      </w:r>
    </w:p>
    <w:p w14:paraId="5A691108" w14:textId="77777777" w:rsidR="00624EE6" w:rsidRDefault="00624EE6" w:rsidP="00624EE6">
      <w:pPr>
        <w:spacing w:after="0"/>
        <w:jc w:val="center"/>
        <w:rPr>
          <w:rFonts w:ascii="Times New Roman" w:hAnsi="Times New Roman" w:cs="Times New Roman"/>
          <w:b/>
          <w:bCs/>
          <w:sz w:val="24"/>
          <w:szCs w:val="24"/>
        </w:rPr>
      </w:pPr>
      <w:r>
        <w:rPr>
          <w:rFonts w:ascii="Times New Roman" w:hAnsi="Times New Roman" w:cs="Times New Roman"/>
          <w:b/>
          <w:bCs/>
          <w:sz w:val="24"/>
          <w:szCs w:val="24"/>
        </w:rPr>
        <w:t>Table 9</w:t>
      </w:r>
    </w:p>
    <w:p w14:paraId="0BBF3F12" w14:textId="77777777" w:rsidR="00624EE6" w:rsidRPr="00331E66" w:rsidRDefault="00624EE6" w:rsidP="00624EE6">
      <w:pPr>
        <w:spacing w:after="0"/>
        <w:jc w:val="center"/>
        <w:rPr>
          <w:rFonts w:ascii="Times New Roman" w:hAnsi="Times New Roman" w:cs="Times New Roman"/>
          <w:b/>
          <w:bCs/>
          <w:sz w:val="24"/>
          <w:szCs w:val="24"/>
        </w:rPr>
      </w:pPr>
      <w:r>
        <w:rPr>
          <w:rFonts w:ascii="Times New Roman" w:hAnsi="Times New Roman" w:cs="Times New Roman"/>
          <w:b/>
          <w:bCs/>
          <w:sz w:val="24"/>
          <w:szCs w:val="24"/>
        </w:rPr>
        <w:t>Overall Disclosure Quality</w:t>
      </w:r>
    </w:p>
    <w:p w14:paraId="42E33CE0" w14:textId="77777777" w:rsidR="00624EE6" w:rsidRDefault="00624EE6" w:rsidP="00624EE6">
      <w:pPr>
        <w:spacing w:after="0"/>
        <w:jc w:val="center"/>
        <w:rPr>
          <w:rFonts w:ascii="Times New Roman" w:hAnsi="Times New Roman" w:cs="Times New Roman"/>
          <w:b/>
          <w:bCs/>
          <w:sz w:val="24"/>
          <w:szCs w:val="24"/>
        </w:rPr>
      </w:pPr>
    </w:p>
    <w:tbl>
      <w:tblPr>
        <w:tblW w:w="5440" w:type="dxa"/>
        <w:jc w:val="center"/>
        <w:tblLook w:val="04A0" w:firstRow="1" w:lastRow="0" w:firstColumn="1" w:lastColumn="0" w:noHBand="0" w:noVBand="1"/>
      </w:tblPr>
      <w:tblGrid>
        <w:gridCol w:w="2448"/>
        <w:gridCol w:w="1376"/>
        <w:gridCol w:w="1616"/>
      </w:tblGrid>
      <w:tr w:rsidR="00624EE6" w:rsidRPr="0073248E" w14:paraId="7EFB3D55" w14:textId="77777777" w:rsidTr="005E7AC2">
        <w:trPr>
          <w:trHeight w:val="645"/>
          <w:jc w:val="center"/>
        </w:trPr>
        <w:tc>
          <w:tcPr>
            <w:tcW w:w="2740" w:type="dxa"/>
            <w:tcBorders>
              <w:top w:val="single" w:sz="4" w:space="0" w:color="auto"/>
              <w:left w:val="nil"/>
              <w:bottom w:val="single" w:sz="8" w:space="0" w:color="auto"/>
              <w:right w:val="nil"/>
            </w:tcBorders>
            <w:shd w:val="clear" w:color="auto" w:fill="auto"/>
            <w:vAlign w:val="center"/>
            <w:hideMark/>
          </w:tcPr>
          <w:p w14:paraId="22A34514"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 </w:t>
            </w:r>
          </w:p>
        </w:tc>
        <w:tc>
          <w:tcPr>
            <w:tcW w:w="1240" w:type="dxa"/>
            <w:tcBorders>
              <w:top w:val="single" w:sz="4" w:space="0" w:color="auto"/>
              <w:left w:val="nil"/>
              <w:bottom w:val="single" w:sz="8" w:space="0" w:color="auto"/>
              <w:right w:val="nil"/>
            </w:tcBorders>
            <w:shd w:val="clear" w:color="auto" w:fill="auto"/>
            <w:vAlign w:val="center"/>
            <w:hideMark/>
          </w:tcPr>
          <w:p w14:paraId="6C9DD2BA"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r w:rsidRPr="0073248E">
              <w:rPr>
                <w:rFonts w:ascii="Times New Roman" w:eastAsia="Times New Roman" w:hAnsi="Times New Roman" w:cs="Times New Roman"/>
                <w:b/>
                <w:bCs/>
                <w:color w:val="000000"/>
                <w:sz w:val="24"/>
                <w:szCs w:val="24"/>
              </w:rPr>
              <w:t>Mandatory</w:t>
            </w:r>
          </w:p>
        </w:tc>
        <w:tc>
          <w:tcPr>
            <w:tcW w:w="1460" w:type="dxa"/>
            <w:tcBorders>
              <w:top w:val="single" w:sz="4" w:space="0" w:color="auto"/>
              <w:left w:val="nil"/>
              <w:bottom w:val="single" w:sz="8" w:space="0" w:color="auto"/>
              <w:right w:val="nil"/>
            </w:tcBorders>
            <w:shd w:val="clear" w:color="auto" w:fill="auto"/>
            <w:vAlign w:val="center"/>
            <w:hideMark/>
          </w:tcPr>
          <w:p w14:paraId="7DAA07D4"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r w:rsidRPr="0073248E">
              <w:rPr>
                <w:rFonts w:ascii="Times New Roman" w:eastAsia="Times New Roman" w:hAnsi="Times New Roman" w:cs="Times New Roman"/>
                <w:b/>
                <w:bCs/>
                <w:color w:val="000000"/>
                <w:sz w:val="24"/>
                <w:szCs w:val="24"/>
              </w:rPr>
              <w:t>Discretionary</w:t>
            </w:r>
          </w:p>
        </w:tc>
      </w:tr>
      <w:tr w:rsidR="00624EE6" w:rsidRPr="0073248E" w14:paraId="37060DAC" w14:textId="77777777" w:rsidTr="005E7AC2">
        <w:trPr>
          <w:trHeight w:val="315"/>
          <w:jc w:val="center"/>
        </w:trPr>
        <w:tc>
          <w:tcPr>
            <w:tcW w:w="2740" w:type="dxa"/>
            <w:tcBorders>
              <w:top w:val="nil"/>
              <w:left w:val="nil"/>
              <w:bottom w:val="nil"/>
              <w:right w:val="nil"/>
            </w:tcBorders>
            <w:shd w:val="clear" w:color="auto" w:fill="auto"/>
            <w:vAlign w:val="center"/>
            <w:hideMark/>
          </w:tcPr>
          <w:p w14:paraId="076CE6AF"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240" w:type="dxa"/>
            <w:tcBorders>
              <w:top w:val="nil"/>
              <w:left w:val="nil"/>
              <w:bottom w:val="nil"/>
              <w:right w:val="nil"/>
            </w:tcBorders>
            <w:shd w:val="clear" w:color="auto" w:fill="auto"/>
            <w:vAlign w:val="center"/>
            <w:hideMark/>
          </w:tcPr>
          <w:p w14:paraId="77DA8457"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1513E35C"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59363E46" w14:textId="77777777" w:rsidTr="005E7AC2">
        <w:trPr>
          <w:trHeight w:val="315"/>
          <w:jc w:val="center"/>
        </w:trPr>
        <w:tc>
          <w:tcPr>
            <w:tcW w:w="2740" w:type="dxa"/>
            <w:tcBorders>
              <w:top w:val="nil"/>
              <w:left w:val="nil"/>
              <w:bottom w:val="nil"/>
              <w:right w:val="nil"/>
            </w:tcBorders>
            <w:shd w:val="clear" w:color="auto" w:fill="auto"/>
            <w:vAlign w:val="center"/>
            <w:hideMark/>
          </w:tcPr>
          <w:p w14:paraId="7E4763BC"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proofErr w:type="spellStart"/>
            <w:r w:rsidRPr="0073248E">
              <w:rPr>
                <w:rFonts w:ascii="Times New Roman" w:eastAsia="Times New Roman" w:hAnsi="Times New Roman" w:cs="Times New Roman"/>
                <w:color w:val="000000"/>
                <w:sz w:val="24"/>
                <w:szCs w:val="24"/>
              </w:rPr>
              <w:t>SchUTP</w:t>
            </w:r>
            <w:proofErr w:type="spellEnd"/>
          </w:p>
        </w:tc>
        <w:tc>
          <w:tcPr>
            <w:tcW w:w="1240" w:type="dxa"/>
            <w:tcBorders>
              <w:top w:val="nil"/>
              <w:left w:val="nil"/>
              <w:bottom w:val="nil"/>
              <w:right w:val="nil"/>
            </w:tcBorders>
            <w:shd w:val="clear" w:color="auto" w:fill="auto"/>
            <w:vAlign w:val="center"/>
            <w:hideMark/>
          </w:tcPr>
          <w:p w14:paraId="13CA24DA"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0.015</w:t>
            </w:r>
          </w:p>
        </w:tc>
        <w:tc>
          <w:tcPr>
            <w:tcW w:w="1460" w:type="dxa"/>
            <w:tcBorders>
              <w:top w:val="nil"/>
              <w:left w:val="nil"/>
              <w:bottom w:val="nil"/>
              <w:right w:val="nil"/>
            </w:tcBorders>
            <w:shd w:val="clear" w:color="auto" w:fill="auto"/>
            <w:vAlign w:val="center"/>
            <w:hideMark/>
          </w:tcPr>
          <w:p w14:paraId="4CF474EB"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-0.131***</w:t>
            </w:r>
          </w:p>
        </w:tc>
      </w:tr>
      <w:tr w:rsidR="00624EE6" w:rsidRPr="0073248E" w14:paraId="38C4456F" w14:textId="77777777" w:rsidTr="005E7AC2">
        <w:trPr>
          <w:trHeight w:val="199"/>
          <w:jc w:val="center"/>
        </w:trPr>
        <w:tc>
          <w:tcPr>
            <w:tcW w:w="2740" w:type="dxa"/>
            <w:tcBorders>
              <w:top w:val="nil"/>
              <w:left w:val="nil"/>
              <w:bottom w:val="nil"/>
              <w:right w:val="nil"/>
            </w:tcBorders>
            <w:shd w:val="clear" w:color="auto" w:fill="auto"/>
            <w:vAlign w:val="center"/>
            <w:hideMark/>
          </w:tcPr>
          <w:p w14:paraId="10FFFAA5"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vAlign w:val="center"/>
            <w:hideMark/>
          </w:tcPr>
          <w:p w14:paraId="473F3F0B"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60625E30"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53B668EC" w14:textId="77777777" w:rsidTr="005E7AC2">
        <w:trPr>
          <w:trHeight w:val="630"/>
          <w:jc w:val="center"/>
        </w:trPr>
        <w:tc>
          <w:tcPr>
            <w:tcW w:w="2740" w:type="dxa"/>
            <w:tcBorders>
              <w:top w:val="nil"/>
              <w:left w:val="nil"/>
              <w:bottom w:val="nil"/>
              <w:right w:val="nil"/>
            </w:tcBorders>
            <w:shd w:val="clear" w:color="auto" w:fill="auto"/>
            <w:vAlign w:val="center"/>
            <w:hideMark/>
          </w:tcPr>
          <w:p w14:paraId="5CA87FAD" w14:textId="77777777" w:rsidR="00624EE6" w:rsidRPr="0073248E" w:rsidRDefault="00624EE6" w:rsidP="005E7AC2">
            <w:pPr>
              <w:spacing w:after="0" w:line="240" w:lineRule="auto"/>
              <w:rPr>
                <w:rFonts w:ascii="Times New Roman" w:eastAsia="Times New Roman" w:hAnsi="Times New Roman" w:cs="Times New Roman"/>
                <w:b/>
                <w:bCs/>
                <w:color w:val="000000"/>
                <w:sz w:val="24"/>
                <w:szCs w:val="24"/>
              </w:rPr>
            </w:pPr>
            <w:r w:rsidRPr="0073248E">
              <w:rPr>
                <w:rFonts w:ascii="Times New Roman" w:eastAsia="Times New Roman" w:hAnsi="Times New Roman" w:cs="Times New Roman"/>
                <w:b/>
                <w:bCs/>
                <w:color w:val="000000"/>
                <w:sz w:val="24"/>
                <w:szCs w:val="24"/>
              </w:rPr>
              <w:t>Disclosure Quality</w:t>
            </w:r>
            <w:r w:rsidRPr="0073248E">
              <w:rPr>
                <w:rFonts w:ascii="Times New Roman" w:eastAsia="Times New Roman" w:hAnsi="Times New Roman" w:cs="Times New Roman"/>
                <w:b/>
                <w:bCs/>
                <w:color w:val="000000"/>
                <w:sz w:val="24"/>
                <w:szCs w:val="24"/>
              </w:rPr>
              <w:br/>
              <w:t>Chen, Miao, Shevlin 2015</w:t>
            </w:r>
          </w:p>
        </w:tc>
        <w:tc>
          <w:tcPr>
            <w:tcW w:w="1240" w:type="dxa"/>
            <w:tcBorders>
              <w:top w:val="nil"/>
              <w:left w:val="nil"/>
              <w:bottom w:val="nil"/>
              <w:right w:val="nil"/>
            </w:tcBorders>
            <w:shd w:val="clear" w:color="auto" w:fill="auto"/>
            <w:vAlign w:val="center"/>
            <w:hideMark/>
          </w:tcPr>
          <w:p w14:paraId="4736ED35"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r w:rsidRPr="0073248E">
              <w:rPr>
                <w:rFonts w:ascii="Times New Roman" w:eastAsia="Times New Roman" w:hAnsi="Times New Roman" w:cs="Times New Roman"/>
                <w:b/>
                <w:bCs/>
                <w:color w:val="000000"/>
                <w:sz w:val="24"/>
                <w:szCs w:val="24"/>
              </w:rPr>
              <w:t>-0.004</w:t>
            </w:r>
          </w:p>
        </w:tc>
        <w:tc>
          <w:tcPr>
            <w:tcW w:w="1460" w:type="dxa"/>
            <w:tcBorders>
              <w:top w:val="nil"/>
              <w:left w:val="nil"/>
              <w:bottom w:val="nil"/>
              <w:right w:val="nil"/>
            </w:tcBorders>
            <w:shd w:val="clear" w:color="auto" w:fill="auto"/>
            <w:vAlign w:val="center"/>
            <w:hideMark/>
          </w:tcPr>
          <w:p w14:paraId="2136F089"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r w:rsidRPr="0073248E">
              <w:rPr>
                <w:rFonts w:ascii="Times New Roman" w:eastAsia="Times New Roman" w:hAnsi="Times New Roman" w:cs="Times New Roman"/>
                <w:b/>
                <w:bCs/>
                <w:color w:val="000000"/>
                <w:sz w:val="24"/>
                <w:szCs w:val="24"/>
              </w:rPr>
              <w:t>0.124</w:t>
            </w:r>
          </w:p>
        </w:tc>
      </w:tr>
      <w:tr w:rsidR="00624EE6" w:rsidRPr="0073248E" w14:paraId="7F4E21B0" w14:textId="77777777" w:rsidTr="005E7AC2">
        <w:trPr>
          <w:trHeight w:val="199"/>
          <w:jc w:val="center"/>
        </w:trPr>
        <w:tc>
          <w:tcPr>
            <w:tcW w:w="2740" w:type="dxa"/>
            <w:tcBorders>
              <w:top w:val="nil"/>
              <w:left w:val="nil"/>
              <w:bottom w:val="nil"/>
              <w:right w:val="nil"/>
            </w:tcBorders>
            <w:shd w:val="clear" w:color="auto" w:fill="auto"/>
            <w:vAlign w:val="center"/>
            <w:hideMark/>
          </w:tcPr>
          <w:p w14:paraId="17E40592" w14:textId="77777777" w:rsidR="00624EE6" w:rsidRPr="0073248E" w:rsidRDefault="00624EE6" w:rsidP="005E7AC2">
            <w:pPr>
              <w:spacing w:after="0" w:line="240" w:lineRule="auto"/>
              <w:jc w:val="center"/>
              <w:rPr>
                <w:rFonts w:ascii="Times New Roman" w:eastAsia="Times New Roman" w:hAnsi="Times New Roman" w:cs="Times New Roman"/>
                <w:b/>
                <w:bCs/>
                <w:color w:val="000000"/>
                <w:sz w:val="24"/>
                <w:szCs w:val="24"/>
              </w:rPr>
            </w:pPr>
          </w:p>
        </w:tc>
        <w:tc>
          <w:tcPr>
            <w:tcW w:w="1240" w:type="dxa"/>
            <w:tcBorders>
              <w:top w:val="nil"/>
              <w:left w:val="nil"/>
              <w:bottom w:val="nil"/>
              <w:right w:val="nil"/>
            </w:tcBorders>
            <w:shd w:val="clear" w:color="auto" w:fill="auto"/>
            <w:vAlign w:val="center"/>
            <w:hideMark/>
          </w:tcPr>
          <w:p w14:paraId="21B671BB"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6F35D58B"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6331D512" w14:textId="77777777" w:rsidTr="005E7AC2">
        <w:trPr>
          <w:trHeight w:val="315"/>
          <w:jc w:val="center"/>
        </w:trPr>
        <w:tc>
          <w:tcPr>
            <w:tcW w:w="2740" w:type="dxa"/>
            <w:tcBorders>
              <w:top w:val="nil"/>
              <w:left w:val="nil"/>
              <w:bottom w:val="nil"/>
              <w:right w:val="nil"/>
            </w:tcBorders>
            <w:shd w:val="clear" w:color="auto" w:fill="auto"/>
            <w:vAlign w:val="center"/>
            <w:hideMark/>
          </w:tcPr>
          <w:p w14:paraId="736F683A"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UTB</w:t>
            </w:r>
          </w:p>
        </w:tc>
        <w:tc>
          <w:tcPr>
            <w:tcW w:w="1240" w:type="dxa"/>
            <w:tcBorders>
              <w:top w:val="nil"/>
              <w:left w:val="nil"/>
              <w:bottom w:val="nil"/>
              <w:right w:val="nil"/>
            </w:tcBorders>
            <w:shd w:val="clear" w:color="auto" w:fill="auto"/>
            <w:vAlign w:val="center"/>
            <w:hideMark/>
          </w:tcPr>
          <w:p w14:paraId="13FE6CB0"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-0.005</w:t>
            </w:r>
          </w:p>
        </w:tc>
        <w:tc>
          <w:tcPr>
            <w:tcW w:w="1460" w:type="dxa"/>
            <w:tcBorders>
              <w:top w:val="nil"/>
              <w:left w:val="nil"/>
              <w:bottom w:val="nil"/>
              <w:right w:val="nil"/>
            </w:tcBorders>
            <w:shd w:val="clear" w:color="auto" w:fill="auto"/>
            <w:vAlign w:val="center"/>
            <w:hideMark/>
          </w:tcPr>
          <w:p w14:paraId="229C59E8"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-0.058</w:t>
            </w:r>
          </w:p>
        </w:tc>
      </w:tr>
      <w:tr w:rsidR="00624EE6" w:rsidRPr="0073248E" w14:paraId="2E5BE90A" w14:textId="77777777" w:rsidTr="005E7AC2">
        <w:trPr>
          <w:trHeight w:val="199"/>
          <w:jc w:val="center"/>
        </w:trPr>
        <w:tc>
          <w:tcPr>
            <w:tcW w:w="2740" w:type="dxa"/>
            <w:tcBorders>
              <w:top w:val="nil"/>
              <w:left w:val="nil"/>
              <w:bottom w:val="nil"/>
              <w:right w:val="nil"/>
            </w:tcBorders>
            <w:shd w:val="clear" w:color="auto" w:fill="auto"/>
            <w:vAlign w:val="center"/>
            <w:hideMark/>
          </w:tcPr>
          <w:p w14:paraId="09C811CC"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vAlign w:val="center"/>
            <w:hideMark/>
          </w:tcPr>
          <w:p w14:paraId="5B5F750E"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781A91E5"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19727E66" w14:textId="77777777" w:rsidTr="005E7AC2">
        <w:trPr>
          <w:trHeight w:val="315"/>
          <w:jc w:val="center"/>
        </w:trPr>
        <w:tc>
          <w:tcPr>
            <w:tcW w:w="2740" w:type="dxa"/>
            <w:tcBorders>
              <w:top w:val="nil"/>
              <w:left w:val="nil"/>
              <w:bottom w:val="nil"/>
              <w:right w:val="nil"/>
            </w:tcBorders>
            <w:shd w:val="clear" w:color="auto" w:fill="auto"/>
            <w:vAlign w:val="center"/>
            <w:hideMark/>
          </w:tcPr>
          <w:p w14:paraId="1707FF60" w14:textId="77777777" w:rsidR="00624EE6" w:rsidRPr="0073248E" w:rsidRDefault="00624EE6" w:rsidP="005E7AC2">
            <w:pPr>
              <w:spacing w:after="0" w:line="240" w:lineRule="auto"/>
              <w:rPr>
                <w:rFonts w:ascii="Times New Roman" w:eastAsia="Times New Roman" w:hAnsi="Times New Roman" w:cs="Times New Roman"/>
                <w:color w:val="000000"/>
              </w:rPr>
            </w:pPr>
            <w:r w:rsidRPr="0073248E">
              <w:rPr>
                <w:rFonts w:ascii="Times New Roman" w:eastAsia="Times New Roman" w:hAnsi="Times New Roman" w:cs="Times New Roman"/>
                <w:color w:val="000000"/>
              </w:rPr>
              <w:t>CONTROLS</w:t>
            </w:r>
          </w:p>
        </w:tc>
        <w:tc>
          <w:tcPr>
            <w:tcW w:w="1240" w:type="dxa"/>
            <w:tcBorders>
              <w:top w:val="nil"/>
              <w:left w:val="nil"/>
              <w:bottom w:val="nil"/>
              <w:right w:val="nil"/>
            </w:tcBorders>
            <w:shd w:val="clear" w:color="auto" w:fill="auto"/>
            <w:vAlign w:val="center"/>
            <w:hideMark/>
          </w:tcPr>
          <w:p w14:paraId="28DCB814"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YES</w:t>
            </w:r>
          </w:p>
        </w:tc>
        <w:tc>
          <w:tcPr>
            <w:tcW w:w="1460" w:type="dxa"/>
            <w:tcBorders>
              <w:top w:val="nil"/>
              <w:left w:val="nil"/>
              <w:bottom w:val="nil"/>
              <w:right w:val="nil"/>
            </w:tcBorders>
            <w:shd w:val="clear" w:color="auto" w:fill="auto"/>
            <w:vAlign w:val="center"/>
            <w:hideMark/>
          </w:tcPr>
          <w:p w14:paraId="368EA591"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YES</w:t>
            </w:r>
          </w:p>
        </w:tc>
      </w:tr>
      <w:tr w:rsidR="00624EE6" w:rsidRPr="0073248E" w14:paraId="575B7F68" w14:textId="77777777" w:rsidTr="005E7AC2">
        <w:trPr>
          <w:trHeight w:val="199"/>
          <w:jc w:val="center"/>
        </w:trPr>
        <w:tc>
          <w:tcPr>
            <w:tcW w:w="2740" w:type="dxa"/>
            <w:tcBorders>
              <w:top w:val="nil"/>
              <w:left w:val="nil"/>
              <w:bottom w:val="nil"/>
              <w:right w:val="nil"/>
            </w:tcBorders>
            <w:shd w:val="clear" w:color="auto" w:fill="auto"/>
            <w:vAlign w:val="center"/>
            <w:hideMark/>
          </w:tcPr>
          <w:p w14:paraId="5867D6E9"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vAlign w:val="center"/>
            <w:hideMark/>
          </w:tcPr>
          <w:p w14:paraId="22AC89E7"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503333EA"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6C289563" w14:textId="77777777" w:rsidTr="005E7AC2">
        <w:trPr>
          <w:trHeight w:val="315"/>
          <w:jc w:val="center"/>
        </w:trPr>
        <w:tc>
          <w:tcPr>
            <w:tcW w:w="2740" w:type="dxa"/>
            <w:tcBorders>
              <w:top w:val="nil"/>
              <w:left w:val="nil"/>
              <w:bottom w:val="nil"/>
              <w:right w:val="nil"/>
            </w:tcBorders>
            <w:shd w:val="clear" w:color="auto" w:fill="auto"/>
            <w:vAlign w:val="center"/>
            <w:hideMark/>
          </w:tcPr>
          <w:p w14:paraId="6C33AC18"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Firm Fixed Effects</w:t>
            </w:r>
          </w:p>
        </w:tc>
        <w:tc>
          <w:tcPr>
            <w:tcW w:w="1240" w:type="dxa"/>
            <w:tcBorders>
              <w:top w:val="nil"/>
              <w:left w:val="nil"/>
              <w:bottom w:val="nil"/>
              <w:right w:val="nil"/>
            </w:tcBorders>
            <w:shd w:val="clear" w:color="auto" w:fill="auto"/>
            <w:vAlign w:val="center"/>
            <w:hideMark/>
          </w:tcPr>
          <w:p w14:paraId="155E0377"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YES</w:t>
            </w:r>
          </w:p>
        </w:tc>
        <w:tc>
          <w:tcPr>
            <w:tcW w:w="1460" w:type="dxa"/>
            <w:tcBorders>
              <w:top w:val="nil"/>
              <w:left w:val="nil"/>
              <w:bottom w:val="nil"/>
              <w:right w:val="nil"/>
            </w:tcBorders>
            <w:shd w:val="clear" w:color="auto" w:fill="auto"/>
            <w:vAlign w:val="center"/>
            <w:hideMark/>
          </w:tcPr>
          <w:p w14:paraId="52B7B1B0"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YES</w:t>
            </w:r>
          </w:p>
        </w:tc>
      </w:tr>
      <w:tr w:rsidR="00624EE6" w:rsidRPr="0073248E" w14:paraId="1AD1BEE1" w14:textId="77777777" w:rsidTr="005E7AC2">
        <w:trPr>
          <w:trHeight w:val="315"/>
          <w:jc w:val="center"/>
        </w:trPr>
        <w:tc>
          <w:tcPr>
            <w:tcW w:w="2740" w:type="dxa"/>
            <w:tcBorders>
              <w:top w:val="nil"/>
              <w:left w:val="nil"/>
              <w:bottom w:val="nil"/>
              <w:right w:val="nil"/>
            </w:tcBorders>
            <w:shd w:val="clear" w:color="auto" w:fill="auto"/>
            <w:vAlign w:val="center"/>
            <w:hideMark/>
          </w:tcPr>
          <w:p w14:paraId="6BF7D8BE"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vAlign w:val="center"/>
            <w:hideMark/>
          </w:tcPr>
          <w:p w14:paraId="1E42F2E0" w14:textId="77777777" w:rsidR="00624EE6" w:rsidRPr="0073248E" w:rsidRDefault="00624EE6" w:rsidP="005E7AC2">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vAlign w:val="center"/>
            <w:hideMark/>
          </w:tcPr>
          <w:p w14:paraId="096C4CFA" w14:textId="77777777" w:rsidR="00624EE6" w:rsidRPr="0073248E" w:rsidRDefault="00624EE6" w:rsidP="005E7AC2">
            <w:pPr>
              <w:spacing w:after="0" w:line="240" w:lineRule="auto"/>
              <w:jc w:val="center"/>
              <w:rPr>
                <w:rFonts w:ascii="Times New Roman" w:eastAsia="Times New Roman" w:hAnsi="Times New Roman" w:cs="Times New Roman"/>
                <w:sz w:val="20"/>
                <w:szCs w:val="20"/>
              </w:rPr>
            </w:pPr>
          </w:p>
        </w:tc>
      </w:tr>
      <w:tr w:rsidR="00624EE6" w:rsidRPr="0073248E" w14:paraId="6BB23CF4" w14:textId="77777777" w:rsidTr="005E7AC2">
        <w:trPr>
          <w:trHeight w:val="315"/>
          <w:jc w:val="center"/>
        </w:trPr>
        <w:tc>
          <w:tcPr>
            <w:tcW w:w="2740" w:type="dxa"/>
            <w:tcBorders>
              <w:top w:val="nil"/>
              <w:left w:val="nil"/>
              <w:bottom w:val="nil"/>
              <w:right w:val="nil"/>
            </w:tcBorders>
            <w:shd w:val="clear" w:color="auto" w:fill="auto"/>
            <w:vAlign w:val="center"/>
            <w:hideMark/>
          </w:tcPr>
          <w:p w14:paraId="7B949015"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N</w:t>
            </w:r>
          </w:p>
        </w:tc>
        <w:tc>
          <w:tcPr>
            <w:tcW w:w="1240" w:type="dxa"/>
            <w:tcBorders>
              <w:top w:val="nil"/>
              <w:left w:val="nil"/>
              <w:bottom w:val="nil"/>
              <w:right w:val="nil"/>
            </w:tcBorders>
            <w:shd w:val="clear" w:color="auto" w:fill="auto"/>
            <w:vAlign w:val="center"/>
            <w:hideMark/>
          </w:tcPr>
          <w:p w14:paraId="0D686760"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1,122</w:t>
            </w:r>
          </w:p>
        </w:tc>
        <w:tc>
          <w:tcPr>
            <w:tcW w:w="1460" w:type="dxa"/>
            <w:tcBorders>
              <w:top w:val="nil"/>
              <w:left w:val="nil"/>
              <w:bottom w:val="nil"/>
              <w:right w:val="nil"/>
            </w:tcBorders>
            <w:shd w:val="clear" w:color="auto" w:fill="auto"/>
            <w:vAlign w:val="center"/>
            <w:hideMark/>
          </w:tcPr>
          <w:p w14:paraId="79527728"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892</w:t>
            </w:r>
          </w:p>
        </w:tc>
      </w:tr>
      <w:tr w:rsidR="00624EE6" w:rsidRPr="0073248E" w14:paraId="09734C59" w14:textId="77777777" w:rsidTr="005E7AC2">
        <w:trPr>
          <w:trHeight w:val="330"/>
          <w:jc w:val="center"/>
        </w:trPr>
        <w:tc>
          <w:tcPr>
            <w:tcW w:w="2740" w:type="dxa"/>
            <w:tcBorders>
              <w:top w:val="nil"/>
              <w:left w:val="nil"/>
              <w:bottom w:val="single" w:sz="8" w:space="0" w:color="auto"/>
              <w:right w:val="nil"/>
            </w:tcBorders>
            <w:shd w:val="clear" w:color="auto" w:fill="auto"/>
            <w:vAlign w:val="center"/>
            <w:hideMark/>
          </w:tcPr>
          <w:p w14:paraId="2FD94D8F" w14:textId="77777777" w:rsidR="00624EE6" w:rsidRPr="0073248E" w:rsidRDefault="00624EE6" w:rsidP="005E7AC2">
            <w:pPr>
              <w:spacing w:after="0" w:line="240" w:lineRule="auto"/>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Firms</w:t>
            </w:r>
          </w:p>
        </w:tc>
        <w:tc>
          <w:tcPr>
            <w:tcW w:w="1240" w:type="dxa"/>
            <w:tcBorders>
              <w:top w:val="nil"/>
              <w:left w:val="nil"/>
              <w:bottom w:val="single" w:sz="8" w:space="0" w:color="auto"/>
              <w:right w:val="nil"/>
            </w:tcBorders>
            <w:shd w:val="clear" w:color="auto" w:fill="auto"/>
            <w:vAlign w:val="center"/>
            <w:hideMark/>
          </w:tcPr>
          <w:p w14:paraId="3E813699"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561</w:t>
            </w:r>
          </w:p>
        </w:tc>
        <w:tc>
          <w:tcPr>
            <w:tcW w:w="1460" w:type="dxa"/>
            <w:tcBorders>
              <w:top w:val="nil"/>
              <w:left w:val="nil"/>
              <w:bottom w:val="single" w:sz="8" w:space="0" w:color="auto"/>
              <w:right w:val="nil"/>
            </w:tcBorders>
            <w:shd w:val="clear" w:color="auto" w:fill="auto"/>
            <w:vAlign w:val="center"/>
            <w:hideMark/>
          </w:tcPr>
          <w:p w14:paraId="7E1868A4" w14:textId="77777777" w:rsidR="00624EE6" w:rsidRPr="0073248E" w:rsidRDefault="00624EE6" w:rsidP="005E7AC2">
            <w:pPr>
              <w:spacing w:after="0" w:line="240" w:lineRule="auto"/>
              <w:jc w:val="center"/>
              <w:rPr>
                <w:rFonts w:ascii="Times New Roman" w:eastAsia="Times New Roman" w:hAnsi="Times New Roman" w:cs="Times New Roman"/>
                <w:color w:val="000000"/>
                <w:sz w:val="24"/>
                <w:szCs w:val="24"/>
              </w:rPr>
            </w:pPr>
            <w:r w:rsidRPr="0073248E">
              <w:rPr>
                <w:rFonts w:ascii="Times New Roman" w:eastAsia="Times New Roman" w:hAnsi="Times New Roman" w:cs="Times New Roman"/>
                <w:color w:val="000000"/>
                <w:sz w:val="24"/>
                <w:szCs w:val="24"/>
              </w:rPr>
              <w:t>446</w:t>
            </w:r>
          </w:p>
        </w:tc>
      </w:tr>
    </w:tbl>
    <w:p w14:paraId="2744B40C" w14:textId="77777777" w:rsidR="00624EE6" w:rsidRPr="0022371D" w:rsidRDefault="00624EE6" w:rsidP="00624EE6">
      <w:pPr>
        <w:widowControl w:val="0"/>
        <w:tabs>
          <w:tab w:val="left" w:pos="5400"/>
        </w:tabs>
        <w:autoSpaceDE w:val="0"/>
        <w:autoSpaceDN w:val="0"/>
        <w:adjustRightInd w:val="0"/>
        <w:spacing w:after="0" w:line="240" w:lineRule="auto"/>
        <w:jc w:val="both"/>
        <w:rPr>
          <w:rFonts w:ascii="Times New Roman" w:hAnsi="Times New Roman" w:cs="Times New Roman"/>
          <w:sz w:val="20"/>
          <w:szCs w:val="20"/>
        </w:rPr>
      </w:pPr>
      <w:r w:rsidRPr="00331E66">
        <w:rPr>
          <w:rFonts w:ascii="Times New Roman" w:hAnsi="Times New Roman" w:cs="Times New Roman"/>
          <w:sz w:val="20"/>
          <w:szCs w:val="16"/>
        </w:rPr>
        <w:t xml:space="preserve">*, **, *** denote signiﬁcance at </w:t>
      </w:r>
      <w:r w:rsidRPr="0022371D">
        <w:rPr>
          <w:rFonts w:ascii="Times New Roman" w:hAnsi="Times New Roman" w:cs="Times New Roman"/>
          <w:sz w:val="20"/>
          <w:szCs w:val="20"/>
        </w:rPr>
        <w:t xml:space="preserve">the 0.10, 0.05, and 0.01 (two-tailed) levels, respectively. This table presents the results of Poisson regressions (robust standard errors in parentheses in the second row).  Table </w:t>
      </w:r>
      <w:r>
        <w:rPr>
          <w:rFonts w:ascii="Times New Roman" w:hAnsi="Times New Roman" w:cs="Times New Roman"/>
          <w:sz w:val="20"/>
          <w:szCs w:val="20"/>
        </w:rPr>
        <w:t>9</w:t>
      </w:r>
      <w:r w:rsidRPr="0022371D">
        <w:rPr>
          <w:rFonts w:ascii="Times New Roman" w:hAnsi="Times New Roman" w:cs="Times New Roman"/>
          <w:sz w:val="20"/>
          <w:szCs w:val="20"/>
        </w:rPr>
        <w:t xml:space="preserve"> presents the model from Table 5 with an additional control for overall disclosure quality from Chen, Miao and Shevlin 2015.</w:t>
      </w:r>
    </w:p>
    <w:p w14:paraId="122B7B1D" w14:textId="77777777" w:rsidR="00C00E52" w:rsidRDefault="00C00E52">
      <w:pPr>
        <w:rPr>
          <w:rFonts w:ascii="Times New Roman" w:hAnsi="Times New Roman" w:cs="Times New Roman"/>
          <w:b/>
          <w:sz w:val="24"/>
          <w:szCs w:val="24"/>
        </w:rPr>
      </w:pPr>
      <w:r>
        <w:rPr>
          <w:rFonts w:ascii="Times New Roman" w:hAnsi="Times New Roman" w:cs="Times New Roman"/>
          <w:b/>
          <w:sz w:val="24"/>
          <w:szCs w:val="24"/>
        </w:rPr>
        <w:br w:type="page"/>
      </w:r>
    </w:p>
    <w:p w14:paraId="3F30093B" w14:textId="0C5E212D" w:rsidR="008D566E" w:rsidRDefault="00DB52C1" w:rsidP="00DB52C1">
      <w:pPr>
        <w:jc w:val="center"/>
        <w:rPr>
          <w:rFonts w:ascii="Times New Roman" w:hAnsi="Times New Roman" w:cs="Times New Roman"/>
          <w:b/>
          <w:sz w:val="24"/>
          <w:szCs w:val="24"/>
        </w:rPr>
      </w:pPr>
      <w:r w:rsidRPr="00DB52C1">
        <w:rPr>
          <w:rFonts w:ascii="Times New Roman" w:hAnsi="Times New Roman" w:cs="Times New Roman"/>
          <w:b/>
          <w:sz w:val="24"/>
          <w:szCs w:val="24"/>
        </w:rPr>
        <w:t>Vita</w:t>
      </w:r>
    </w:p>
    <w:p w14:paraId="3909C2D2" w14:textId="0C6F8429" w:rsidR="00DB52C1" w:rsidRDefault="00DB52C1" w:rsidP="000232FC">
      <w:pPr>
        <w:jc w:val="both"/>
        <w:rPr>
          <w:rFonts w:ascii="Times New Roman" w:hAnsi="Times New Roman" w:cs="Times New Roman"/>
          <w:sz w:val="24"/>
          <w:szCs w:val="24"/>
        </w:rPr>
      </w:pPr>
      <w:r>
        <w:rPr>
          <w:rFonts w:ascii="Times New Roman" w:hAnsi="Times New Roman" w:cs="Times New Roman"/>
          <w:b/>
          <w:sz w:val="24"/>
          <w:szCs w:val="24"/>
        </w:rPr>
        <w:tab/>
      </w:r>
      <w:r w:rsidR="0084411D">
        <w:rPr>
          <w:rFonts w:ascii="Times New Roman" w:hAnsi="Times New Roman" w:cs="Times New Roman"/>
          <w:sz w:val="24"/>
          <w:szCs w:val="24"/>
        </w:rPr>
        <w:t xml:space="preserve">Dr. </w:t>
      </w:r>
      <w:proofErr w:type="spellStart"/>
      <w:r w:rsidR="0084411D">
        <w:rPr>
          <w:rFonts w:ascii="Times New Roman" w:hAnsi="Times New Roman" w:cs="Times New Roman"/>
          <w:sz w:val="24"/>
          <w:szCs w:val="24"/>
        </w:rPr>
        <w:t>Larzette</w:t>
      </w:r>
      <w:proofErr w:type="spellEnd"/>
      <w:r w:rsidR="0084411D">
        <w:rPr>
          <w:rFonts w:ascii="Times New Roman" w:hAnsi="Times New Roman" w:cs="Times New Roman"/>
          <w:sz w:val="24"/>
          <w:szCs w:val="24"/>
        </w:rPr>
        <w:t xml:space="preserve"> Hale, CPA was t</w:t>
      </w:r>
      <w:r>
        <w:rPr>
          <w:rFonts w:ascii="Times New Roman" w:hAnsi="Times New Roman" w:cs="Times New Roman"/>
          <w:sz w:val="24"/>
          <w:szCs w:val="24"/>
        </w:rPr>
        <w:t>he first African American woman to re</w:t>
      </w:r>
      <w:r w:rsidR="0084411D">
        <w:rPr>
          <w:rFonts w:ascii="Times New Roman" w:hAnsi="Times New Roman" w:cs="Times New Roman"/>
          <w:sz w:val="24"/>
          <w:szCs w:val="24"/>
        </w:rPr>
        <w:t xml:space="preserve">ceive her PhD in Accounting </w:t>
      </w:r>
      <w:r>
        <w:rPr>
          <w:rFonts w:ascii="Times New Roman" w:hAnsi="Times New Roman" w:cs="Times New Roman"/>
          <w:sz w:val="24"/>
          <w:szCs w:val="24"/>
        </w:rPr>
        <w:t xml:space="preserve">in 1955 from the University of Wisconsin.  In May of 2017, </w:t>
      </w:r>
      <w:r w:rsidR="00254144">
        <w:rPr>
          <w:rFonts w:ascii="Times New Roman" w:hAnsi="Times New Roman" w:cs="Times New Roman"/>
          <w:sz w:val="24"/>
          <w:szCs w:val="24"/>
        </w:rPr>
        <w:t>Michelle Harding will</w:t>
      </w:r>
      <w:r>
        <w:rPr>
          <w:rFonts w:ascii="Times New Roman" w:hAnsi="Times New Roman" w:cs="Times New Roman"/>
          <w:sz w:val="24"/>
          <w:szCs w:val="24"/>
        </w:rPr>
        <w:t xml:space="preserve"> become the first African American female to graduate with a PhD in Accounting from the University of Tennessee, Knoxville.  </w:t>
      </w:r>
      <w:r w:rsidR="00254144">
        <w:rPr>
          <w:rFonts w:ascii="Times New Roman" w:hAnsi="Times New Roman" w:cs="Times New Roman"/>
          <w:sz w:val="24"/>
          <w:szCs w:val="24"/>
        </w:rPr>
        <w:t xml:space="preserve">Michelle is </w:t>
      </w:r>
      <w:r>
        <w:rPr>
          <w:rFonts w:ascii="Times New Roman" w:hAnsi="Times New Roman" w:cs="Times New Roman"/>
          <w:sz w:val="24"/>
          <w:szCs w:val="24"/>
        </w:rPr>
        <w:t>tremendously grateful to Dr. Hale and all of the other trailbl</w:t>
      </w:r>
      <w:r w:rsidR="00254144">
        <w:rPr>
          <w:rFonts w:ascii="Times New Roman" w:hAnsi="Times New Roman" w:cs="Times New Roman"/>
          <w:sz w:val="24"/>
          <w:szCs w:val="24"/>
        </w:rPr>
        <w:t>azers who made her</w:t>
      </w:r>
      <w:r>
        <w:rPr>
          <w:rFonts w:ascii="Times New Roman" w:hAnsi="Times New Roman" w:cs="Times New Roman"/>
          <w:sz w:val="24"/>
          <w:szCs w:val="24"/>
        </w:rPr>
        <w:t xml:space="preserve"> academic journey possible.  </w:t>
      </w:r>
    </w:p>
    <w:p w14:paraId="0A04E9FC" w14:textId="0E63364F" w:rsidR="004F5B19" w:rsidRDefault="004F5B19" w:rsidP="000232FC">
      <w:pPr>
        <w:jc w:val="both"/>
        <w:rPr>
          <w:rFonts w:ascii="Times New Roman" w:hAnsi="Times New Roman" w:cs="Times New Roman"/>
          <w:sz w:val="24"/>
          <w:szCs w:val="24"/>
        </w:rPr>
      </w:pPr>
      <w:r>
        <w:rPr>
          <w:rFonts w:ascii="Times New Roman" w:hAnsi="Times New Roman" w:cs="Times New Roman"/>
          <w:sz w:val="24"/>
          <w:szCs w:val="24"/>
        </w:rPr>
        <w:tab/>
      </w:r>
      <w:r w:rsidR="00254144">
        <w:rPr>
          <w:rFonts w:ascii="Times New Roman" w:hAnsi="Times New Roman" w:cs="Times New Roman"/>
          <w:sz w:val="24"/>
          <w:szCs w:val="24"/>
        </w:rPr>
        <w:t>During her</w:t>
      </w:r>
      <w:r>
        <w:rPr>
          <w:rFonts w:ascii="Times New Roman" w:hAnsi="Times New Roman" w:cs="Times New Roman"/>
          <w:sz w:val="24"/>
          <w:szCs w:val="24"/>
        </w:rPr>
        <w:t xml:space="preserve"> time at the University of Tennessee, </w:t>
      </w:r>
      <w:r w:rsidR="00254144">
        <w:rPr>
          <w:rFonts w:ascii="Times New Roman" w:hAnsi="Times New Roman" w:cs="Times New Roman"/>
          <w:sz w:val="24"/>
          <w:szCs w:val="24"/>
        </w:rPr>
        <w:t>she</w:t>
      </w:r>
      <w:r>
        <w:rPr>
          <w:rFonts w:ascii="Times New Roman" w:hAnsi="Times New Roman" w:cs="Times New Roman"/>
          <w:sz w:val="24"/>
          <w:szCs w:val="24"/>
        </w:rPr>
        <w:t xml:space="preserve"> witnessed the defunding of the Office of Diversity and Inclusion.  It was a heartbreaking experience as a student of color to see the University’s inability to effectively advocate for the importance of diversity.  The lack of African American and Hispanic faculty across campus contributes to the lack of diverse graduate students.  It is</w:t>
      </w:r>
      <w:r w:rsidR="00254144">
        <w:rPr>
          <w:rFonts w:ascii="Times New Roman" w:hAnsi="Times New Roman" w:cs="Times New Roman"/>
          <w:sz w:val="24"/>
          <w:szCs w:val="24"/>
        </w:rPr>
        <w:t xml:space="preserve"> Dr. Harding’s</w:t>
      </w:r>
      <w:r>
        <w:rPr>
          <w:rFonts w:ascii="Times New Roman" w:hAnsi="Times New Roman" w:cs="Times New Roman"/>
          <w:sz w:val="24"/>
          <w:szCs w:val="24"/>
        </w:rPr>
        <w:t xml:space="preserve"> hope that as </w:t>
      </w:r>
      <w:r w:rsidR="00254144">
        <w:rPr>
          <w:rFonts w:ascii="Times New Roman" w:hAnsi="Times New Roman" w:cs="Times New Roman"/>
          <w:sz w:val="24"/>
          <w:szCs w:val="24"/>
        </w:rPr>
        <w:t>she</w:t>
      </w:r>
      <w:r>
        <w:rPr>
          <w:rFonts w:ascii="Times New Roman" w:hAnsi="Times New Roman" w:cs="Times New Roman"/>
          <w:sz w:val="24"/>
          <w:szCs w:val="24"/>
        </w:rPr>
        <w:t xml:space="preserve"> enter</w:t>
      </w:r>
      <w:r w:rsidR="00254144">
        <w:rPr>
          <w:rFonts w:ascii="Times New Roman" w:hAnsi="Times New Roman" w:cs="Times New Roman"/>
          <w:sz w:val="24"/>
          <w:szCs w:val="24"/>
        </w:rPr>
        <w:t>s</w:t>
      </w:r>
      <w:r>
        <w:rPr>
          <w:rFonts w:ascii="Times New Roman" w:hAnsi="Times New Roman" w:cs="Times New Roman"/>
          <w:sz w:val="24"/>
          <w:szCs w:val="24"/>
        </w:rPr>
        <w:t xml:space="preserve"> the academia, </w:t>
      </w:r>
      <w:r w:rsidR="00254144">
        <w:rPr>
          <w:rFonts w:ascii="Times New Roman" w:hAnsi="Times New Roman" w:cs="Times New Roman"/>
          <w:sz w:val="24"/>
          <w:szCs w:val="24"/>
        </w:rPr>
        <w:t>she</w:t>
      </w:r>
      <w:r>
        <w:rPr>
          <w:rFonts w:ascii="Times New Roman" w:hAnsi="Times New Roman" w:cs="Times New Roman"/>
          <w:sz w:val="24"/>
          <w:szCs w:val="24"/>
        </w:rPr>
        <w:t xml:space="preserve"> </w:t>
      </w:r>
      <w:r w:rsidR="00CA5CE8">
        <w:rPr>
          <w:rFonts w:ascii="Times New Roman" w:hAnsi="Times New Roman" w:cs="Times New Roman"/>
          <w:sz w:val="24"/>
          <w:szCs w:val="24"/>
        </w:rPr>
        <w:t xml:space="preserve">can </w:t>
      </w:r>
      <w:r>
        <w:rPr>
          <w:rFonts w:ascii="Times New Roman" w:hAnsi="Times New Roman" w:cs="Times New Roman"/>
          <w:sz w:val="24"/>
          <w:szCs w:val="24"/>
        </w:rPr>
        <w:t xml:space="preserve">help to bridge this gap.  </w:t>
      </w:r>
      <w:r w:rsidR="00254144">
        <w:rPr>
          <w:rFonts w:ascii="Times New Roman" w:hAnsi="Times New Roman" w:cs="Times New Roman"/>
          <w:sz w:val="24"/>
          <w:szCs w:val="24"/>
        </w:rPr>
        <w:t>She</w:t>
      </w:r>
      <w:r>
        <w:rPr>
          <w:rFonts w:ascii="Times New Roman" w:hAnsi="Times New Roman" w:cs="Times New Roman"/>
          <w:sz w:val="24"/>
          <w:szCs w:val="24"/>
        </w:rPr>
        <w:t xml:space="preserve"> embrace</w:t>
      </w:r>
      <w:r w:rsidR="00254144">
        <w:rPr>
          <w:rFonts w:ascii="Times New Roman" w:hAnsi="Times New Roman" w:cs="Times New Roman"/>
          <w:sz w:val="24"/>
          <w:szCs w:val="24"/>
        </w:rPr>
        <w:t>s</w:t>
      </w:r>
      <w:r>
        <w:rPr>
          <w:rFonts w:ascii="Times New Roman" w:hAnsi="Times New Roman" w:cs="Times New Roman"/>
          <w:sz w:val="24"/>
          <w:szCs w:val="24"/>
        </w:rPr>
        <w:t xml:space="preserve"> the responsibility to be a role model in the classroom for the next generation of accounting and business leaders.  </w:t>
      </w:r>
      <w:r w:rsidR="00CF2E70">
        <w:rPr>
          <w:rFonts w:ascii="Times New Roman" w:hAnsi="Times New Roman" w:cs="Times New Roman"/>
          <w:sz w:val="24"/>
          <w:szCs w:val="24"/>
        </w:rPr>
        <w:t xml:space="preserve">Just as Dr. Hale’s accomplishment 62 </w:t>
      </w:r>
      <w:r w:rsidR="00254144">
        <w:rPr>
          <w:rFonts w:ascii="Times New Roman" w:hAnsi="Times New Roman" w:cs="Times New Roman"/>
          <w:sz w:val="24"/>
          <w:szCs w:val="24"/>
        </w:rPr>
        <w:t>years ago opened the door for Michelle</w:t>
      </w:r>
      <w:r w:rsidR="00CF2E70">
        <w:rPr>
          <w:rFonts w:ascii="Times New Roman" w:hAnsi="Times New Roman" w:cs="Times New Roman"/>
          <w:sz w:val="24"/>
          <w:szCs w:val="24"/>
        </w:rPr>
        <w:t xml:space="preserve"> today, </w:t>
      </w:r>
      <w:r w:rsidR="00254144">
        <w:rPr>
          <w:rFonts w:ascii="Times New Roman" w:hAnsi="Times New Roman" w:cs="Times New Roman"/>
          <w:sz w:val="24"/>
          <w:szCs w:val="24"/>
        </w:rPr>
        <w:t>she</w:t>
      </w:r>
      <w:r w:rsidR="00CF2E70">
        <w:rPr>
          <w:rFonts w:ascii="Times New Roman" w:hAnsi="Times New Roman" w:cs="Times New Roman"/>
          <w:sz w:val="24"/>
          <w:szCs w:val="24"/>
        </w:rPr>
        <w:t xml:space="preserve"> hope</w:t>
      </w:r>
      <w:r w:rsidR="00254144">
        <w:rPr>
          <w:rFonts w:ascii="Times New Roman" w:hAnsi="Times New Roman" w:cs="Times New Roman"/>
          <w:sz w:val="24"/>
          <w:szCs w:val="24"/>
        </w:rPr>
        <w:t>s</w:t>
      </w:r>
      <w:r w:rsidR="00CF2E70">
        <w:rPr>
          <w:rFonts w:ascii="Times New Roman" w:hAnsi="Times New Roman" w:cs="Times New Roman"/>
          <w:sz w:val="24"/>
          <w:szCs w:val="24"/>
        </w:rPr>
        <w:t xml:space="preserve"> to open the door for the next generation of students to pursue careers that they didn’t know were available to them.</w:t>
      </w:r>
    </w:p>
    <w:p w14:paraId="548A7FF1" w14:textId="7F57F7DA" w:rsidR="00DB52C1" w:rsidRDefault="00DB52C1" w:rsidP="000232FC">
      <w:pPr>
        <w:ind w:firstLine="720"/>
        <w:jc w:val="both"/>
        <w:rPr>
          <w:rFonts w:ascii="Times New Roman" w:hAnsi="Times New Roman" w:cs="Times New Roman"/>
          <w:sz w:val="24"/>
          <w:szCs w:val="24"/>
        </w:rPr>
      </w:pPr>
      <w:r>
        <w:rPr>
          <w:rFonts w:ascii="Times New Roman" w:hAnsi="Times New Roman" w:cs="Times New Roman"/>
          <w:sz w:val="24"/>
          <w:szCs w:val="24"/>
        </w:rPr>
        <w:t xml:space="preserve">After more than ten </w:t>
      </w:r>
      <w:r w:rsidR="00121AD5">
        <w:rPr>
          <w:rFonts w:ascii="Times New Roman" w:hAnsi="Times New Roman" w:cs="Times New Roman"/>
          <w:sz w:val="24"/>
          <w:szCs w:val="24"/>
        </w:rPr>
        <w:t xml:space="preserve">years of industry experience and </w:t>
      </w:r>
      <w:r w:rsidR="00CF2E70">
        <w:rPr>
          <w:rFonts w:ascii="Times New Roman" w:hAnsi="Times New Roman" w:cs="Times New Roman"/>
          <w:sz w:val="24"/>
          <w:szCs w:val="24"/>
        </w:rPr>
        <w:t>learning more about pursuing a doctoral degree in accounting through the KPMG PhD Project</w:t>
      </w:r>
      <w:r w:rsidR="00121AD5">
        <w:rPr>
          <w:rFonts w:ascii="Times New Roman" w:hAnsi="Times New Roman" w:cs="Times New Roman"/>
          <w:sz w:val="24"/>
          <w:szCs w:val="24"/>
        </w:rPr>
        <w:t xml:space="preserve"> Conference</w:t>
      </w:r>
      <w:r w:rsidR="00CF2E70">
        <w:rPr>
          <w:rFonts w:ascii="Times New Roman" w:hAnsi="Times New Roman" w:cs="Times New Roman"/>
          <w:sz w:val="24"/>
          <w:szCs w:val="24"/>
        </w:rPr>
        <w:t xml:space="preserve">, </w:t>
      </w:r>
      <w:r w:rsidR="00254144">
        <w:rPr>
          <w:rFonts w:ascii="Times New Roman" w:hAnsi="Times New Roman" w:cs="Times New Roman"/>
          <w:sz w:val="24"/>
          <w:szCs w:val="24"/>
        </w:rPr>
        <w:t>Michelle</w:t>
      </w:r>
      <w:r>
        <w:rPr>
          <w:rFonts w:ascii="Times New Roman" w:hAnsi="Times New Roman" w:cs="Times New Roman"/>
          <w:sz w:val="24"/>
          <w:szCs w:val="24"/>
        </w:rPr>
        <w:t xml:space="preserve"> chose to pursue a career in academia</w:t>
      </w:r>
      <w:r w:rsidR="00254144">
        <w:rPr>
          <w:rFonts w:ascii="Times New Roman" w:hAnsi="Times New Roman" w:cs="Times New Roman"/>
          <w:sz w:val="24"/>
          <w:szCs w:val="24"/>
        </w:rPr>
        <w:t>.  It is her</w:t>
      </w:r>
      <w:r w:rsidR="00CF2E70">
        <w:rPr>
          <w:rFonts w:ascii="Times New Roman" w:hAnsi="Times New Roman" w:cs="Times New Roman"/>
          <w:sz w:val="24"/>
          <w:szCs w:val="24"/>
        </w:rPr>
        <w:t xml:space="preserve"> desire to</w:t>
      </w:r>
      <w:r>
        <w:rPr>
          <w:rFonts w:ascii="Times New Roman" w:hAnsi="Times New Roman" w:cs="Times New Roman"/>
          <w:sz w:val="24"/>
          <w:szCs w:val="24"/>
        </w:rPr>
        <w:t xml:space="preserve"> answer interesting and important research questions.  </w:t>
      </w:r>
      <w:r w:rsidR="00254144">
        <w:rPr>
          <w:rFonts w:ascii="Times New Roman" w:hAnsi="Times New Roman" w:cs="Times New Roman"/>
          <w:sz w:val="24"/>
          <w:szCs w:val="24"/>
        </w:rPr>
        <w:t>Her</w:t>
      </w:r>
      <w:r w:rsidR="00121AD5">
        <w:rPr>
          <w:rFonts w:ascii="Times New Roman" w:hAnsi="Times New Roman" w:cs="Times New Roman"/>
          <w:sz w:val="24"/>
          <w:szCs w:val="24"/>
        </w:rPr>
        <w:t xml:space="preserve"> dissertation, </w:t>
      </w:r>
      <w:r w:rsidR="00931297">
        <w:rPr>
          <w:rFonts w:ascii="Times New Roman" w:hAnsi="Times New Roman" w:cs="Times New Roman"/>
          <w:sz w:val="24"/>
          <w:szCs w:val="24"/>
        </w:rPr>
        <w:t>“</w:t>
      </w:r>
      <w:r w:rsidR="00931297" w:rsidRPr="00931297">
        <w:rPr>
          <w:rFonts w:ascii="Times New Roman" w:hAnsi="Times New Roman" w:cs="Times New Roman"/>
          <w:sz w:val="24"/>
          <w:szCs w:val="24"/>
        </w:rPr>
        <w:t>The Impact of Increased Tax Return Reporting on Financial Statement Tax Disclosure Quality: Evidence from IRS Schedule UTP</w:t>
      </w:r>
      <w:r w:rsidR="00931297">
        <w:rPr>
          <w:rFonts w:ascii="Times New Roman" w:hAnsi="Times New Roman" w:cs="Times New Roman"/>
          <w:sz w:val="24"/>
          <w:szCs w:val="24"/>
        </w:rPr>
        <w:t xml:space="preserve">,” attempts to answer an important and timely policy question.  Does </w:t>
      </w:r>
      <w:r w:rsidR="00931297" w:rsidRPr="00931297">
        <w:rPr>
          <w:rFonts w:ascii="Times New Roman" w:hAnsi="Times New Roman" w:cs="Times New Roman"/>
          <w:sz w:val="24"/>
          <w:szCs w:val="24"/>
        </w:rPr>
        <w:t>increased private tax return disclosure impact public financial statement tax disclosure quality?</w:t>
      </w:r>
      <w:r w:rsidR="00931297">
        <w:rPr>
          <w:rFonts w:ascii="Times New Roman" w:hAnsi="Times New Roman" w:cs="Times New Roman"/>
          <w:sz w:val="24"/>
          <w:szCs w:val="24"/>
        </w:rPr>
        <w:t xml:space="preserve">  </w:t>
      </w:r>
      <w:r w:rsidR="00254144">
        <w:rPr>
          <w:rFonts w:ascii="Times New Roman" w:hAnsi="Times New Roman" w:cs="Times New Roman"/>
          <w:sz w:val="24"/>
          <w:szCs w:val="24"/>
        </w:rPr>
        <w:t>She</w:t>
      </w:r>
      <w:r w:rsidR="00931297">
        <w:rPr>
          <w:rFonts w:ascii="Times New Roman" w:hAnsi="Times New Roman" w:cs="Times New Roman"/>
          <w:sz w:val="24"/>
          <w:szCs w:val="24"/>
        </w:rPr>
        <w:t xml:space="preserve"> look</w:t>
      </w:r>
      <w:r w:rsidR="00254144">
        <w:rPr>
          <w:rFonts w:ascii="Times New Roman" w:hAnsi="Times New Roman" w:cs="Times New Roman"/>
          <w:sz w:val="24"/>
          <w:szCs w:val="24"/>
        </w:rPr>
        <w:t>s</w:t>
      </w:r>
      <w:r w:rsidR="00931297">
        <w:rPr>
          <w:rFonts w:ascii="Times New Roman" w:hAnsi="Times New Roman" w:cs="Times New Roman"/>
          <w:sz w:val="24"/>
          <w:szCs w:val="24"/>
        </w:rPr>
        <w:t xml:space="preserve"> forward to the future publication o</w:t>
      </w:r>
      <w:r w:rsidR="00254144">
        <w:rPr>
          <w:rFonts w:ascii="Times New Roman" w:hAnsi="Times New Roman" w:cs="Times New Roman"/>
          <w:sz w:val="24"/>
          <w:szCs w:val="24"/>
        </w:rPr>
        <w:t>f this project and continuing her</w:t>
      </w:r>
      <w:r w:rsidR="00931297">
        <w:rPr>
          <w:rFonts w:ascii="Times New Roman" w:hAnsi="Times New Roman" w:cs="Times New Roman"/>
          <w:sz w:val="24"/>
          <w:szCs w:val="24"/>
        </w:rPr>
        <w:t xml:space="preserve"> tax disclosure research stream.</w:t>
      </w:r>
    </w:p>
    <w:p w14:paraId="79D73502" w14:textId="1E32C84B" w:rsidR="00076F98" w:rsidRPr="00931297" w:rsidRDefault="00254144" w:rsidP="000232FC">
      <w:pPr>
        <w:ind w:firstLine="720"/>
        <w:jc w:val="both"/>
        <w:rPr>
          <w:rFonts w:ascii="Times New Roman" w:hAnsi="Times New Roman" w:cs="Times New Roman"/>
          <w:sz w:val="24"/>
          <w:szCs w:val="24"/>
        </w:rPr>
      </w:pPr>
      <w:r>
        <w:rPr>
          <w:rFonts w:ascii="Times New Roman" w:hAnsi="Times New Roman" w:cs="Times New Roman"/>
          <w:sz w:val="24"/>
          <w:szCs w:val="24"/>
        </w:rPr>
        <w:t xml:space="preserve">Michelle is </w:t>
      </w:r>
      <w:r w:rsidR="00076F98" w:rsidRPr="00931297">
        <w:rPr>
          <w:rFonts w:ascii="Times New Roman" w:hAnsi="Times New Roman" w:cs="Times New Roman"/>
          <w:sz w:val="24"/>
          <w:szCs w:val="24"/>
        </w:rPr>
        <w:t xml:space="preserve">a recipient of the KPMG and AICPA Doctoral Student Fellowships.  </w:t>
      </w:r>
      <w:r>
        <w:rPr>
          <w:rFonts w:ascii="Times New Roman" w:hAnsi="Times New Roman" w:cs="Times New Roman"/>
          <w:sz w:val="24"/>
          <w:szCs w:val="24"/>
        </w:rPr>
        <w:t>She</w:t>
      </w:r>
      <w:r w:rsidR="00931297">
        <w:rPr>
          <w:rFonts w:ascii="Times New Roman" w:hAnsi="Times New Roman" w:cs="Times New Roman"/>
          <w:sz w:val="24"/>
          <w:szCs w:val="24"/>
        </w:rPr>
        <w:t xml:space="preserve"> am</w:t>
      </w:r>
      <w:r w:rsidR="00076F98" w:rsidRPr="00931297">
        <w:rPr>
          <w:rFonts w:ascii="Times New Roman" w:hAnsi="Times New Roman" w:cs="Times New Roman"/>
          <w:sz w:val="24"/>
          <w:szCs w:val="24"/>
        </w:rPr>
        <w:t xml:space="preserve"> a licensed Certified Pub</w:t>
      </w:r>
      <w:r w:rsidR="0084411D">
        <w:rPr>
          <w:rFonts w:ascii="Times New Roman" w:hAnsi="Times New Roman" w:cs="Times New Roman"/>
          <w:sz w:val="24"/>
          <w:szCs w:val="24"/>
        </w:rPr>
        <w:t xml:space="preserve">lic Accountant with </w:t>
      </w:r>
      <w:r w:rsidR="00076F98" w:rsidRPr="00931297">
        <w:rPr>
          <w:rFonts w:ascii="Times New Roman" w:hAnsi="Times New Roman" w:cs="Times New Roman"/>
          <w:sz w:val="24"/>
          <w:szCs w:val="24"/>
        </w:rPr>
        <w:t xml:space="preserve">non-profit, public accounting, and industry </w:t>
      </w:r>
      <w:r w:rsidR="00931297">
        <w:rPr>
          <w:rFonts w:ascii="Times New Roman" w:hAnsi="Times New Roman" w:cs="Times New Roman"/>
          <w:sz w:val="24"/>
          <w:szCs w:val="24"/>
        </w:rPr>
        <w:t xml:space="preserve">experience.  Most recently, </w:t>
      </w:r>
      <w:r>
        <w:rPr>
          <w:rFonts w:ascii="Times New Roman" w:hAnsi="Times New Roman" w:cs="Times New Roman"/>
          <w:sz w:val="24"/>
          <w:szCs w:val="24"/>
        </w:rPr>
        <w:t>she</w:t>
      </w:r>
      <w:r w:rsidR="00931297">
        <w:rPr>
          <w:rFonts w:ascii="Times New Roman" w:hAnsi="Times New Roman" w:cs="Times New Roman"/>
          <w:sz w:val="24"/>
          <w:szCs w:val="24"/>
        </w:rPr>
        <w:t xml:space="preserve"> </w:t>
      </w:r>
      <w:r w:rsidR="00076F98" w:rsidRPr="00931297">
        <w:rPr>
          <w:rFonts w:ascii="Times New Roman" w:hAnsi="Times New Roman" w:cs="Times New Roman"/>
          <w:sz w:val="24"/>
          <w:szCs w:val="24"/>
        </w:rPr>
        <w:t>was the financial controller for a sub</w:t>
      </w:r>
      <w:r w:rsidR="00931297">
        <w:rPr>
          <w:rFonts w:ascii="Times New Roman" w:hAnsi="Times New Roman" w:cs="Times New Roman"/>
          <w:sz w:val="24"/>
          <w:szCs w:val="24"/>
        </w:rPr>
        <w:t xml:space="preserve">sidiary of Sysco, Inc. where </w:t>
      </w:r>
      <w:r>
        <w:rPr>
          <w:rFonts w:ascii="Times New Roman" w:hAnsi="Times New Roman" w:cs="Times New Roman"/>
          <w:sz w:val="24"/>
          <w:szCs w:val="24"/>
        </w:rPr>
        <w:t>she</w:t>
      </w:r>
      <w:r w:rsidR="00076F98" w:rsidRPr="00931297">
        <w:rPr>
          <w:rFonts w:ascii="Times New Roman" w:hAnsi="Times New Roman" w:cs="Times New Roman"/>
          <w:sz w:val="24"/>
          <w:szCs w:val="24"/>
        </w:rPr>
        <w:t xml:space="preserve"> managed teams in Nash</w:t>
      </w:r>
      <w:r w:rsidR="00931297">
        <w:rPr>
          <w:rFonts w:ascii="Times New Roman" w:hAnsi="Times New Roman" w:cs="Times New Roman"/>
          <w:sz w:val="24"/>
          <w:szCs w:val="24"/>
        </w:rPr>
        <w:t xml:space="preserve">ville, TN and Raleigh, NC.  </w:t>
      </w:r>
      <w:r>
        <w:rPr>
          <w:rFonts w:ascii="Times New Roman" w:hAnsi="Times New Roman" w:cs="Times New Roman"/>
          <w:sz w:val="24"/>
          <w:szCs w:val="24"/>
        </w:rPr>
        <w:t>She</w:t>
      </w:r>
      <w:r w:rsidR="00931297">
        <w:rPr>
          <w:rFonts w:ascii="Times New Roman" w:hAnsi="Times New Roman" w:cs="Times New Roman"/>
          <w:sz w:val="24"/>
          <w:szCs w:val="24"/>
        </w:rPr>
        <w:t xml:space="preserve"> received </w:t>
      </w:r>
      <w:r>
        <w:rPr>
          <w:rFonts w:ascii="Times New Roman" w:hAnsi="Times New Roman" w:cs="Times New Roman"/>
          <w:sz w:val="24"/>
          <w:szCs w:val="24"/>
        </w:rPr>
        <w:t>her</w:t>
      </w:r>
      <w:r w:rsidR="00931297">
        <w:rPr>
          <w:rFonts w:ascii="Times New Roman" w:hAnsi="Times New Roman" w:cs="Times New Roman"/>
          <w:sz w:val="24"/>
          <w:szCs w:val="24"/>
        </w:rPr>
        <w:t xml:space="preserve"> </w:t>
      </w:r>
      <w:r w:rsidR="00076F98" w:rsidRPr="00931297">
        <w:rPr>
          <w:rFonts w:ascii="Times New Roman" w:hAnsi="Times New Roman" w:cs="Times New Roman"/>
          <w:sz w:val="24"/>
          <w:szCs w:val="24"/>
        </w:rPr>
        <w:t xml:space="preserve">undergraduate and master’s degrees in accounting from the </w:t>
      </w:r>
      <w:r w:rsidR="00CA5CE8">
        <w:rPr>
          <w:rFonts w:ascii="Times New Roman" w:hAnsi="Times New Roman" w:cs="Times New Roman"/>
          <w:sz w:val="24"/>
          <w:szCs w:val="24"/>
        </w:rPr>
        <w:t xml:space="preserve">McIntire School of Commerce at the </w:t>
      </w:r>
      <w:r w:rsidR="00076F98" w:rsidRPr="00931297">
        <w:rPr>
          <w:rFonts w:ascii="Times New Roman" w:hAnsi="Times New Roman" w:cs="Times New Roman"/>
          <w:sz w:val="24"/>
          <w:szCs w:val="24"/>
        </w:rPr>
        <w:t>University of Virginia.</w:t>
      </w:r>
    </w:p>
    <w:p w14:paraId="59F1CA89" w14:textId="510CFCBA" w:rsidR="00076F98" w:rsidRDefault="00254144" w:rsidP="000232FC">
      <w:pPr>
        <w:ind w:firstLine="720"/>
        <w:jc w:val="both"/>
        <w:rPr>
          <w:rFonts w:ascii="Times New Roman" w:hAnsi="Times New Roman" w:cs="Times New Roman"/>
          <w:sz w:val="24"/>
          <w:szCs w:val="24"/>
        </w:rPr>
      </w:pPr>
      <w:r>
        <w:rPr>
          <w:rFonts w:ascii="Times New Roman" w:hAnsi="Times New Roman" w:cs="Times New Roman"/>
          <w:sz w:val="24"/>
          <w:szCs w:val="24"/>
        </w:rPr>
        <w:t>Dr. Harding’s</w:t>
      </w:r>
      <w:r w:rsidR="00076F98" w:rsidRPr="00931297">
        <w:rPr>
          <w:rFonts w:ascii="Times New Roman" w:hAnsi="Times New Roman" w:cs="Times New Roman"/>
          <w:sz w:val="24"/>
          <w:szCs w:val="24"/>
        </w:rPr>
        <w:t xml:space="preserve"> professional affiliations include the KPMG PhD Project Accounting Doctoral Student Association, AICPA, American Accounting Association, American Taxation Association, </w:t>
      </w:r>
      <w:r w:rsidR="00121AD5" w:rsidRPr="00931297">
        <w:rPr>
          <w:rFonts w:ascii="Times New Roman" w:hAnsi="Times New Roman" w:cs="Times New Roman"/>
          <w:sz w:val="24"/>
          <w:szCs w:val="24"/>
        </w:rPr>
        <w:t xml:space="preserve">National Tax Association, </w:t>
      </w:r>
      <w:r w:rsidR="00076F98" w:rsidRPr="00931297">
        <w:rPr>
          <w:rFonts w:ascii="Times New Roman" w:hAnsi="Times New Roman" w:cs="Times New Roman"/>
          <w:sz w:val="24"/>
          <w:szCs w:val="24"/>
        </w:rPr>
        <w:t xml:space="preserve">National Association of Black Accountants, and Accounting and Financial Women’s Alliance.  </w:t>
      </w:r>
      <w:r>
        <w:rPr>
          <w:rFonts w:ascii="Times New Roman" w:hAnsi="Times New Roman" w:cs="Times New Roman"/>
          <w:sz w:val="24"/>
          <w:szCs w:val="24"/>
        </w:rPr>
        <w:t xml:space="preserve">During her doctoral program, </w:t>
      </w:r>
      <w:r w:rsidR="00584340">
        <w:rPr>
          <w:rFonts w:ascii="Times New Roman" w:hAnsi="Times New Roman" w:cs="Times New Roman"/>
          <w:sz w:val="24"/>
          <w:szCs w:val="24"/>
        </w:rPr>
        <w:t>Michelle</w:t>
      </w:r>
      <w:r w:rsidR="00931297">
        <w:rPr>
          <w:rFonts w:ascii="Times New Roman" w:hAnsi="Times New Roman" w:cs="Times New Roman"/>
          <w:sz w:val="24"/>
          <w:szCs w:val="24"/>
        </w:rPr>
        <w:t xml:space="preserve"> </w:t>
      </w:r>
      <w:r w:rsidR="00CA5CE8">
        <w:rPr>
          <w:rFonts w:ascii="Times New Roman" w:hAnsi="Times New Roman" w:cs="Times New Roman"/>
          <w:sz w:val="24"/>
          <w:szCs w:val="24"/>
        </w:rPr>
        <w:t xml:space="preserve">lived </w:t>
      </w:r>
      <w:r w:rsidR="00931297">
        <w:rPr>
          <w:rFonts w:ascii="Times New Roman" w:hAnsi="Times New Roman" w:cs="Times New Roman"/>
          <w:sz w:val="24"/>
          <w:szCs w:val="24"/>
        </w:rPr>
        <w:t xml:space="preserve">out </w:t>
      </w:r>
      <w:r>
        <w:rPr>
          <w:rFonts w:ascii="Times New Roman" w:hAnsi="Times New Roman" w:cs="Times New Roman"/>
          <w:sz w:val="24"/>
          <w:szCs w:val="24"/>
        </w:rPr>
        <w:t>her</w:t>
      </w:r>
      <w:r w:rsidR="00076F98" w:rsidRPr="00931297">
        <w:rPr>
          <w:rFonts w:ascii="Times New Roman" w:hAnsi="Times New Roman" w:cs="Times New Roman"/>
          <w:sz w:val="24"/>
          <w:szCs w:val="24"/>
        </w:rPr>
        <w:t xml:space="preserve"> commitment to service as </w:t>
      </w:r>
      <w:r w:rsidR="00931297">
        <w:rPr>
          <w:rFonts w:ascii="Times New Roman" w:hAnsi="Times New Roman" w:cs="Times New Roman"/>
          <w:sz w:val="24"/>
          <w:szCs w:val="24"/>
        </w:rPr>
        <w:t xml:space="preserve">one of the founders and the first </w:t>
      </w:r>
      <w:r w:rsidR="00076F98" w:rsidRPr="00931297">
        <w:rPr>
          <w:rFonts w:ascii="Times New Roman" w:hAnsi="Times New Roman" w:cs="Times New Roman"/>
          <w:sz w:val="24"/>
          <w:szCs w:val="24"/>
        </w:rPr>
        <w:t xml:space="preserve">president of the Multicultural Graduate Student Organization, as a member of the Knoxville Area Urban League Young Professionals and as a board member </w:t>
      </w:r>
      <w:r w:rsidR="005556A0">
        <w:rPr>
          <w:rFonts w:ascii="Times New Roman" w:hAnsi="Times New Roman" w:cs="Times New Roman"/>
          <w:sz w:val="24"/>
          <w:szCs w:val="24"/>
        </w:rPr>
        <w:t xml:space="preserve">and volunteer </w:t>
      </w:r>
      <w:r w:rsidR="00076F98" w:rsidRPr="00931297">
        <w:rPr>
          <w:rFonts w:ascii="Times New Roman" w:hAnsi="Times New Roman" w:cs="Times New Roman"/>
          <w:sz w:val="24"/>
          <w:szCs w:val="24"/>
        </w:rPr>
        <w:t>for Girl Talk, Inc.</w:t>
      </w:r>
    </w:p>
    <w:p w14:paraId="39790A5C" w14:textId="5178B0E2" w:rsidR="00CA5CE8" w:rsidRPr="00CA5CE8" w:rsidRDefault="00254144" w:rsidP="000232FC">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Dr. Harding is </w:t>
      </w:r>
      <w:r w:rsidR="005556A0">
        <w:rPr>
          <w:rFonts w:ascii="Times New Roman" w:hAnsi="Times New Roman" w:cs="Times New Roman"/>
          <w:sz w:val="24"/>
          <w:szCs w:val="24"/>
        </w:rPr>
        <w:t>excited to begin</w:t>
      </w:r>
      <w:r>
        <w:rPr>
          <w:rFonts w:ascii="Times New Roman" w:hAnsi="Times New Roman" w:cs="Times New Roman"/>
          <w:sz w:val="24"/>
          <w:szCs w:val="24"/>
        </w:rPr>
        <w:t xml:space="preserve"> her</w:t>
      </w:r>
      <w:r w:rsidR="005556A0">
        <w:rPr>
          <w:rFonts w:ascii="Times New Roman" w:hAnsi="Times New Roman" w:cs="Times New Roman"/>
          <w:sz w:val="24"/>
          <w:szCs w:val="24"/>
        </w:rPr>
        <w:t xml:space="preserve"> career as a </w:t>
      </w:r>
      <w:r w:rsidR="00CA5CE8">
        <w:rPr>
          <w:rFonts w:ascii="Times New Roman" w:hAnsi="Times New Roman" w:cs="Times New Roman"/>
          <w:sz w:val="24"/>
          <w:szCs w:val="24"/>
        </w:rPr>
        <w:t>tenure</w:t>
      </w:r>
      <w:r w:rsidR="005556A0">
        <w:rPr>
          <w:rFonts w:ascii="Times New Roman" w:hAnsi="Times New Roman" w:cs="Times New Roman"/>
          <w:sz w:val="24"/>
          <w:szCs w:val="24"/>
        </w:rPr>
        <w:t>-track assistant professor</w:t>
      </w:r>
      <w:r w:rsidR="00CA5CE8">
        <w:rPr>
          <w:rFonts w:ascii="Times New Roman" w:hAnsi="Times New Roman" w:cs="Times New Roman"/>
          <w:sz w:val="24"/>
          <w:szCs w:val="24"/>
        </w:rPr>
        <w:t xml:space="preserve"> in the </w:t>
      </w:r>
    </w:p>
    <w:p w14:paraId="68EAE167" w14:textId="4FC97F81" w:rsidR="00076F98" w:rsidRPr="00DB52C1" w:rsidRDefault="00CA5CE8" w:rsidP="000232FC">
      <w:pPr>
        <w:spacing w:after="0"/>
        <w:jc w:val="both"/>
        <w:rPr>
          <w:rFonts w:ascii="Times New Roman" w:hAnsi="Times New Roman" w:cs="Times New Roman"/>
          <w:sz w:val="24"/>
          <w:szCs w:val="24"/>
        </w:rPr>
      </w:pPr>
      <w:r w:rsidRPr="00CA5CE8">
        <w:rPr>
          <w:rFonts w:ascii="Times New Roman" w:hAnsi="Times New Roman" w:cs="Times New Roman"/>
          <w:sz w:val="24"/>
          <w:szCs w:val="24"/>
        </w:rPr>
        <w:t>Department of Accounting</w:t>
      </w:r>
      <w:r>
        <w:rPr>
          <w:rFonts w:ascii="Times New Roman" w:hAnsi="Times New Roman" w:cs="Times New Roman"/>
          <w:sz w:val="24"/>
          <w:szCs w:val="24"/>
        </w:rPr>
        <w:t xml:space="preserve"> </w:t>
      </w:r>
      <w:r w:rsidRPr="00CA5CE8">
        <w:rPr>
          <w:rFonts w:ascii="Times New Roman" w:hAnsi="Times New Roman" w:cs="Times New Roman"/>
          <w:sz w:val="24"/>
          <w:szCs w:val="24"/>
        </w:rPr>
        <w:t xml:space="preserve">&amp; Information Systems </w:t>
      </w:r>
      <w:r w:rsidR="005556A0">
        <w:rPr>
          <w:rFonts w:ascii="Times New Roman" w:hAnsi="Times New Roman" w:cs="Times New Roman"/>
          <w:sz w:val="24"/>
          <w:szCs w:val="24"/>
        </w:rPr>
        <w:t xml:space="preserve">at the </w:t>
      </w:r>
      <w:r w:rsidR="005556A0" w:rsidRPr="005556A0">
        <w:rPr>
          <w:rFonts w:ascii="Times New Roman" w:hAnsi="Times New Roman" w:cs="Times New Roman"/>
          <w:sz w:val="24"/>
          <w:szCs w:val="24"/>
        </w:rPr>
        <w:t>Virginia Polytechnic Institute and State University</w:t>
      </w:r>
      <w:r w:rsidR="005556A0">
        <w:rPr>
          <w:rFonts w:ascii="Times New Roman" w:hAnsi="Times New Roman" w:cs="Times New Roman"/>
          <w:sz w:val="24"/>
          <w:szCs w:val="24"/>
        </w:rPr>
        <w:t>.</w:t>
      </w:r>
    </w:p>
    <w:p w14:paraId="4097B0CE" w14:textId="77777777" w:rsidR="000232FC" w:rsidRPr="00DB52C1" w:rsidRDefault="000232FC">
      <w:pPr>
        <w:spacing w:after="0"/>
        <w:jc w:val="both"/>
        <w:rPr>
          <w:rFonts w:ascii="Times New Roman" w:hAnsi="Times New Roman" w:cs="Times New Roman"/>
          <w:sz w:val="24"/>
          <w:szCs w:val="24"/>
        </w:rPr>
      </w:pPr>
    </w:p>
    <w:sectPr w:rsidR="000232FC" w:rsidRPr="00DB52C1" w:rsidSect="005E268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B5CE4" w14:textId="77777777" w:rsidR="00C90844" w:rsidRDefault="00C90844" w:rsidP="000A6879">
      <w:pPr>
        <w:spacing w:after="0" w:line="240" w:lineRule="auto"/>
      </w:pPr>
      <w:r>
        <w:separator/>
      </w:r>
    </w:p>
  </w:endnote>
  <w:endnote w:type="continuationSeparator" w:id="0">
    <w:p w14:paraId="233AB921" w14:textId="77777777" w:rsidR="00C90844" w:rsidRDefault="00C90844" w:rsidP="000A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78417"/>
      <w:docPartObj>
        <w:docPartGallery w:val="Page Numbers (Bottom of Page)"/>
        <w:docPartUnique/>
      </w:docPartObj>
    </w:sdtPr>
    <w:sdtEndPr>
      <w:rPr>
        <w:rFonts w:ascii="Times New Roman" w:hAnsi="Times New Roman" w:cs="Times New Roman"/>
        <w:noProof/>
        <w:sz w:val="24"/>
        <w:szCs w:val="24"/>
      </w:rPr>
    </w:sdtEndPr>
    <w:sdtContent>
      <w:p w14:paraId="1D3EE523" w14:textId="2DBE95D0" w:rsidR="00340A0A" w:rsidRPr="005E7AC2" w:rsidRDefault="00340A0A">
        <w:pPr>
          <w:pStyle w:val="Footer"/>
          <w:jc w:val="center"/>
          <w:rPr>
            <w:rFonts w:ascii="Times New Roman" w:hAnsi="Times New Roman" w:cs="Times New Roman"/>
            <w:sz w:val="24"/>
            <w:szCs w:val="24"/>
          </w:rPr>
        </w:pPr>
        <w:r w:rsidRPr="005E7AC2">
          <w:rPr>
            <w:rFonts w:ascii="Times New Roman" w:hAnsi="Times New Roman" w:cs="Times New Roman"/>
            <w:sz w:val="24"/>
            <w:szCs w:val="24"/>
          </w:rPr>
          <w:fldChar w:fldCharType="begin"/>
        </w:r>
        <w:r w:rsidRPr="005E7AC2">
          <w:rPr>
            <w:rFonts w:ascii="Times New Roman" w:hAnsi="Times New Roman" w:cs="Times New Roman"/>
            <w:sz w:val="24"/>
            <w:szCs w:val="24"/>
          </w:rPr>
          <w:instrText xml:space="preserve"> PAGE   \* MERGEFORMAT </w:instrText>
        </w:r>
        <w:r w:rsidRPr="005E7AC2">
          <w:rPr>
            <w:rFonts w:ascii="Times New Roman" w:hAnsi="Times New Roman" w:cs="Times New Roman"/>
            <w:sz w:val="24"/>
            <w:szCs w:val="24"/>
          </w:rPr>
          <w:fldChar w:fldCharType="separate"/>
        </w:r>
        <w:r w:rsidR="00B24510">
          <w:rPr>
            <w:rFonts w:ascii="Times New Roman" w:hAnsi="Times New Roman" w:cs="Times New Roman"/>
            <w:noProof/>
            <w:sz w:val="24"/>
            <w:szCs w:val="24"/>
          </w:rPr>
          <w:t>61</w:t>
        </w:r>
        <w:r w:rsidRPr="005E7AC2">
          <w:rPr>
            <w:rFonts w:ascii="Times New Roman" w:hAnsi="Times New Roman" w:cs="Times New Roman"/>
            <w:noProof/>
            <w:sz w:val="24"/>
            <w:szCs w:val="24"/>
          </w:rPr>
          <w:fldChar w:fldCharType="end"/>
        </w:r>
      </w:p>
    </w:sdtContent>
  </w:sdt>
  <w:p w14:paraId="3D894CFF" w14:textId="77777777" w:rsidR="00340A0A" w:rsidRDefault="00340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0D1C4" w14:textId="12336256" w:rsidR="00340A0A" w:rsidRDefault="00340A0A">
    <w:pPr>
      <w:pStyle w:val="Footer"/>
      <w:jc w:val="center"/>
    </w:pPr>
  </w:p>
  <w:p w14:paraId="33CB1688" w14:textId="77777777" w:rsidR="00340A0A" w:rsidRDefault="00340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9DA57" w14:textId="77777777" w:rsidR="00C90844" w:rsidRDefault="00C90844" w:rsidP="000A6879">
      <w:pPr>
        <w:spacing w:after="0" w:line="240" w:lineRule="auto"/>
      </w:pPr>
      <w:r>
        <w:separator/>
      </w:r>
    </w:p>
  </w:footnote>
  <w:footnote w:type="continuationSeparator" w:id="0">
    <w:p w14:paraId="3238AE6D" w14:textId="77777777" w:rsidR="00C90844" w:rsidRDefault="00C90844" w:rsidP="000A6879">
      <w:pPr>
        <w:spacing w:after="0" w:line="240" w:lineRule="auto"/>
      </w:pPr>
      <w:r>
        <w:continuationSeparator/>
      </w:r>
    </w:p>
  </w:footnote>
  <w:footnote w:id="1">
    <w:p w14:paraId="4847FBD0" w14:textId="77777777" w:rsidR="00340A0A" w:rsidRPr="00B03790" w:rsidRDefault="00340A0A" w:rsidP="00340A0A">
      <w:pPr>
        <w:pStyle w:val="FootnoteText"/>
        <w:rPr>
          <w:rFonts w:ascii="Times New Roman" w:hAnsi="Times New Roman" w:cs="Times New Roman"/>
        </w:rPr>
      </w:pPr>
      <w:r w:rsidRPr="00383E5D">
        <w:rPr>
          <w:rStyle w:val="FootnoteReference"/>
          <w:rFonts w:ascii="Times New Roman" w:hAnsi="Times New Roman" w:cs="Times New Roman"/>
        </w:rPr>
        <w:footnoteRef/>
      </w:r>
      <w:r w:rsidRPr="00383E5D">
        <w:rPr>
          <w:rFonts w:ascii="Times New Roman" w:hAnsi="Times New Roman" w:cs="Times New Roman"/>
        </w:rPr>
        <w:t xml:space="preserve"> F</w:t>
      </w:r>
      <w:r w:rsidRPr="00B03790">
        <w:rPr>
          <w:rFonts w:ascii="Times New Roman" w:hAnsi="Times New Roman" w:cs="Times New Roman"/>
        </w:rPr>
        <w:t xml:space="preserve">or this study, I use the terms FIN 48 disclosure and public tax disclosure to refer to the financial statement disclosures required by FIN 48.  IRS Schedule UTP (Uncertain Tax Position) tax return disclosures are distinct. Uncertain tax positions reported on IRS Schedule UTP are descriptions of the underlying federal uncertain tax positions for which the firm is reserving in their FIN 48 reserve liability and is including in their federal tax return.  To avoid confusion, I refer to Schedule UTP disclosures as tax return reporting or private tax disclosure.  </w:t>
      </w:r>
    </w:p>
  </w:footnote>
  <w:footnote w:id="2">
    <w:p w14:paraId="0C942DBD" w14:textId="77777777" w:rsidR="00340A0A" w:rsidRPr="00B83A62" w:rsidRDefault="00340A0A" w:rsidP="00340A0A">
      <w:pPr>
        <w:pStyle w:val="FootnoteText"/>
        <w:rPr>
          <w:rFonts w:ascii="Times New Roman" w:hAnsi="Times New Roman" w:cs="Times New Roman"/>
        </w:rPr>
      </w:pPr>
      <w:r w:rsidRPr="00B03790">
        <w:rPr>
          <w:rStyle w:val="FootnoteReference"/>
          <w:rFonts w:ascii="Times New Roman" w:hAnsi="Times New Roman" w:cs="Times New Roman"/>
        </w:rPr>
        <w:footnoteRef/>
      </w:r>
      <w:r w:rsidRPr="00B03790">
        <w:rPr>
          <w:rFonts w:ascii="Times New Roman" w:hAnsi="Times New Roman" w:cs="Times New Roman"/>
        </w:rPr>
        <w:t xml:space="preserve"> Debtholders may have access to corporate tax returns as a part of the due diligence process.</w:t>
      </w:r>
    </w:p>
  </w:footnote>
  <w:footnote w:id="3">
    <w:p w14:paraId="2BAB509A" w14:textId="77777777" w:rsidR="00340A0A" w:rsidRPr="001011CB" w:rsidRDefault="00340A0A" w:rsidP="00340A0A">
      <w:pPr>
        <w:pStyle w:val="FootnoteText"/>
        <w:jc w:val="both"/>
        <w:rPr>
          <w:rFonts w:ascii="Times New Roman" w:hAnsi="Times New Roman" w:cs="Times New Roman"/>
        </w:rPr>
      </w:pPr>
      <w:r w:rsidRPr="001011CB">
        <w:rPr>
          <w:rStyle w:val="FootnoteReference"/>
          <w:rFonts w:ascii="Times New Roman" w:hAnsi="Times New Roman" w:cs="Times New Roman"/>
        </w:rPr>
        <w:footnoteRef/>
      </w:r>
      <w:r w:rsidRPr="001011CB">
        <w:rPr>
          <w:rFonts w:ascii="Times New Roman" w:hAnsi="Times New Roman" w:cs="Times New Roman"/>
        </w:rPr>
        <w:t xml:space="preserve"> </w:t>
      </w:r>
      <w:r>
        <w:rPr>
          <w:rFonts w:ascii="Times New Roman" w:hAnsi="Times New Roman" w:cs="Times New Roman"/>
        </w:rPr>
        <w:t>Any</w:t>
      </w:r>
      <w:r w:rsidRPr="006A02C5">
        <w:rPr>
          <w:rFonts w:ascii="Times New Roman" w:hAnsi="Times New Roman" w:cs="Times New Roman"/>
        </w:rPr>
        <w:t xml:space="preserve"> incremental information gained from FIN 48 disclosures </w:t>
      </w:r>
      <w:r>
        <w:rPr>
          <w:rFonts w:ascii="Times New Roman" w:hAnsi="Times New Roman" w:cs="Times New Roman"/>
        </w:rPr>
        <w:t>is</w:t>
      </w:r>
      <w:r w:rsidRPr="006A02C5">
        <w:rPr>
          <w:rFonts w:ascii="Times New Roman" w:hAnsi="Times New Roman" w:cs="Times New Roman"/>
        </w:rPr>
        <w:t xml:space="preserve"> important to the IRS because under the IRS’s Modified Policy of Restraint issued in conjunction with the implementation of IRS Schedule UTP, the IRS is not allowed to request documents privileged under attorney-client privilege, tax advice privilege, or the work product doctrine</w:t>
      </w:r>
      <w:r>
        <w:rPr>
          <w:rFonts w:ascii="Times New Roman" w:hAnsi="Times New Roman" w:cs="Times New Roman"/>
        </w:rPr>
        <w:t xml:space="preserve"> – see </w:t>
      </w:r>
      <w:hyperlink r:id="rId1" w:history="1">
        <w:r w:rsidRPr="001011CB">
          <w:rPr>
            <w:rStyle w:val="Hyperlink"/>
            <w:rFonts w:ascii="Times New Roman" w:hAnsi="Times New Roman" w:cs="Times New Roman"/>
          </w:rPr>
          <w:t>https://www.irs.gov/businesses/corporations/uncertain-tax-positions-modified-policy-of-restraint</w:t>
        </w:r>
      </w:hyperlink>
      <w:r w:rsidRPr="001011CB">
        <w:rPr>
          <w:rFonts w:ascii="Times New Roman" w:hAnsi="Times New Roman" w:cs="Times New Roman"/>
        </w:rPr>
        <w:t>.</w:t>
      </w:r>
    </w:p>
  </w:footnote>
  <w:footnote w:id="4">
    <w:p w14:paraId="663FEC79" w14:textId="77777777" w:rsidR="00340A0A" w:rsidRPr="001011CB" w:rsidRDefault="00340A0A" w:rsidP="00340A0A">
      <w:pPr>
        <w:pStyle w:val="FootnoteText"/>
        <w:jc w:val="both"/>
        <w:rPr>
          <w:rFonts w:ascii="Times New Roman" w:hAnsi="Times New Roman" w:cs="Times New Roman"/>
        </w:rPr>
      </w:pPr>
      <w:r w:rsidRPr="001011CB">
        <w:rPr>
          <w:rStyle w:val="FootnoteReference"/>
          <w:rFonts w:ascii="Times New Roman" w:hAnsi="Times New Roman" w:cs="Times New Roman"/>
        </w:rPr>
        <w:footnoteRef/>
      </w:r>
      <w:r w:rsidRPr="001011CB">
        <w:rPr>
          <w:rFonts w:ascii="Times New Roman" w:hAnsi="Times New Roman" w:cs="Times New Roman"/>
        </w:rPr>
        <w:t xml:space="preserve"> See http://www.irs.gov/Businesses/Corporations/FIN-48-Implications---LB&amp;I-Field-Examiners'-Guide.</w:t>
      </w:r>
    </w:p>
  </w:footnote>
  <w:footnote w:id="5">
    <w:p w14:paraId="3D5FD791" w14:textId="77777777" w:rsidR="00340A0A" w:rsidRPr="00074362" w:rsidRDefault="00340A0A" w:rsidP="00340A0A">
      <w:pPr>
        <w:pStyle w:val="FootnoteText"/>
        <w:rPr>
          <w:rFonts w:ascii="Times New Roman" w:hAnsi="Times New Roman" w:cs="Times New Roman"/>
        </w:rPr>
      </w:pPr>
      <w:r w:rsidRPr="00074362">
        <w:rPr>
          <w:rStyle w:val="FootnoteReference"/>
          <w:rFonts w:ascii="Times New Roman" w:hAnsi="Times New Roman" w:cs="Times New Roman"/>
        </w:rPr>
        <w:footnoteRef/>
      </w:r>
      <w:r w:rsidRPr="00074362">
        <w:rPr>
          <w:rFonts w:ascii="Times New Roman" w:hAnsi="Times New Roman" w:cs="Times New Roman"/>
        </w:rPr>
        <w:t xml:space="preserve"> </w:t>
      </w:r>
      <w:r>
        <w:rPr>
          <w:rFonts w:ascii="Times New Roman" w:hAnsi="Times New Roman" w:cs="Times New Roman"/>
        </w:rPr>
        <w:t xml:space="preserve">A change to the content of an annual footnote disclosure, absent a change to the governing accounting standard, is uncommon.  A conversation with a former director for SEC reporting at a public company confirms that it is standard practice to roll forward disclosures from one year to the next and only update the relevant numbers.  Thus, the changes to the content of discretionary disclosures that I document are unlikely to be spurious.  My results support that firms respond to the adoption of IRS Schedule UTP and the mandate for the disclosure of additional private tax information to the IRS by reducing the quality of FIN 48 public tax disclosures.  </w:t>
      </w:r>
    </w:p>
  </w:footnote>
  <w:footnote w:id="6">
    <w:p w14:paraId="20DDA7F3" w14:textId="06BABFFC" w:rsidR="00340A0A" w:rsidRPr="001011CB" w:rsidRDefault="00340A0A" w:rsidP="00340A0A">
      <w:pPr>
        <w:pStyle w:val="FootnoteText"/>
        <w:jc w:val="both"/>
        <w:rPr>
          <w:rFonts w:ascii="Times New Roman" w:hAnsi="Times New Roman" w:cs="Times New Roman"/>
        </w:rPr>
      </w:pPr>
      <w:r w:rsidRPr="001011CB">
        <w:rPr>
          <w:rStyle w:val="FootnoteReference"/>
          <w:rFonts w:ascii="Times New Roman" w:hAnsi="Times New Roman" w:cs="Times New Roman"/>
        </w:rPr>
        <w:footnoteRef/>
      </w:r>
      <w:r w:rsidRPr="001011CB">
        <w:rPr>
          <w:rFonts w:ascii="Times New Roman" w:hAnsi="Times New Roman" w:cs="Times New Roman"/>
        </w:rPr>
        <w:t xml:space="preserve"> </w:t>
      </w:r>
      <w:r>
        <w:rPr>
          <w:rFonts w:ascii="Times New Roman" w:hAnsi="Times New Roman" w:cs="Times New Roman"/>
        </w:rPr>
        <w:t>See</w:t>
      </w:r>
      <w:r w:rsidRPr="00ED75D6">
        <w:rPr>
          <w:rFonts w:ascii="Times New Roman" w:hAnsi="Times New Roman" w:cs="Times New Roman"/>
        </w:rPr>
        <w:t xml:space="preserve"> Appendix </w:t>
      </w:r>
      <w:r w:rsidR="00C3183E">
        <w:rPr>
          <w:rFonts w:ascii="Times New Roman" w:hAnsi="Times New Roman" w:cs="Times New Roman"/>
        </w:rPr>
        <w:t>C</w:t>
      </w:r>
      <w:r>
        <w:rPr>
          <w:rFonts w:ascii="Times New Roman" w:hAnsi="Times New Roman" w:cs="Times New Roman"/>
        </w:rPr>
        <w:t xml:space="preserve"> </w:t>
      </w:r>
      <w:r w:rsidRPr="00ED75D6">
        <w:rPr>
          <w:rFonts w:ascii="Times New Roman" w:hAnsi="Times New Roman" w:cs="Times New Roman"/>
        </w:rPr>
        <w:t>for an example of a firm providing additional disclosure of prior years’ FIN 48 reserves following the adoption of IRS Schedule UTP.</w:t>
      </w:r>
      <w:r>
        <w:rPr>
          <w:rFonts w:ascii="Times New Roman" w:hAnsi="Times New Roman" w:cs="Times New Roman"/>
        </w:rPr>
        <w:t xml:space="preserve">  The example shown from Northrop Grumman Corporation shows that the entire increase in word count related to FIN 48 disclosure is due to the inclusion of the discussion of the additional prior year that is included in the tabular reconciliation.  </w:t>
      </w:r>
    </w:p>
  </w:footnote>
  <w:footnote w:id="7">
    <w:p w14:paraId="75A0357E" w14:textId="77777777" w:rsidR="00340A0A" w:rsidRPr="00383E5D" w:rsidRDefault="00340A0A" w:rsidP="00340A0A">
      <w:pPr>
        <w:spacing w:after="0"/>
        <w:jc w:val="both"/>
        <w:rPr>
          <w:rFonts w:ascii="Times New Roman" w:hAnsi="Times New Roman" w:cs="Times New Roman"/>
          <w:sz w:val="20"/>
          <w:szCs w:val="20"/>
        </w:rPr>
      </w:pPr>
      <w:r w:rsidRPr="00383E5D">
        <w:rPr>
          <w:rStyle w:val="FootnoteReference"/>
          <w:rFonts w:ascii="Times New Roman" w:hAnsi="Times New Roman" w:cs="Times New Roman"/>
          <w:sz w:val="20"/>
          <w:szCs w:val="20"/>
        </w:rPr>
        <w:footnoteRef/>
      </w:r>
      <w:r w:rsidRPr="00383E5D">
        <w:rPr>
          <w:rFonts w:ascii="Times New Roman" w:hAnsi="Times New Roman" w:cs="Times New Roman"/>
          <w:sz w:val="20"/>
          <w:szCs w:val="20"/>
        </w:rPr>
        <w:t xml:space="preserve"> When a corporation ﬁles its tax return, it often pays less tax than the IRS and the courts might require if various positions related to exclusions, deductions, credits, and valuations were challenged. In its ﬁnancial statements, the corporation must estimate how much tax expense and tax liability to record, taking into account the uncertainty of the tax beneﬁt related to these positions. The reserve represents the ﬁrm’s estimate of additional tax expense the ﬁrm expects to owe after the audit and the resolution of any litigation.  The reserve reduces its current period income and/or net assets. As a result, some of the uncertain beneﬁt claimed on the current year tax return is not recognized in the ﬁnancial statements </w:t>
      </w:r>
      <w:r w:rsidRPr="00383E5D">
        <w:rPr>
          <w:rFonts w:ascii="Times New Roman" w:hAnsi="Times New Roman" w:cs="Times New Roman"/>
          <w:sz w:val="20"/>
          <w:szCs w:val="20"/>
        </w:rPr>
        <w:fldChar w:fldCharType="begin"/>
      </w:r>
      <w:r w:rsidRPr="00383E5D">
        <w:rPr>
          <w:rFonts w:ascii="Times New Roman" w:hAnsi="Times New Roman" w:cs="Times New Roman"/>
          <w:sz w:val="20"/>
          <w:szCs w:val="20"/>
        </w:rPr>
        <w:instrText xml:space="preserve"> ADDIN EN.CITE &lt;EndNote&gt;&lt;Cite&gt;&lt;Author&gt;Mills&lt;/Author&gt;&lt;Year&gt;2010&lt;/Year&gt;&lt;RecNum&gt;354&lt;/RecNum&gt;&lt;DisplayText&gt;(Mills et al. 2010)&lt;/DisplayText&gt;&lt;record&gt;&lt;rec-number&gt;354&lt;/rec-number&gt;&lt;foreign-keys&gt;&lt;key app="EN" db-id="0epr20wz6v0vdyes25e5vdd8ssfd2e0srwex" timestamp="1461800448"&gt;354&lt;/key&gt;&lt;/foreign-keys&gt;&lt;ref-type name="Journal Article"&gt;17&lt;/ref-type&gt;&lt;contributors&gt;&lt;authors&gt;&lt;author&gt;Mills, Lillian F&lt;/author&gt;&lt;author&gt;Robinson, Leslie A&lt;/author&gt;&lt;author&gt;Sansing, Richard C&lt;/author&gt;&lt;/authors&gt;&lt;/contributors&gt;&lt;titles&gt;&lt;title&gt;FIN 48 and tax compliance&lt;/title&gt;&lt;secondary-title&gt;The Accounting Review&lt;/secondary-title&gt;&lt;/titles&gt;&lt;periodical&gt;&lt;full-title&gt;The Accounting Review&lt;/full-title&gt;&lt;/periodical&gt;&lt;pages&gt;1721-1742&lt;/pages&gt;&lt;volume&gt;85&lt;/volume&gt;&lt;number&gt;5&lt;/number&gt;&lt;dates&gt;&lt;year&gt;2010&lt;/year&gt;&lt;/dates&gt;&lt;isbn&gt;0001-4826&lt;/isbn&gt;&lt;urls&gt;&lt;/urls&gt;&lt;/record&gt;&lt;/Cite&gt;&lt;/EndNote&gt;</w:instrText>
      </w:r>
      <w:r w:rsidRPr="00383E5D">
        <w:rPr>
          <w:rFonts w:ascii="Times New Roman" w:hAnsi="Times New Roman" w:cs="Times New Roman"/>
          <w:sz w:val="20"/>
          <w:szCs w:val="20"/>
        </w:rPr>
        <w:fldChar w:fldCharType="separate"/>
      </w:r>
      <w:r w:rsidRPr="00383E5D">
        <w:rPr>
          <w:rFonts w:ascii="Times New Roman" w:hAnsi="Times New Roman" w:cs="Times New Roman"/>
          <w:noProof/>
          <w:sz w:val="20"/>
          <w:szCs w:val="20"/>
        </w:rPr>
        <w:t>(Mills, Robinson, and Sansing 2010)</w:t>
      </w:r>
      <w:r w:rsidRPr="00383E5D">
        <w:rPr>
          <w:rFonts w:ascii="Times New Roman" w:hAnsi="Times New Roman" w:cs="Times New Roman"/>
          <w:sz w:val="20"/>
          <w:szCs w:val="20"/>
        </w:rPr>
        <w:fldChar w:fldCharType="end"/>
      </w:r>
      <w:r w:rsidRPr="00383E5D">
        <w:rPr>
          <w:rFonts w:ascii="Times New Roman" w:hAnsi="Times New Roman" w:cs="Times New Roman"/>
          <w:sz w:val="20"/>
          <w:szCs w:val="20"/>
        </w:rPr>
        <w:t>.</w:t>
      </w:r>
    </w:p>
    <w:p w14:paraId="1E310CCD" w14:textId="77777777" w:rsidR="00340A0A" w:rsidRPr="00CB6BDC" w:rsidRDefault="00340A0A" w:rsidP="00340A0A">
      <w:pPr>
        <w:pStyle w:val="FootnoteText"/>
        <w:rPr>
          <w:rFonts w:ascii="Times New Roman" w:hAnsi="Times New Roman" w:cs="Times New Roman"/>
          <w:sz w:val="24"/>
          <w:szCs w:val="24"/>
        </w:rPr>
      </w:pPr>
    </w:p>
  </w:footnote>
  <w:footnote w:id="8">
    <w:p w14:paraId="5AC4C8D9" w14:textId="77777777" w:rsidR="00340A0A" w:rsidRPr="00795F71" w:rsidRDefault="00340A0A" w:rsidP="00340A0A">
      <w:pPr>
        <w:pStyle w:val="FootnoteText"/>
        <w:jc w:val="both"/>
        <w:rPr>
          <w:rFonts w:ascii="Times New Roman" w:hAnsi="Times New Roman" w:cs="Times New Roman"/>
        </w:rPr>
      </w:pPr>
      <w:r w:rsidRPr="00795F71">
        <w:rPr>
          <w:rStyle w:val="FootnoteReference"/>
          <w:rFonts w:ascii="Times New Roman" w:hAnsi="Times New Roman" w:cs="Times New Roman"/>
        </w:rPr>
        <w:footnoteRef/>
      </w:r>
      <w:r w:rsidRPr="00795F71">
        <w:rPr>
          <w:rFonts w:ascii="Times New Roman" w:hAnsi="Times New Roman" w:cs="Times New Roman"/>
        </w:rPr>
        <w:t xml:space="preserve"> </w:t>
      </w:r>
      <w:r w:rsidRPr="00B03790">
        <w:rPr>
          <w:rFonts w:ascii="Times New Roman" w:hAnsi="Times New Roman" w:cs="Times New Roman"/>
        </w:rPr>
        <w:t xml:space="preserve">I use the terms FIN 48 reserves, UTB reserves, UTB balances to refer to the liability accrued for a firm’s uncertain tax positions that fail to meet the FIN 48 standard of more-likely-than-not to be sustained in the event of an audit.  </w:t>
      </w:r>
    </w:p>
  </w:footnote>
  <w:footnote w:id="9">
    <w:p w14:paraId="4A5A0566" w14:textId="77777777" w:rsidR="00340A0A" w:rsidRPr="001864B9" w:rsidRDefault="00340A0A" w:rsidP="00340A0A">
      <w:pPr>
        <w:pStyle w:val="FootnoteText"/>
        <w:jc w:val="both"/>
        <w:rPr>
          <w:rFonts w:ascii="Times New Roman" w:hAnsi="Times New Roman" w:cs="Times New Roman"/>
        </w:rPr>
      </w:pPr>
      <w:r w:rsidRPr="00383E5D">
        <w:rPr>
          <w:rStyle w:val="FootnoteReference"/>
          <w:rFonts w:ascii="Times New Roman" w:hAnsi="Times New Roman" w:cs="Times New Roman"/>
        </w:rPr>
        <w:footnoteRef/>
      </w:r>
      <w:r w:rsidRPr="00383E5D">
        <w:rPr>
          <w:rFonts w:ascii="Times New Roman" w:hAnsi="Times New Roman" w:cs="Times New Roman"/>
        </w:rPr>
        <w:t xml:space="preserve"> </w:t>
      </w:r>
      <w:r w:rsidRPr="00885AE0">
        <w:rPr>
          <w:rFonts w:ascii="Times New Roman" w:hAnsi="Times New Roman" w:cs="Times New Roman"/>
        </w:rPr>
        <w:t>Based on the Robinson and Schmidt (2013)</w:t>
      </w:r>
      <w:r>
        <w:rPr>
          <w:rFonts w:ascii="Times New Roman" w:hAnsi="Times New Roman" w:cs="Times New Roman"/>
        </w:rPr>
        <w:t xml:space="preserve"> compliance measure</w:t>
      </w:r>
      <w:r w:rsidRPr="00885AE0">
        <w:rPr>
          <w:rFonts w:ascii="Times New Roman" w:hAnsi="Times New Roman" w:cs="Times New Roman"/>
        </w:rPr>
        <w:t>,</w:t>
      </w:r>
      <w:r>
        <w:t xml:space="preserve"> </w:t>
      </w:r>
      <w:r w:rsidRPr="00375ED1">
        <w:rPr>
          <w:rFonts w:ascii="Times New Roman" w:hAnsi="Times New Roman" w:cs="Times New Roman"/>
          <w:i/>
        </w:rPr>
        <w:t>COMPLETE</w:t>
      </w:r>
      <w:r>
        <w:rPr>
          <w:rFonts w:ascii="Times New Roman" w:hAnsi="Times New Roman" w:cs="Times New Roman"/>
          <w:i/>
        </w:rPr>
        <w:t xml:space="preserve"> </w:t>
      </w:r>
      <w:r>
        <w:rPr>
          <w:rFonts w:ascii="Times New Roman" w:hAnsi="Times New Roman" w:cs="Times New Roman"/>
        </w:rPr>
        <w:t>measures the six mandatory components of FIN 48 disclosure that are required in periods subsequent to the initial adoption period and for which firms demonstrate variation in compliance.</w:t>
      </w:r>
    </w:p>
  </w:footnote>
  <w:footnote w:id="10">
    <w:p w14:paraId="7A8DE85A" w14:textId="77777777" w:rsidR="00340A0A" w:rsidRPr="00F028D1" w:rsidRDefault="00340A0A" w:rsidP="00340A0A">
      <w:pPr>
        <w:pStyle w:val="FootnoteText"/>
        <w:rPr>
          <w:rFonts w:ascii="Times New Roman" w:hAnsi="Times New Roman" w:cs="Times New Roman"/>
        </w:rPr>
      </w:pPr>
      <w:r w:rsidRPr="00F028D1">
        <w:rPr>
          <w:rStyle w:val="FootnoteReference"/>
          <w:rFonts w:ascii="Times New Roman" w:hAnsi="Times New Roman" w:cs="Times New Roman"/>
        </w:rPr>
        <w:footnoteRef/>
      </w:r>
      <w:r>
        <w:rPr>
          <w:rFonts w:ascii="Times New Roman" w:hAnsi="Times New Roman" w:cs="Times New Roman"/>
        </w:rPr>
        <w:t xml:space="preserve"> There may be multiple jurisdictions included in the total current year additions included in the FIN 48 reconciliation.  However, if a firm provides an explanation that attributes all or a portion of the current year addition to a specific jurisdiction, this better informs the IRS of the dollar amount of the current year portion of the FIN 48 reserve that may be related to federal uncertain tax positions included on IRS Schedule UTP.</w:t>
      </w:r>
    </w:p>
  </w:footnote>
  <w:footnote w:id="11">
    <w:p w14:paraId="3117BDC8" w14:textId="77777777" w:rsidR="00340A0A" w:rsidRDefault="00340A0A" w:rsidP="00340A0A">
      <w:pPr>
        <w:pStyle w:val="FootnoteText"/>
        <w:jc w:val="both"/>
      </w:pPr>
      <w:r w:rsidRPr="00383E5D">
        <w:rPr>
          <w:rStyle w:val="FootnoteReference"/>
          <w:rFonts w:ascii="Times New Roman" w:hAnsi="Times New Roman" w:cs="Times New Roman"/>
        </w:rPr>
        <w:footnoteRef/>
      </w:r>
      <w:r w:rsidRPr="00383E5D">
        <w:rPr>
          <w:rFonts w:ascii="Times New Roman" w:hAnsi="Times New Roman" w:cs="Times New Roman"/>
          <w:sz w:val="24"/>
          <w:szCs w:val="24"/>
        </w:rPr>
        <w:t xml:space="preserve"> </w:t>
      </w:r>
      <w:r w:rsidRPr="00502933">
        <w:rPr>
          <w:rFonts w:ascii="Times New Roman" w:hAnsi="Times New Roman" w:cs="Times New Roman"/>
        </w:rPr>
        <w:t>Th</w:t>
      </w:r>
      <w:r>
        <w:rPr>
          <w:rFonts w:ascii="Times New Roman" w:hAnsi="Times New Roman" w:cs="Times New Roman"/>
        </w:rPr>
        <w:t>e FIN 48</w:t>
      </w:r>
      <w:r w:rsidRPr="00502933">
        <w:rPr>
          <w:rFonts w:ascii="Times New Roman" w:hAnsi="Times New Roman" w:cs="Times New Roman"/>
        </w:rPr>
        <w:t xml:space="preserve"> </w:t>
      </w:r>
      <w:r>
        <w:rPr>
          <w:rFonts w:ascii="Times New Roman" w:hAnsi="Times New Roman" w:cs="Times New Roman"/>
        </w:rPr>
        <w:t>explanation of UTB impact to the effective tax rate</w:t>
      </w:r>
      <w:r w:rsidRPr="00502933">
        <w:rPr>
          <w:rFonts w:ascii="Times New Roman" w:hAnsi="Times New Roman" w:cs="Times New Roman"/>
        </w:rPr>
        <w:t xml:space="preserve"> is different than UTB amounts that may be included in the tax rate reconciliation also presented in the 10-K.  The rate reconciliation includes the amount of UTB that impacts the current year’s effective tax rate.  The FIN48 disclosure addresses the portion of the </w:t>
      </w:r>
      <w:r>
        <w:rPr>
          <w:rFonts w:ascii="Times New Roman" w:hAnsi="Times New Roman" w:cs="Times New Roman"/>
        </w:rPr>
        <w:t xml:space="preserve">UTB ending </w:t>
      </w:r>
      <w:r w:rsidRPr="00502933">
        <w:rPr>
          <w:rFonts w:ascii="Times New Roman" w:hAnsi="Times New Roman" w:cs="Times New Roman"/>
        </w:rPr>
        <w:t>balance that may impact effective tax rates in future years.</w:t>
      </w:r>
      <w:r>
        <w:rPr>
          <w:rFonts w:ascii="Times New Roman" w:hAnsi="Times New Roman" w:cs="Times New Roman"/>
          <w:sz w:val="24"/>
          <w:szCs w:val="24"/>
        </w:rPr>
        <w:t xml:space="preserve">  </w:t>
      </w:r>
    </w:p>
  </w:footnote>
  <w:footnote w:id="12">
    <w:p w14:paraId="13DF6D25" w14:textId="77777777" w:rsidR="00340A0A" w:rsidRPr="00EE31D6" w:rsidRDefault="00340A0A" w:rsidP="00340A0A">
      <w:pPr>
        <w:pStyle w:val="FootnoteText"/>
        <w:jc w:val="both"/>
        <w:rPr>
          <w:rFonts w:ascii="Times New Roman" w:hAnsi="Times New Roman" w:cs="Times New Roman"/>
        </w:rPr>
      </w:pPr>
      <w:r w:rsidRPr="00EE31D6">
        <w:rPr>
          <w:rStyle w:val="FootnoteReference"/>
          <w:rFonts w:ascii="Times New Roman" w:hAnsi="Times New Roman" w:cs="Times New Roman"/>
        </w:rPr>
        <w:footnoteRef/>
      </w:r>
      <w:r w:rsidRPr="00EE31D6">
        <w:rPr>
          <w:rFonts w:ascii="Times New Roman" w:hAnsi="Times New Roman" w:cs="Times New Roman"/>
        </w:rPr>
        <w:t xml:space="preserve"> Robinson &amp; Schmidt (2013) test using an ordered logit regression.  </w:t>
      </w:r>
      <w:r>
        <w:rPr>
          <w:rFonts w:ascii="Times New Roman" w:hAnsi="Times New Roman" w:cs="Times New Roman"/>
        </w:rPr>
        <w:t xml:space="preserve">Ordered logit regressions are most appropriate when the dependent variable is an ordinal measure such as survey responses that measure from 1 to 10.  A Poisson regression is appropriate when the dependent variable is a count variable.  </w:t>
      </w:r>
      <w:r w:rsidRPr="00EE31D6">
        <w:rPr>
          <w:rFonts w:ascii="Times New Roman" w:hAnsi="Times New Roman" w:cs="Times New Roman"/>
        </w:rPr>
        <w:t xml:space="preserve">In </w:t>
      </w:r>
      <w:proofErr w:type="spellStart"/>
      <w:r w:rsidRPr="00EE31D6">
        <w:rPr>
          <w:rFonts w:ascii="Times New Roman" w:hAnsi="Times New Roman" w:cs="Times New Roman"/>
        </w:rPr>
        <w:t>untabulated</w:t>
      </w:r>
      <w:proofErr w:type="spellEnd"/>
      <w:r w:rsidRPr="00EE31D6">
        <w:rPr>
          <w:rFonts w:ascii="Times New Roman" w:hAnsi="Times New Roman" w:cs="Times New Roman"/>
        </w:rPr>
        <w:t xml:space="preserve"> results, my results for my main regressions are statistically similar when using an ordered logit.</w:t>
      </w:r>
    </w:p>
  </w:footnote>
  <w:footnote w:id="13">
    <w:p w14:paraId="7D6ADA16" w14:textId="77777777" w:rsidR="00340A0A" w:rsidRPr="00EE31D6" w:rsidRDefault="00340A0A" w:rsidP="00340A0A">
      <w:pPr>
        <w:pStyle w:val="FootnoteText"/>
        <w:jc w:val="both"/>
        <w:rPr>
          <w:rFonts w:ascii="Times New Roman" w:hAnsi="Times New Roman" w:cs="Times New Roman"/>
        </w:rPr>
      </w:pPr>
      <w:r w:rsidRPr="00383E5D">
        <w:rPr>
          <w:rStyle w:val="FootnoteReference"/>
          <w:rFonts w:ascii="Times New Roman" w:hAnsi="Times New Roman" w:cs="Times New Roman"/>
        </w:rPr>
        <w:footnoteRef/>
      </w:r>
      <w:r>
        <w:t xml:space="preserve"> </w:t>
      </w:r>
      <w:r>
        <w:rPr>
          <w:rFonts w:ascii="Times New Roman" w:hAnsi="Times New Roman" w:cs="Times New Roman"/>
        </w:rPr>
        <w:t xml:space="preserve">I test the Poisson model for over dispersion using a negative binomial regression.  I also use the Stata command </w:t>
      </w:r>
      <w:proofErr w:type="spellStart"/>
      <w:r>
        <w:rPr>
          <w:rFonts w:ascii="Times New Roman" w:hAnsi="Times New Roman" w:cs="Times New Roman"/>
        </w:rPr>
        <w:t>estat</w:t>
      </w:r>
      <w:proofErr w:type="spellEnd"/>
      <w:r>
        <w:rPr>
          <w:rFonts w:ascii="Times New Roman" w:hAnsi="Times New Roman" w:cs="Times New Roman"/>
        </w:rPr>
        <w:t xml:space="preserve"> </w:t>
      </w:r>
      <w:proofErr w:type="spellStart"/>
      <w:r>
        <w:rPr>
          <w:rFonts w:ascii="Times New Roman" w:hAnsi="Times New Roman" w:cs="Times New Roman"/>
        </w:rPr>
        <w:t>gof</w:t>
      </w:r>
      <w:proofErr w:type="spellEnd"/>
      <w:r>
        <w:rPr>
          <w:rFonts w:ascii="Times New Roman" w:hAnsi="Times New Roman" w:cs="Times New Roman"/>
        </w:rPr>
        <w:t xml:space="preserve"> to test that the Poisson Model is appropriately specified.  The </w:t>
      </w:r>
      <w:r w:rsidRPr="00EE31D6">
        <w:rPr>
          <w:rFonts w:ascii="Times New Roman" w:hAnsi="Times New Roman" w:cs="Times New Roman"/>
        </w:rPr>
        <w:t>model fits reasonably well because the goodness-of-fit chi-squared test is not statistically significant.</w:t>
      </w:r>
    </w:p>
  </w:footnote>
  <w:footnote w:id="14">
    <w:p w14:paraId="073D804C" w14:textId="77777777" w:rsidR="00340A0A" w:rsidRPr="00333651" w:rsidRDefault="00340A0A" w:rsidP="00340A0A">
      <w:pPr>
        <w:pStyle w:val="FootnoteText"/>
        <w:rPr>
          <w:rFonts w:ascii="Times New Roman" w:hAnsi="Times New Roman" w:cs="Times New Roman"/>
        </w:rPr>
      </w:pPr>
      <w:r w:rsidRPr="00383E5D">
        <w:rPr>
          <w:rStyle w:val="FootnoteReference"/>
          <w:rFonts w:ascii="Times New Roman" w:hAnsi="Times New Roman" w:cs="Times New Roman"/>
        </w:rPr>
        <w:footnoteRef/>
      </w:r>
      <w:r w:rsidRPr="00383E5D">
        <w:rPr>
          <w:rFonts w:ascii="Times New Roman" w:hAnsi="Times New Roman" w:cs="Times New Roman"/>
        </w:rPr>
        <w:t xml:space="preserve"> R</w:t>
      </w:r>
      <w:r w:rsidRPr="00333651">
        <w:rPr>
          <w:rFonts w:ascii="Times New Roman" w:hAnsi="Times New Roman" w:cs="Times New Roman"/>
        </w:rPr>
        <w:t xml:space="preserve">esults are robust to not </w:t>
      </w:r>
      <w:proofErr w:type="spellStart"/>
      <w:r w:rsidRPr="00333651">
        <w:rPr>
          <w:rFonts w:ascii="Times New Roman" w:hAnsi="Times New Roman" w:cs="Times New Roman"/>
        </w:rPr>
        <w:t>winsorizing</w:t>
      </w:r>
      <w:proofErr w:type="spellEnd"/>
      <w:r w:rsidRPr="00333651">
        <w:rPr>
          <w:rFonts w:ascii="Times New Roman" w:hAnsi="Times New Roman" w:cs="Times New Roman"/>
        </w:rPr>
        <w:t xml:space="preserve"> the </w:t>
      </w:r>
      <w:r w:rsidRPr="00333651">
        <w:rPr>
          <w:rFonts w:ascii="Times New Roman" w:hAnsi="Times New Roman" w:cs="Times New Roman"/>
          <w:i/>
        </w:rPr>
        <w:t xml:space="preserve">CETR </w:t>
      </w:r>
      <w:r w:rsidRPr="00333651">
        <w:rPr>
          <w:rFonts w:ascii="Times New Roman" w:hAnsi="Times New Roman" w:cs="Times New Roman"/>
        </w:rPr>
        <w:t>variable.</w:t>
      </w:r>
    </w:p>
  </w:footnote>
  <w:footnote w:id="15">
    <w:p w14:paraId="5D6F924A" w14:textId="77777777" w:rsidR="00340A0A" w:rsidRPr="00F20EA6" w:rsidRDefault="00340A0A" w:rsidP="00340A0A">
      <w:pPr>
        <w:pStyle w:val="FootnoteText"/>
        <w:jc w:val="both"/>
        <w:rPr>
          <w:rFonts w:ascii="Times New Roman" w:hAnsi="Times New Roman" w:cs="Times New Roman"/>
        </w:rPr>
      </w:pPr>
      <w:r w:rsidRPr="00F20EA6">
        <w:rPr>
          <w:rStyle w:val="FootnoteReference"/>
          <w:rFonts w:ascii="Times New Roman" w:hAnsi="Times New Roman" w:cs="Times New Roman"/>
        </w:rPr>
        <w:footnoteRef/>
      </w:r>
      <w:r w:rsidRPr="00F20EA6">
        <w:rPr>
          <w:rFonts w:ascii="Times New Roman" w:hAnsi="Times New Roman" w:cs="Times New Roman"/>
        </w:rPr>
        <w:t xml:space="preserve"> </w:t>
      </w:r>
      <w:r>
        <w:rPr>
          <w:rFonts w:ascii="Times New Roman" w:hAnsi="Times New Roman" w:cs="Times New Roman"/>
        </w:rPr>
        <w:t xml:space="preserve">In </w:t>
      </w:r>
      <w:proofErr w:type="spellStart"/>
      <w:r>
        <w:rPr>
          <w:rFonts w:ascii="Times New Roman" w:hAnsi="Times New Roman" w:cs="Times New Roman"/>
        </w:rPr>
        <w:t>untabulated</w:t>
      </w:r>
      <w:proofErr w:type="spellEnd"/>
      <w:r>
        <w:rPr>
          <w:rFonts w:ascii="Times New Roman" w:hAnsi="Times New Roman" w:cs="Times New Roman"/>
        </w:rPr>
        <w:t xml:space="preserve"> results, I control for changes to the current year portion of the UTB balance</w:t>
      </w:r>
      <w:r w:rsidRPr="00F20EA6">
        <w:rPr>
          <w:rFonts w:ascii="Times New Roman" w:hAnsi="Times New Roman" w:cs="Times New Roman"/>
        </w:rPr>
        <w:t xml:space="preserve"> and the total </w:t>
      </w:r>
      <w:r>
        <w:rPr>
          <w:rFonts w:ascii="Times New Roman" w:hAnsi="Times New Roman" w:cs="Times New Roman"/>
        </w:rPr>
        <w:t xml:space="preserve">annual </w:t>
      </w:r>
      <w:r w:rsidRPr="00F20EA6">
        <w:rPr>
          <w:rFonts w:ascii="Times New Roman" w:hAnsi="Times New Roman" w:cs="Times New Roman"/>
        </w:rPr>
        <w:t>change to UTB balance.</w:t>
      </w:r>
      <w:r>
        <w:rPr>
          <w:rFonts w:ascii="Times New Roman" w:hAnsi="Times New Roman" w:cs="Times New Roman"/>
        </w:rPr>
        <w:t xml:space="preserve">  My results are robust to both specifications.</w:t>
      </w:r>
    </w:p>
  </w:footnote>
  <w:footnote w:id="16">
    <w:p w14:paraId="1C4C00F2" w14:textId="77777777" w:rsidR="00340A0A" w:rsidRPr="00303FFD" w:rsidRDefault="00340A0A" w:rsidP="00340A0A">
      <w:pPr>
        <w:pStyle w:val="FootnoteText"/>
        <w:rPr>
          <w:rFonts w:ascii="Times New Roman" w:hAnsi="Times New Roman" w:cs="Times New Roman"/>
        </w:rPr>
      </w:pPr>
      <w:r w:rsidRPr="00303FFD">
        <w:rPr>
          <w:rStyle w:val="FootnoteReference"/>
          <w:rFonts w:ascii="Times New Roman" w:hAnsi="Times New Roman" w:cs="Times New Roman"/>
        </w:rPr>
        <w:footnoteRef/>
      </w:r>
      <w:r w:rsidRPr="00303FFD">
        <w:rPr>
          <w:rFonts w:ascii="Times New Roman" w:hAnsi="Times New Roman" w:cs="Times New Roman"/>
        </w:rPr>
        <w:t xml:space="preserve"> </w:t>
      </w:r>
      <w:r>
        <w:rPr>
          <w:rFonts w:ascii="Times New Roman" w:hAnsi="Times New Roman" w:cs="Times New Roman"/>
        </w:rPr>
        <w:t xml:space="preserve">The Schedule UTP </w:t>
      </w:r>
      <w:r w:rsidRPr="00CE3459">
        <w:rPr>
          <w:rFonts w:ascii="Times New Roman" w:hAnsi="Times New Roman" w:cs="Times New Roman"/>
        </w:rPr>
        <w:t>transition</w:t>
      </w:r>
      <w:r>
        <w:rPr>
          <w:rFonts w:ascii="Times New Roman" w:hAnsi="Times New Roman" w:cs="Times New Roman"/>
        </w:rPr>
        <w:t xml:space="preserve"> rule does not require </w:t>
      </w:r>
      <w:r w:rsidRPr="00CE3459">
        <w:rPr>
          <w:rFonts w:ascii="Times New Roman" w:hAnsi="Times New Roman" w:cs="Times New Roman"/>
        </w:rPr>
        <w:t>firm</w:t>
      </w:r>
      <w:r>
        <w:rPr>
          <w:rFonts w:ascii="Times New Roman" w:hAnsi="Times New Roman" w:cs="Times New Roman"/>
        </w:rPr>
        <w:t>s</w:t>
      </w:r>
      <w:r w:rsidRPr="00CE3459">
        <w:rPr>
          <w:rFonts w:ascii="Times New Roman" w:hAnsi="Times New Roman" w:cs="Times New Roman"/>
        </w:rPr>
        <w:t xml:space="preserve"> to report tax position</w:t>
      </w:r>
      <w:r>
        <w:rPr>
          <w:rFonts w:ascii="Times New Roman" w:hAnsi="Times New Roman" w:cs="Times New Roman"/>
        </w:rPr>
        <w:t>s</w:t>
      </w:r>
      <w:r w:rsidRPr="00CE3459">
        <w:rPr>
          <w:rFonts w:ascii="Times New Roman" w:hAnsi="Times New Roman" w:cs="Times New Roman"/>
        </w:rPr>
        <w:t xml:space="preserve"> taken in a tax year beginning before January 1, 2010, even if a reserve is recorded with respect to that tax position in audited financial statements issued in 2010 or later.</w:t>
      </w:r>
      <w:r>
        <w:rPr>
          <w:rFonts w:ascii="Times New Roman" w:hAnsi="Times New Roman" w:cs="Times New Roman"/>
        </w:rPr>
        <w:t xml:space="preserve">  Thus, changes to FIN 48 disclosure quality may be driven by additions or the net change to the prior year portion of the UTB balance.  In </w:t>
      </w:r>
      <w:proofErr w:type="spellStart"/>
      <w:r>
        <w:rPr>
          <w:rFonts w:ascii="Times New Roman" w:hAnsi="Times New Roman" w:cs="Times New Roman"/>
        </w:rPr>
        <w:t>untabulated</w:t>
      </w:r>
      <w:proofErr w:type="spellEnd"/>
      <w:r>
        <w:rPr>
          <w:rFonts w:ascii="Times New Roman" w:hAnsi="Times New Roman" w:cs="Times New Roman"/>
        </w:rPr>
        <w:t xml:space="preserve"> results, to control for the potential impact of prior year positions, I add to the model a variable for the addition to prior year positions and a variable for the net change to prior year positions.  My results are unchanged. </w:t>
      </w:r>
    </w:p>
  </w:footnote>
  <w:footnote w:id="17">
    <w:p w14:paraId="2ACCF225" w14:textId="77777777" w:rsidR="00340A0A" w:rsidRPr="00280BC6" w:rsidRDefault="00340A0A" w:rsidP="00340A0A">
      <w:pPr>
        <w:pStyle w:val="FootnoteText"/>
        <w:jc w:val="both"/>
        <w:rPr>
          <w:rFonts w:ascii="Times New Roman" w:hAnsi="Times New Roman" w:cs="Times New Roman"/>
        </w:rPr>
      </w:pPr>
      <w:r w:rsidRPr="00280BC6">
        <w:rPr>
          <w:rStyle w:val="FootnoteReference"/>
          <w:rFonts w:ascii="Times New Roman" w:hAnsi="Times New Roman" w:cs="Times New Roman"/>
        </w:rPr>
        <w:footnoteRef/>
      </w:r>
      <w:r w:rsidRPr="00280BC6">
        <w:rPr>
          <w:rFonts w:ascii="Times New Roman" w:hAnsi="Times New Roman" w:cs="Times New Roman"/>
        </w:rPr>
        <w:t xml:space="preserve"> </w:t>
      </w:r>
      <w:r>
        <w:rPr>
          <w:rFonts w:ascii="Times New Roman" w:hAnsi="Times New Roman" w:cs="Times New Roman"/>
        </w:rPr>
        <w:t xml:space="preserve">I follow Robinson &amp; </w:t>
      </w:r>
      <w:proofErr w:type="spellStart"/>
      <w:r>
        <w:rPr>
          <w:rFonts w:ascii="Times New Roman" w:hAnsi="Times New Roman" w:cs="Times New Roman"/>
        </w:rPr>
        <w:t>Schidmt</w:t>
      </w:r>
      <w:proofErr w:type="spellEnd"/>
      <w:r>
        <w:rPr>
          <w:rFonts w:ascii="Times New Roman" w:hAnsi="Times New Roman" w:cs="Times New Roman"/>
        </w:rPr>
        <w:t xml:space="preserve"> (2013) for the specification of FOROPS as the n</w:t>
      </w:r>
      <w:r w:rsidRPr="00280BC6">
        <w:rPr>
          <w:rFonts w:ascii="Times New Roman" w:hAnsi="Times New Roman" w:cs="Times New Roman"/>
        </w:rPr>
        <w:t>umber of times a firm reports foreign pretax income (PIFO) as a percentage of the number of times a firm reports total pretax income</w:t>
      </w:r>
      <w:r>
        <w:rPr>
          <w:rFonts w:ascii="Times New Roman" w:hAnsi="Times New Roman" w:cs="Times New Roman"/>
        </w:rPr>
        <w:t xml:space="preserve"> (over the previous five years).  My results are robust to using the alternate specification of foreign income as a percentage of total revenue (PIFO/SALE).</w:t>
      </w:r>
    </w:p>
  </w:footnote>
  <w:footnote w:id="18">
    <w:p w14:paraId="0D42A2A7" w14:textId="77777777" w:rsidR="00340A0A" w:rsidRDefault="00340A0A" w:rsidP="00340A0A">
      <w:pPr>
        <w:pStyle w:val="FootnoteText"/>
        <w:jc w:val="both"/>
      </w:pPr>
      <w:r w:rsidRPr="00383E5D">
        <w:rPr>
          <w:rStyle w:val="FootnoteReference"/>
          <w:rFonts w:ascii="Times New Roman" w:hAnsi="Times New Roman" w:cs="Times New Roman"/>
        </w:rPr>
        <w:footnoteRef/>
      </w:r>
      <w:r w:rsidRPr="00383E5D">
        <w:rPr>
          <w:rFonts w:ascii="Times New Roman" w:hAnsi="Times New Roman" w:cs="Times New Roman"/>
        </w:rPr>
        <w:t xml:space="preserve"> </w:t>
      </w:r>
      <w:r w:rsidRPr="005548AB">
        <w:rPr>
          <w:rFonts w:ascii="Times New Roman" w:hAnsi="Times New Roman" w:cs="Times New Roman"/>
        </w:rPr>
        <w:t xml:space="preserve">When using the </w:t>
      </w:r>
      <w:r>
        <w:rPr>
          <w:rFonts w:ascii="Times New Roman" w:hAnsi="Times New Roman" w:cs="Times New Roman"/>
        </w:rPr>
        <w:t xml:space="preserve">Robinson &amp; Schmidt (2013) complete score that ranges from 0 to 8, my </w:t>
      </w:r>
      <w:r w:rsidRPr="005548AB">
        <w:rPr>
          <w:rFonts w:ascii="Times New Roman" w:hAnsi="Times New Roman" w:cs="Times New Roman"/>
        </w:rPr>
        <w:t xml:space="preserve">mean (median) </w:t>
      </w:r>
      <w:r w:rsidRPr="00881ADD">
        <w:rPr>
          <w:rFonts w:ascii="Times New Roman" w:hAnsi="Times New Roman" w:cs="Times New Roman"/>
          <w:i/>
        </w:rPr>
        <w:t>COMPLETE</w:t>
      </w:r>
      <w:r>
        <w:rPr>
          <w:rFonts w:ascii="Times New Roman" w:hAnsi="Times New Roman" w:cs="Times New Roman"/>
        </w:rPr>
        <w:t xml:space="preserve"> is 6.20</w:t>
      </w:r>
      <w:r w:rsidRPr="005548AB">
        <w:rPr>
          <w:rFonts w:ascii="Times New Roman" w:hAnsi="Times New Roman" w:cs="Times New Roman"/>
        </w:rPr>
        <w:t xml:space="preserve"> (</w:t>
      </w:r>
      <w:r>
        <w:rPr>
          <w:rFonts w:ascii="Times New Roman" w:hAnsi="Times New Roman" w:cs="Times New Roman"/>
        </w:rPr>
        <w:t>6</w:t>
      </w:r>
      <w:r w:rsidRPr="005548AB">
        <w:rPr>
          <w:rFonts w:ascii="Times New Roman" w:hAnsi="Times New Roman" w:cs="Times New Roman"/>
        </w:rPr>
        <w:t xml:space="preserve">) for compliance with the eight mandated components of FIN 48 disclosure.  This </w:t>
      </w:r>
      <w:r>
        <w:rPr>
          <w:rFonts w:ascii="Times New Roman" w:hAnsi="Times New Roman" w:cs="Times New Roman"/>
        </w:rPr>
        <w:t xml:space="preserve">result </w:t>
      </w:r>
      <w:r w:rsidRPr="005548AB">
        <w:rPr>
          <w:rFonts w:ascii="Times New Roman" w:hAnsi="Times New Roman" w:cs="Times New Roman"/>
        </w:rPr>
        <w:t xml:space="preserve">is consistent with the </w:t>
      </w:r>
      <w:r>
        <w:rPr>
          <w:rFonts w:ascii="Times New Roman" w:hAnsi="Times New Roman" w:cs="Times New Roman"/>
        </w:rPr>
        <w:t xml:space="preserve">complete </w:t>
      </w:r>
      <w:r w:rsidRPr="005548AB">
        <w:rPr>
          <w:rFonts w:ascii="Times New Roman" w:hAnsi="Times New Roman" w:cs="Times New Roman"/>
        </w:rPr>
        <w:t>score of 7</w:t>
      </w:r>
      <w:r>
        <w:rPr>
          <w:rFonts w:ascii="Times New Roman" w:hAnsi="Times New Roman" w:cs="Times New Roman"/>
        </w:rPr>
        <w:t>.05(7.33)</w:t>
      </w:r>
      <w:r w:rsidRPr="005548AB">
        <w:rPr>
          <w:rFonts w:ascii="Times New Roman" w:hAnsi="Times New Roman" w:cs="Times New Roman"/>
        </w:rPr>
        <w:t xml:space="preserve"> from the Robinson &amp; Schmidt </w:t>
      </w:r>
      <w:r>
        <w:rPr>
          <w:rFonts w:ascii="Times New Roman" w:hAnsi="Times New Roman" w:cs="Times New Roman"/>
        </w:rPr>
        <w:t>(</w:t>
      </w:r>
      <w:r w:rsidRPr="005548AB">
        <w:rPr>
          <w:rFonts w:ascii="Times New Roman" w:hAnsi="Times New Roman" w:cs="Times New Roman"/>
        </w:rPr>
        <w:t>2013</w:t>
      </w:r>
      <w:r>
        <w:rPr>
          <w:rFonts w:ascii="Times New Roman" w:hAnsi="Times New Roman" w:cs="Times New Roman"/>
        </w:rPr>
        <w:t>)</w:t>
      </w:r>
      <w:r w:rsidRPr="005548AB">
        <w:rPr>
          <w:rFonts w:ascii="Times New Roman" w:hAnsi="Times New Roman" w:cs="Times New Roman"/>
        </w:rPr>
        <w:t xml:space="preserve"> sample when </w:t>
      </w:r>
      <w:r>
        <w:rPr>
          <w:rFonts w:ascii="Times New Roman" w:hAnsi="Times New Roman" w:cs="Times New Roman"/>
        </w:rPr>
        <w:t xml:space="preserve">adjusted </w:t>
      </w:r>
      <w:r w:rsidRPr="005548AB">
        <w:rPr>
          <w:rFonts w:ascii="Times New Roman" w:hAnsi="Times New Roman" w:cs="Times New Roman"/>
        </w:rPr>
        <w:t>for firms no longer disclosing the initial adoption year impact of FIN 48 (</w:t>
      </w:r>
      <w:r w:rsidRPr="00881ADD">
        <w:rPr>
          <w:rFonts w:ascii="Times New Roman" w:hAnsi="Times New Roman" w:cs="Times New Roman"/>
          <w:i/>
        </w:rPr>
        <w:t>8C_ADOPT</w:t>
      </w:r>
      <w:r w:rsidRPr="005548AB">
        <w:rPr>
          <w:rFonts w:ascii="Times New Roman" w:hAnsi="Times New Roman" w:cs="Times New Roman"/>
        </w:rPr>
        <w:t>)</w:t>
      </w:r>
      <w:r>
        <w:rPr>
          <w:rFonts w:ascii="Times New Roman" w:hAnsi="Times New Roman" w:cs="Times New Roman"/>
        </w:rPr>
        <w:t>.</w:t>
      </w:r>
    </w:p>
  </w:footnote>
  <w:footnote w:id="19">
    <w:p w14:paraId="5066A06E" w14:textId="77777777" w:rsidR="00340A0A" w:rsidRDefault="00340A0A" w:rsidP="00340A0A">
      <w:pPr>
        <w:pStyle w:val="FootnoteText"/>
        <w:jc w:val="both"/>
      </w:pPr>
      <w:r>
        <w:rPr>
          <w:rStyle w:val="FootnoteReference"/>
        </w:rPr>
        <w:footnoteRef/>
      </w:r>
      <w:r>
        <w:t xml:space="preserve"> </w:t>
      </w:r>
      <w:r w:rsidRPr="000C0663">
        <w:rPr>
          <w:rFonts w:ascii="Times New Roman" w:hAnsi="Times New Roman" w:cs="Times New Roman"/>
        </w:rPr>
        <w:t xml:space="preserve">The </w:t>
      </w:r>
      <w:r w:rsidRPr="001A1D67">
        <w:rPr>
          <w:rFonts w:ascii="Times New Roman" w:hAnsi="Times New Roman" w:cs="Times New Roman"/>
          <w:i/>
        </w:rPr>
        <w:t>CLARITY</w:t>
      </w:r>
      <w:r w:rsidRPr="000C0663">
        <w:rPr>
          <w:rFonts w:ascii="Times New Roman" w:hAnsi="Times New Roman" w:cs="Times New Roman"/>
        </w:rPr>
        <w:t xml:space="preserve"> Poisson regression </w:t>
      </w:r>
      <w:r>
        <w:rPr>
          <w:rFonts w:ascii="Times New Roman" w:hAnsi="Times New Roman" w:cs="Times New Roman"/>
        </w:rPr>
        <w:t xml:space="preserve">with fixed effects </w:t>
      </w:r>
      <w:r w:rsidRPr="000C0663">
        <w:rPr>
          <w:rFonts w:ascii="Times New Roman" w:hAnsi="Times New Roman" w:cs="Times New Roman"/>
        </w:rPr>
        <w:t>drops 14</w:t>
      </w:r>
      <w:r>
        <w:rPr>
          <w:rFonts w:ascii="Times New Roman" w:hAnsi="Times New Roman" w:cs="Times New Roman"/>
        </w:rPr>
        <w:t>2</w:t>
      </w:r>
      <w:r w:rsidRPr="000C0663">
        <w:rPr>
          <w:rFonts w:ascii="Times New Roman" w:hAnsi="Times New Roman" w:cs="Times New Roman"/>
        </w:rPr>
        <w:t xml:space="preserve"> firms or 2</w:t>
      </w:r>
      <w:r>
        <w:rPr>
          <w:rFonts w:ascii="Times New Roman" w:hAnsi="Times New Roman" w:cs="Times New Roman"/>
        </w:rPr>
        <w:t>84</w:t>
      </w:r>
      <w:r w:rsidRPr="000C0663">
        <w:rPr>
          <w:rFonts w:ascii="Times New Roman" w:hAnsi="Times New Roman" w:cs="Times New Roman"/>
        </w:rPr>
        <w:t xml:space="preserve"> firm-years that have </w:t>
      </w:r>
      <w:r>
        <w:rPr>
          <w:rFonts w:ascii="Times New Roman" w:hAnsi="Times New Roman" w:cs="Times New Roman"/>
        </w:rPr>
        <w:t xml:space="preserve">no change in </w:t>
      </w:r>
      <w:r w:rsidRPr="00482008">
        <w:rPr>
          <w:rFonts w:ascii="Times New Roman" w:hAnsi="Times New Roman" w:cs="Times New Roman"/>
          <w:i/>
        </w:rPr>
        <w:t>CLARITY</w:t>
      </w:r>
      <w:r>
        <w:rPr>
          <w:rFonts w:ascii="Times New Roman" w:hAnsi="Times New Roman" w:cs="Times New Roman"/>
        </w:rPr>
        <w:t xml:space="preserve"> score, primarily firms that have a </w:t>
      </w:r>
      <w:r w:rsidRPr="000C0663">
        <w:rPr>
          <w:rFonts w:ascii="Times New Roman" w:hAnsi="Times New Roman" w:cs="Times New Roman"/>
        </w:rPr>
        <w:t xml:space="preserve">zero </w:t>
      </w:r>
      <w:r w:rsidRPr="000C0663">
        <w:rPr>
          <w:rFonts w:ascii="Times New Roman" w:hAnsi="Times New Roman" w:cs="Times New Roman"/>
          <w:i/>
        </w:rPr>
        <w:t>CLARITY</w:t>
      </w:r>
      <w:r>
        <w:rPr>
          <w:rFonts w:ascii="Times New Roman" w:hAnsi="Times New Roman" w:cs="Times New Roman"/>
        </w:rPr>
        <w:t xml:space="preserve"> disclosure score</w:t>
      </w:r>
      <w:r w:rsidRPr="000C0663">
        <w:rPr>
          <w:rFonts w:ascii="Times New Roman" w:hAnsi="Times New Roman" w:cs="Times New Roman"/>
        </w:rPr>
        <w:t xml:space="preserve"> in 2009 and 2010.</w:t>
      </w:r>
    </w:p>
  </w:footnote>
  <w:footnote w:id="20">
    <w:p w14:paraId="0C258BE8" w14:textId="77777777" w:rsidR="00340A0A" w:rsidRPr="00937937" w:rsidRDefault="00340A0A" w:rsidP="00340A0A">
      <w:pPr>
        <w:pStyle w:val="FootnoteText"/>
        <w:rPr>
          <w:rFonts w:ascii="Times New Roman" w:hAnsi="Times New Roman" w:cs="Times New Roman"/>
        </w:rPr>
      </w:pPr>
      <w:r w:rsidRPr="00937937">
        <w:rPr>
          <w:rStyle w:val="FootnoteReference"/>
          <w:rFonts w:ascii="Times New Roman" w:hAnsi="Times New Roman" w:cs="Times New Roman"/>
        </w:rPr>
        <w:footnoteRef/>
      </w:r>
      <w:r>
        <w:rPr>
          <w:rFonts w:ascii="Times New Roman" w:hAnsi="Times New Roman" w:cs="Times New Roman"/>
        </w:rPr>
        <w:t xml:space="preserve"> See Appendix B </w:t>
      </w:r>
      <w:r w:rsidRPr="00937937">
        <w:rPr>
          <w:rFonts w:ascii="Times New Roman" w:hAnsi="Times New Roman" w:cs="Times New Roman"/>
        </w:rPr>
        <w:t xml:space="preserve">for an example of a firm that changes its disclosure in this way.  </w:t>
      </w:r>
    </w:p>
  </w:footnote>
  <w:footnote w:id="21">
    <w:p w14:paraId="731B95BF" w14:textId="77777777" w:rsidR="00340A0A" w:rsidRPr="001011CB" w:rsidRDefault="00340A0A" w:rsidP="00C00E52">
      <w:pPr>
        <w:pStyle w:val="FootnoteText"/>
        <w:rPr>
          <w:rFonts w:ascii="Times New Roman" w:hAnsi="Times New Roman" w:cs="Times New Roman"/>
        </w:rPr>
      </w:pPr>
      <w:r w:rsidRPr="001011CB">
        <w:rPr>
          <w:rStyle w:val="FootnoteReference"/>
          <w:rFonts w:ascii="Times New Roman" w:hAnsi="Times New Roman" w:cs="Times New Roman"/>
        </w:rPr>
        <w:footnoteRef/>
      </w:r>
      <w:r w:rsidRPr="001011CB">
        <w:rPr>
          <w:rFonts w:ascii="Times New Roman" w:hAnsi="Times New Roman" w:cs="Times New Roman"/>
        </w:rPr>
        <w:t xml:space="preserve"> </w:t>
      </w:r>
      <w:r>
        <w:rPr>
          <w:rFonts w:ascii="Times New Roman" w:hAnsi="Times New Roman" w:cs="Times New Roman"/>
        </w:rPr>
        <w:t>Note that</w:t>
      </w:r>
      <w:r w:rsidRPr="00AD6663">
        <w:rPr>
          <w:rFonts w:ascii="Times New Roman" w:hAnsi="Times New Roman" w:cs="Times New Roman"/>
        </w:rPr>
        <w:t xml:space="preserve"> </w:t>
      </w:r>
      <w:r>
        <w:rPr>
          <w:rFonts w:ascii="Times New Roman" w:hAnsi="Times New Roman" w:cs="Times New Roman"/>
        </w:rPr>
        <w:t xml:space="preserve">disclosing prior year information is a low cost disclosure strategy as </w:t>
      </w:r>
      <w:r w:rsidRPr="00AD6663">
        <w:rPr>
          <w:rFonts w:ascii="Times New Roman" w:hAnsi="Times New Roman" w:cs="Times New Roman"/>
        </w:rPr>
        <w:t>it is a longstanding IRS policy to not reopen tax years that</w:t>
      </w:r>
      <w:r>
        <w:rPr>
          <w:rFonts w:ascii="Times New Roman" w:hAnsi="Times New Roman" w:cs="Times New Roman"/>
        </w:rPr>
        <w:t xml:space="preserve"> have been examined and closed </w:t>
      </w:r>
      <w:r w:rsidRPr="00AD6663">
        <w:rPr>
          <w:rFonts w:ascii="Times New Roman" w:hAnsi="Times New Roman" w:cs="Times New Roman"/>
        </w:rPr>
        <w:t xml:space="preserve">(Internal Revenue Manual 1.2.1.4.1, P-4-3 (12-21-1984). </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42508"/>
    <w:multiLevelType w:val="hybridMultilevel"/>
    <w:tmpl w:val="7CE2769E"/>
    <w:lvl w:ilvl="0" w:tplc="04090001">
      <w:start w:val="1"/>
      <w:numFmt w:val="bullet"/>
      <w:lvlText w:val=""/>
      <w:lvlJc w:val="left"/>
      <w:pPr>
        <w:ind w:left="720" w:hanging="360"/>
      </w:pPr>
      <w:rPr>
        <w:rFonts w:ascii="Symbol" w:hAnsi="Symbol" w:hint="default"/>
      </w:rPr>
    </w:lvl>
    <w:lvl w:ilvl="1" w:tplc="204C5630">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A166E1"/>
    <w:multiLevelType w:val="hybridMultilevel"/>
    <w:tmpl w:val="51BE4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counting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pr20wz6v0vdyes25e5vdd8ssfd2e0srwex&quot;&gt;My EndNote Library&lt;record-ids&gt;&lt;item&gt;96&lt;/item&gt;&lt;item&gt;105&lt;/item&gt;&lt;item&gt;114&lt;/item&gt;&lt;item&gt;133&lt;/item&gt;&lt;item&gt;142&lt;/item&gt;&lt;item&gt;143&lt;/item&gt;&lt;item&gt;168&lt;/item&gt;&lt;item&gt;171&lt;/item&gt;&lt;item&gt;224&lt;/item&gt;&lt;item&gt;226&lt;/item&gt;&lt;item&gt;229&lt;/item&gt;&lt;item&gt;234&lt;/item&gt;&lt;item&gt;240&lt;/item&gt;&lt;item&gt;253&lt;/item&gt;&lt;item&gt;256&lt;/item&gt;&lt;item&gt;261&lt;/item&gt;&lt;item&gt;269&lt;/item&gt;&lt;item&gt;291&lt;/item&gt;&lt;item&gt;316&lt;/item&gt;&lt;item&gt;334&lt;/item&gt;&lt;item&gt;337&lt;/item&gt;&lt;item&gt;339&lt;/item&gt;&lt;item&gt;343&lt;/item&gt;&lt;item&gt;345&lt;/item&gt;&lt;item&gt;346&lt;/item&gt;&lt;item&gt;347&lt;/item&gt;&lt;item&gt;349&lt;/item&gt;&lt;item&gt;350&lt;/item&gt;&lt;item&gt;354&lt;/item&gt;&lt;item&gt;355&lt;/item&gt;&lt;item&gt;358&lt;/item&gt;&lt;item&gt;365&lt;/item&gt;&lt;item&gt;367&lt;/item&gt;&lt;item&gt;374&lt;/item&gt;&lt;item&gt;375&lt;/item&gt;&lt;item&gt;379&lt;/item&gt;&lt;item&gt;380&lt;/item&gt;&lt;item&gt;381&lt;/item&gt;&lt;item&gt;389&lt;/item&gt;&lt;item&gt;688&lt;/item&gt;&lt;item&gt;761&lt;/item&gt;&lt;item&gt;762&lt;/item&gt;&lt;item&gt;780&lt;/item&gt;&lt;item&gt;782&lt;/item&gt;&lt;item&gt;788&lt;/item&gt;&lt;item&gt;789&lt;/item&gt;&lt;item&gt;790&lt;/item&gt;&lt;item&gt;791&lt;/item&gt;&lt;item&gt;792&lt;/item&gt;&lt;item&gt;793&lt;/item&gt;&lt;item&gt;794&lt;/item&gt;&lt;item&gt;795&lt;/item&gt;&lt;item&gt;796&lt;/item&gt;&lt;item&gt;798&lt;/item&gt;&lt;/record-ids&gt;&lt;/item&gt;&lt;/Libraries&gt;"/>
  </w:docVars>
  <w:rsids>
    <w:rsidRoot w:val="00005329"/>
    <w:rsid w:val="000007F8"/>
    <w:rsid w:val="00000E90"/>
    <w:rsid w:val="00002F79"/>
    <w:rsid w:val="00003A06"/>
    <w:rsid w:val="00005329"/>
    <w:rsid w:val="00005506"/>
    <w:rsid w:val="000057E0"/>
    <w:rsid w:val="00011A4D"/>
    <w:rsid w:val="0001536F"/>
    <w:rsid w:val="000165E8"/>
    <w:rsid w:val="00017FF7"/>
    <w:rsid w:val="000232FC"/>
    <w:rsid w:val="000236D5"/>
    <w:rsid w:val="00026AE6"/>
    <w:rsid w:val="00033225"/>
    <w:rsid w:val="00033B8B"/>
    <w:rsid w:val="00034558"/>
    <w:rsid w:val="00040A4E"/>
    <w:rsid w:val="00040A97"/>
    <w:rsid w:val="00043351"/>
    <w:rsid w:val="00045602"/>
    <w:rsid w:val="00047A5F"/>
    <w:rsid w:val="00051C83"/>
    <w:rsid w:val="000571FA"/>
    <w:rsid w:val="00060FAC"/>
    <w:rsid w:val="0006632B"/>
    <w:rsid w:val="000723B0"/>
    <w:rsid w:val="00074636"/>
    <w:rsid w:val="00076F98"/>
    <w:rsid w:val="000811AD"/>
    <w:rsid w:val="000834F6"/>
    <w:rsid w:val="00084A86"/>
    <w:rsid w:val="00084C3E"/>
    <w:rsid w:val="000905BE"/>
    <w:rsid w:val="00090A79"/>
    <w:rsid w:val="00091F8D"/>
    <w:rsid w:val="00092594"/>
    <w:rsid w:val="0009416C"/>
    <w:rsid w:val="00094F37"/>
    <w:rsid w:val="000A111F"/>
    <w:rsid w:val="000A1DDD"/>
    <w:rsid w:val="000A2E9C"/>
    <w:rsid w:val="000A6879"/>
    <w:rsid w:val="000B1BF2"/>
    <w:rsid w:val="000B5DA7"/>
    <w:rsid w:val="000B72FE"/>
    <w:rsid w:val="000B7BE1"/>
    <w:rsid w:val="000C0663"/>
    <w:rsid w:val="000C7965"/>
    <w:rsid w:val="000C7EBE"/>
    <w:rsid w:val="000D50DB"/>
    <w:rsid w:val="000E167B"/>
    <w:rsid w:val="000E4082"/>
    <w:rsid w:val="000E45A8"/>
    <w:rsid w:val="000E4F81"/>
    <w:rsid w:val="000F474F"/>
    <w:rsid w:val="000F6979"/>
    <w:rsid w:val="000F74D6"/>
    <w:rsid w:val="0010154C"/>
    <w:rsid w:val="0011308C"/>
    <w:rsid w:val="00113348"/>
    <w:rsid w:val="001161D0"/>
    <w:rsid w:val="00116F52"/>
    <w:rsid w:val="00120A4E"/>
    <w:rsid w:val="00121AD5"/>
    <w:rsid w:val="00123180"/>
    <w:rsid w:val="00132540"/>
    <w:rsid w:val="00135369"/>
    <w:rsid w:val="00135550"/>
    <w:rsid w:val="0013710D"/>
    <w:rsid w:val="00137E26"/>
    <w:rsid w:val="00140BA8"/>
    <w:rsid w:val="001417E8"/>
    <w:rsid w:val="001425B2"/>
    <w:rsid w:val="00143DA0"/>
    <w:rsid w:val="0014430A"/>
    <w:rsid w:val="00147563"/>
    <w:rsid w:val="00152136"/>
    <w:rsid w:val="0015235A"/>
    <w:rsid w:val="00156F1A"/>
    <w:rsid w:val="0016453B"/>
    <w:rsid w:val="001661FF"/>
    <w:rsid w:val="00166D47"/>
    <w:rsid w:val="00167952"/>
    <w:rsid w:val="00171C05"/>
    <w:rsid w:val="0017501A"/>
    <w:rsid w:val="00177B58"/>
    <w:rsid w:val="001826A2"/>
    <w:rsid w:val="00183861"/>
    <w:rsid w:val="001838A6"/>
    <w:rsid w:val="00183E9C"/>
    <w:rsid w:val="001852DF"/>
    <w:rsid w:val="001864B9"/>
    <w:rsid w:val="00187A2E"/>
    <w:rsid w:val="0019205D"/>
    <w:rsid w:val="0019233E"/>
    <w:rsid w:val="00193B00"/>
    <w:rsid w:val="00196A40"/>
    <w:rsid w:val="00197F4D"/>
    <w:rsid w:val="001A1D67"/>
    <w:rsid w:val="001A2B56"/>
    <w:rsid w:val="001B2920"/>
    <w:rsid w:val="001B2F12"/>
    <w:rsid w:val="001B6F98"/>
    <w:rsid w:val="001B7231"/>
    <w:rsid w:val="001B7699"/>
    <w:rsid w:val="001C44C7"/>
    <w:rsid w:val="001E11E1"/>
    <w:rsid w:val="001E1C66"/>
    <w:rsid w:val="001E2FAF"/>
    <w:rsid w:val="001E3DAF"/>
    <w:rsid w:val="001E3EB4"/>
    <w:rsid w:val="001F0D56"/>
    <w:rsid w:val="001F41BE"/>
    <w:rsid w:val="001F48A1"/>
    <w:rsid w:val="001F67C1"/>
    <w:rsid w:val="001F7BB4"/>
    <w:rsid w:val="00201225"/>
    <w:rsid w:val="00202D3D"/>
    <w:rsid w:val="00203AAA"/>
    <w:rsid w:val="00205515"/>
    <w:rsid w:val="00211217"/>
    <w:rsid w:val="00211DB6"/>
    <w:rsid w:val="0021491E"/>
    <w:rsid w:val="002218C3"/>
    <w:rsid w:val="00223178"/>
    <w:rsid w:val="00224815"/>
    <w:rsid w:val="00225612"/>
    <w:rsid w:val="00226B3A"/>
    <w:rsid w:val="00226DA6"/>
    <w:rsid w:val="00226DCA"/>
    <w:rsid w:val="00227C0C"/>
    <w:rsid w:val="0023657E"/>
    <w:rsid w:val="002367AE"/>
    <w:rsid w:val="00237DA8"/>
    <w:rsid w:val="00241063"/>
    <w:rsid w:val="002436DC"/>
    <w:rsid w:val="00244036"/>
    <w:rsid w:val="002452F4"/>
    <w:rsid w:val="00247BC7"/>
    <w:rsid w:val="0025396C"/>
    <w:rsid w:val="00254144"/>
    <w:rsid w:val="00256805"/>
    <w:rsid w:val="00260106"/>
    <w:rsid w:val="00261377"/>
    <w:rsid w:val="00261A59"/>
    <w:rsid w:val="0026352C"/>
    <w:rsid w:val="00265549"/>
    <w:rsid w:val="00265DEA"/>
    <w:rsid w:val="0026771B"/>
    <w:rsid w:val="002739B8"/>
    <w:rsid w:val="002775A8"/>
    <w:rsid w:val="002777E0"/>
    <w:rsid w:val="002829B2"/>
    <w:rsid w:val="00286D95"/>
    <w:rsid w:val="0029245B"/>
    <w:rsid w:val="00295E63"/>
    <w:rsid w:val="002A1B87"/>
    <w:rsid w:val="002A1CCA"/>
    <w:rsid w:val="002A322E"/>
    <w:rsid w:val="002A398E"/>
    <w:rsid w:val="002A4009"/>
    <w:rsid w:val="002A4EB5"/>
    <w:rsid w:val="002A5F40"/>
    <w:rsid w:val="002A70B6"/>
    <w:rsid w:val="002B3132"/>
    <w:rsid w:val="002B3593"/>
    <w:rsid w:val="002B4AC3"/>
    <w:rsid w:val="002C19B9"/>
    <w:rsid w:val="002C3ADB"/>
    <w:rsid w:val="002C7B02"/>
    <w:rsid w:val="002D77C0"/>
    <w:rsid w:val="002E18AC"/>
    <w:rsid w:val="002E1944"/>
    <w:rsid w:val="002E22CD"/>
    <w:rsid w:val="002E3830"/>
    <w:rsid w:val="002E4371"/>
    <w:rsid w:val="002E7C76"/>
    <w:rsid w:val="002F02AE"/>
    <w:rsid w:val="002F0634"/>
    <w:rsid w:val="002F325B"/>
    <w:rsid w:val="002F497B"/>
    <w:rsid w:val="002F4A40"/>
    <w:rsid w:val="002F5002"/>
    <w:rsid w:val="00302AB7"/>
    <w:rsid w:val="003043D7"/>
    <w:rsid w:val="003044FE"/>
    <w:rsid w:val="00304705"/>
    <w:rsid w:val="003079BC"/>
    <w:rsid w:val="003156EC"/>
    <w:rsid w:val="00317466"/>
    <w:rsid w:val="00320F57"/>
    <w:rsid w:val="003231F6"/>
    <w:rsid w:val="0032375A"/>
    <w:rsid w:val="00326176"/>
    <w:rsid w:val="003312E9"/>
    <w:rsid w:val="003315EC"/>
    <w:rsid w:val="00332903"/>
    <w:rsid w:val="003370FE"/>
    <w:rsid w:val="00340128"/>
    <w:rsid w:val="00340A0A"/>
    <w:rsid w:val="003435C2"/>
    <w:rsid w:val="00347DA9"/>
    <w:rsid w:val="00352225"/>
    <w:rsid w:val="00353D37"/>
    <w:rsid w:val="0035652D"/>
    <w:rsid w:val="00357825"/>
    <w:rsid w:val="00360D9E"/>
    <w:rsid w:val="00361F2A"/>
    <w:rsid w:val="003631C1"/>
    <w:rsid w:val="00363F5B"/>
    <w:rsid w:val="0036464E"/>
    <w:rsid w:val="00364F83"/>
    <w:rsid w:val="003673E4"/>
    <w:rsid w:val="0037200F"/>
    <w:rsid w:val="00372906"/>
    <w:rsid w:val="00375953"/>
    <w:rsid w:val="00375AAA"/>
    <w:rsid w:val="00375C6E"/>
    <w:rsid w:val="00375ED1"/>
    <w:rsid w:val="00383D9A"/>
    <w:rsid w:val="00384A86"/>
    <w:rsid w:val="00390DB3"/>
    <w:rsid w:val="00393507"/>
    <w:rsid w:val="003A2C8F"/>
    <w:rsid w:val="003A2CDF"/>
    <w:rsid w:val="003A2F3E"/>
    <w:rsid w:val="003A6C96"/>
    <w:rsid w:val="003B0FA7"/>
    <w:rsid w:val="003B14B3"/>
    <w:rsid w:val="003B1F11"/>
    <w:rsid w:val="003B5E7F"/>
    <w:rsid w:val="003C162F"/>
    <w:rsid w:val="003C387B"/>
    <w:rsid w:val="003C57E1"/>
    <w:rsid w:val="003C7F72"/>
    <w:rsid w:val="003D333B"/>
    <w:rsid w:val="003D4BA2"/>
    <w:rsid w:val="003D515F"/>
    <w:rsid w:val="003D54C4"/>
    <w:rsid w:val="003D6853"/>
    <w:rsid w:val="003E03FC"/>
    <w:rsid w:val="003E0CFD"/>
    <w:rsid w:val="003E2180"/>
    <w:rsid w:val="003E3E9D"/>
    <w:rsid w:val="003E503C"/>
    <w:rsid w:val="003E64D7"/>
    <w:rsid w:val="003F1F88"/>
    <w:rsid w:val="003F2A82"/>
    <w:rsid w:val="003F7260"/>
    <w:rsid w:val="0040160B"/>
    <w:rsid w:val="004041A5"/>
    <w:rsid w:val="00404A0E"/>
    <w:rsid w:val="00415FB9"/>
    <w:rsid w:val="00416DEB"/>
    <w:rsid w:val="00417EA7"/>
    <w:rsid w:val="00424883"/>
    <w:rsid w:val="004300B1"/>
    <w:rsid w:val="004315FE"/>
    <w:rsid w:val="00435784"/>
    <w:rsid w:val="00435849"/>
    <w:rsid w:val="00437B4F"/>
    <w:rsid w:val="00443337"/>
    <w:rsid w:val="004433E3"/>
    <w:rsid w:val="00443EA1"/>
    <w:rsid w:val="004458CF"/>
    <w:rsid w:val="00452242"/>
    <w:rsid w:val="00453B0C"/>
    <w:rsid w:val="0045420E"/>
    <w:rsid w:val="00454AE1"/>
    <w:rsid w:val="00461A97"/>
    <w:rsid w:val="00462336"/>
    <w:rsid w:val="00463A7D"/>
    <w:rsid w:val="004665B6"/>
    <w:rsid w:val="00482008"/>
    <w:rsid w:val="004864B2"/>
    <w:rsid w:val="004914FD"/>
    <w:rsid w:val="00492031"/>
    <w:rsid w:val="00492446"/>
    <w:rsid w:val="004933AE"/>
    <w:rsid w:val="00496DFE"/>
    <w:rsid w:val="004A08CD"/>
    <w:rsid w:val="004A1264"/>
    <w:rsid w:val="004A1BDF"/>
    <w:rsid w:val="004A2BD9"/>
    <w:rsid w:val="004A3A53"/>
    <w:rsid w:val="004A476B"/>
    <w:rsid w:val="004A4A7E"/>
    <w:rsid w:val="004A5160"/>
    <w:rsid w:val="004B26FE"/>
    <w:rsid w:val="004C050D"/>
    <w:rsid w:val="004C1A25"/>
    <w:rsid w:val="004C1BA2"/>
    <w:rsid w:val="004C26A9"/>
    <w:rsid w:val="004C2AC7"/>
    <w:rsid w:val="004C6F97"/>
    <w:rsid w:val="004D162D"/>
    <w:rsid w:val="004D24B4"/>
    <w:rsid w:val="004E2699"/>
    <w:rsid w:val="004E2759"/>
    <w:rsid w:val="004E7861"/>
    <w:rsid w:val="004F1E89"/>
    <w:rsid w:val="004F2802"/>
    <w:rsid w:val="004F31DF"/>
    <w:rsid w:val="004F3C05"/>
    <w:rsid w:val="004F5B19"/>
    <w:rsid w:val="004F71CF"/>
    <w:rsid w:val="004F7F7E"/>
    <w:rsid w:val="00502933"/>
    <w:rsid w:val="00510CC6"/>
    <w:rsid w:val="0051591B"/>
    <w:rsid w:val="00516D6C"/>
    <w:rsid w:val="00517FE2"/>
    <w:rsid w:val="0052619A"/>
    <w:rsid w:val="00542C16"/>
    <w:rsid w:val="005430D6"/>
    <w:rsid w:val="00543FD9"/>
    <w:rsid w:val="00552841"/>
    <w:rsid w:val="005530A2"/>
    <w:rsid w:val="005548AB"/>
    <w:rsid w:val="005556A0"/>
    <w:rsid w:val="00557D62"/>
    <w:rsid w:val="005601F5"/>
    <w:rsid w:val="005645A1"/>
    <w:rsid w:val="00564BB8"/>
    <w:rsid w:val="00565B5E"/>
    <w:rsid w:val="00566D8B"/>
    <w:rsid w:val="0056771C"/>
    <w:rsid w:val="005718E3"/>
    <w:rsid w:val="00575564"/>
    <w:rsid w:val="0057570A"/>
    <w:rsid w:val="00576BC7"/>
    <w:rsid w:val="00577FDF"/>
    <w:rsid w:val="00580CCA"/>
    <w:rsid w:val="00584340"/>
    <w:rsid w:val="00584A1F"/>
    <w:rsid w:val="00586803"/>
    <w:rsid w:val="0058706E"/>
    <w:rsid w:val="00587365"/>
    <w:rsid w:val="0059160B"/>
    <w:rsid w:val="00592F51"/>
    <w:rsid w:val="00593BBB"/>
    <w:rsid w:val="00594564"/>
    <w:rsid w:val="005A1CE0"/>
    <w:rsid w:val="005A4998"/>
    <w:rsid w:val="005B3219"/>
    <w:rsid w:val="005B6482"/>
    <w:rsid w:val="005C0298"/>
    <w:rsid w:val="005C7BD2"/>
    <w:rsid w:val="005D05B4"/>
    <w:rsid w:val="005D08E9"/>
    <w:rsid w:val="005D2E2F"/>
    <w:rsid w:val="005D3E59"/>
    <w:rsid w:val="005D5B99"/>
    <w:rsid w:val="005D7311"/>
    <w:rsid w:val="005D7FB3"/>
    <w:rsid w:val="005E14AF"/>
    <w:rsid w:val="005E17AE"/>
    <w:rsid w:val="005E1AC2"/>
    <w:rsid w:val="005E2686"/>
    <w:rsid w:val="005E2ED3"/>
    <w:rsid w:val="005E436C"/>
    <w:rsid w:val="005E670E"/>
    <w:rsid w:val="005E7AC2"/>
    <w:rsid w:val="005F14BF"/>
    <w:rsid w:val="005F216C"/>
    <w:rsid w:val="005F437F"/>
    <w:rsid w:val="005F51C2"/>
    <w:rsid w:val="005F6D43"/>
    <w:rsid w:val="005F7883"/>
    <w:rsid w:val="005F7F18"/>
    <w:rsid w:val="0060011B"/>
    <w:rsid w:val="006056EC"/>
    <w:rsid w:val="00606829"/>
    <w:rsid w:val="006112C1"/>
    <w:rsid w:val="00612141"/>
    <w:rsid w:val="00614FE0"/>
    <w:rsid w:val="00616C1A"/>
    <w:rsid w:val="00621442"/>
    <w:rsid w:val="00621D6B"/>
    <w:rsid w:val="00622612"/>
    <w:rsid w:val="006227A0"/>
    <w:rsid w:val="00624120"/>
    <w:rsid w:val="0062429B"/>
    <w:rsid w:val="00624EE6"/>
    <w:rsid w:val="00625AAA"/>
    <w:rsid w:val="00632CAC"/>
    <w:rsid w:val="0063315B"/>
    <w:rsid w:val="00636691"/>
    <w:rsid w:val="006424B7"/>
    <w:rsid w:val="00644D07"/>
    <w:rsid w:val="00650004"/>
    <w:rsid w:val="0065730C"/>
    <w:rsid w:val="006600AD"/>
    <w:rsid w:val="00661E56"/>
    <w:rsid w:val="00662DB5"/>
    <w:rsid w:val="00663923"/>
    <w:rsid w:val="00666B90"/>
    <w:rsid w:val="00667BE8"/>
    <w:rsid w:val="00670597"/>
    <w:rsid w:val="0067075A"/>
    <w:rsid w:val="00671A9B"/>
    <w:rsid w:val="0067407B"/>
    <w:rsid w:val="00675D9C"/>
    <w:rsid w:val="00677C65"/>
    <w:rsid w:val="00681951"/>
    <w:rsid w:val="00682CA0"/>
    <w:rsid w:val="00683B3A"/>
    <w:rsid w:val="0068403B"/>
    <w:rsid w:val="00686C0C"/>
    <w:rsid w:val="006924C8"/>
    <w:rsid w:val="00692F0F"/>
    <w:rsid w:val="00693BA5"/>
    <w:rsid w:val="006958A4"/>
    <w:rsid w:val="006A0F1C"/>
    <w:rsid w:val="006A4393"/>
    <w:rsid w:val="006A4D3A"/>
    <w:rsid w:val="006A5852"/>
    <w:rsid w:val="006B2F82"/>
    <w:rsid w:val="006B4F03"/>
    <w:rsid w:val="006B711A"/>
    <w:rsid w:val="006C0AE3"/>
    <w:rsid w:val="006C567E"/>
    <w:rsid w:val="006C56BA"/>
    <w:rsid w:val="006C7B1A"/>
    <w:rsid w:val="006D0BD7"/>
    <w:rsid w:val="006D276B"/>
    <w:rsid w:val="006D3D76"/>
    <w:rsid w:val="006D7728"/>
    <w:rsid w:val="006E1AB5"/>
    <w:rsid w:val="006E24C7"/>
    <w:rsid w:val="006E3A6C"/>
    <w:rsid w:val="006E5375"/>
    <w:rsid w:val="006F0183"/>
    <w:rsid w:val="006F1581"/>
    <w:rsid w:val="00705751"/>
    <w:rsid w:val="0070682F"/>
    <w:rsid w:val="00710DD8"/>
    <w:rsid w:val="00710EBD"/>
    <w:rsid w:val="00713EEF"/>
    <w:rsid w:val="007149CD"/>
    <w:rsid w:val="00715A66"/>
    <w:rsid w:val="00715B2E"/>
    <w:rsid w:val="007203EC"/>
    <w:rsid w:val="00723BD4"/>
    <w:rsid w:val="007313B7"/>
    <w:rsid w:val="00735998"/>
    <w:rsid w:val="007407D5"/>
    <w:rsid w:val="00742268"/>
    <w:rsid w:val="007449DA"/>
    <w:rsid w:val="00746A39"/>
    <w:rsid w:val="00746C77"/>
    <w:rsid w:val="007511BF"/>
    <w:rsid w:val="00751AC0"/>
    <w:rsid w:val="007523D4"/>
    <w:rsid w:val="00756024"/>
    <w:rsid w:val="00760084"/>
    <w:rsid w:val="00766AA7"/>
    <w:rsid w:val="007707FB"/>
    <w:rsid w:val="007766F5"/>
    <w:rsid w:val="00777A3B"/>
    <w:rsid w:val="00784431"/>
    <w:rsid w:val="00791B3B"/>
    <w:rsid w:val="0079439F"/>
    <w:rsid w:val="0079624A"/>
    <w:rsid w:val="007A2711"/>
    <w:rsid w:val="007A2E6C"/>
    <w:rsid w:val="007A7DA2"/>
    <w:rsid w:val="007B4AD8"/>
    <w:rsid w:val="007C2F56"/>
    <w:rsid w:val="007C5281"/>
    <w:rsid w:val="007C5482"/>
    <w:rsid w:val="007D08AF"/>
    <w:rsid w:val="007D1148"/>
    <w:rsid w:val="007D5747"/>
    <w:rsid w:val="007D77CC"/>
    <w:rsid w:val="007D7CD9"/>
    <w:rsid w:val="007E08E6"/>
    <w:rsid w:val="007E48B9"/>
    <w:rsid w:val="007E5345"/>
    <w:rsid w:val="007E59D8"/>
    <w:rsid w:val="007F00DD"/>
    <w:rsid w:val="007F029D"/>
    <w:rsid w:val="007F0637"/>
    <w:rsid w:val="007F4C1C"/>
    <w:rsid w:val="00801766"/>
    <w:rsid w:val="00802C6B"/>
    <w:rsid w:val="00803BB0"/>
    <w:rsid w:val="0080505B"/>
    <w:rsid w:val="008106DE"/>
    <w:rsid w:val="00811F61"/>
    <w:rsid w:val="00812400"/>
    <w:rsid w:val="008175BA"/>
    <w:rsid w:val="00817FDB"/>
    <w:rsid w:val="0082211A"/>
    <w:rsid w:val="008254CB"/>
    <w:rsid w:val="008275F3"/>
    <w:rsid w:val="0084032B"/>
    <w:rsid w:val="00842F35"/>
    <w:rsid w:val="0084386B"/>
    <w:rsid w:val="0084411D"/>
    <w:rsid w:val="008508FF"/>
    <w:rsid w:val="00854662"/>
    <w:rsid w:val="008554FC"/>
    <w:rsid w:val="0085556B"/>
    <w:rsid w:val="008607FA"/>
    <w:rsid w:val="00871C14"/>
    <w:rsid w:val="008731EC"/>
    <w:rsid w:val="00874762"/>
    <w:rsid w:val="00880157"/>
    <w:rsid w:val="00881ADD"/>
    <w:rsid w:val="00885AE0"/>
    <w:rsid w:val="0089244D"/>
    <w:rsid w:val="00892FE9"/>
    <w:rsid w:val="0089460F"/>
    <w:rsid w:val="00894B17"/>
    <w:rsid w:val="008A28A5"/>
    <w:rsid w:val="008A5013"/>
    <w:rsid w:val="008B0551"/>
    <w:rsid w:val="008B447C"/>
    <w:rsid w:val="008C3785"/>
    <w:rsid w:val="008C39C9"/>
    <w:rsid w:val="008C6A3A"/>
    <w:rsid w:val="008D1653"/>
    <w:rsid w:val="008D16D5"/>
    <w:rsid w:val="008D2CA7"/>
    <w:rsid w:val="008D3540"/>
    <w:rsid w:val="008D566E"/>
    <w:rsid w:val="008D649F"/>
    <w:rsid w:val="008E60DD"/>
    <w:rsid w:val="008E6EE8"/>
    <w:rsid w:val="008E6F74"/>
    <w:rsid w:val="008E6FD1"/>
    <w:rsid w:val="008E74FC"/>
    <w:rsid w:val="008F091B"/>
    <w:rsid w:val="008F3921"/>
    <w:rsid w:val="008F47BA"/>
    <w:rsid w:val="008F5D4F"/>
    <w:rsid w:val="008F7799"/>
    <w:rsid w:val="00904A69"/>
    <w:rsid w:val="009136C1"/>
    <w:rsid w:val="009148E1"/>
    <w:rsid w:val="009150CD"/>
    <w:rsid w:val="009159DE"/>
    <w:rsid w:val="00923659"/>
    <w:rsid w:val="00926922"/>
    <w:rsid w:val="0092780F"/>
    <w:rsid w:val="00927B1C"/>
    <w:rsid w:val="00931297"/>
    <w:rsid w:val="009355A5"/>
    <w:rsid w:val="00936894"/>
    <w:rsid w:val="00937937"/>
    <w:rsid w:val="00942B60"/>
    <w:rsid w:val="009430C9"/>
    <w:rsid w:val="0094690D"/>
    <w:rsid w:val="009542A4"/>
    <w:rsid w:val="00954734"/>
    <w:rsid w:val="0095617B"/>
    <w:rsid w:val="00956966"/>
    <w:rsid w:val="00957D1B"/>
    <w:rsid w:val="0096039A"/>
    <w:rsid w:val="009632EC"/>
    <w:rsid w:val="00963EDD"/>
    <w:rsid w:val="00965832"/>
    <w:rsid w:val="009662B8"/>
    <w:rsid w:val="00966EE2"/>
    <w:rsid w:val="0096780B"/>
    <w:rsid w:val="00972C7C"/>
    <w:rsid w:val="009754B0"/>
    <w:rsid w:val="0097613C"/>
    <w:rsid w:val="0098035A"/>
    <w:rsid w:val="00983981"/>
    <w:rsid w:val="00983FB3"/>
    <w:rsid w:val="0098442E"/>
    <w:rsid w:val="00985D26"/>
    <w:rsid w:val="0098625F"/>
    <w:rsid w:val="0098715D"/>
    <w:rsid w:val="00987E2E"/>
    <w:rsid w:val="00994C96"/>
    <w:rsid w:val="00995373"/>
    <w:rsid w:val="0099537E"/>
    <w:rsid w:val="00995791"/>
    <w:rsid w:val="009A14DA"/>
    <w:rsid w:val="009A2ABD"/>
    <w:rsid w:val="009A39B8"/>
    <w:rsid w:val="009B1315"/>
    <w:rsid w:val="009B5CB1"/>
    <w:rsid w:val="009C47BA"/>
    <w:rsid w:val="009C5850"/>
    <w:rsid w:val="009C64C1"/>
    <w:rsid w:val="009D15DF"/>
    <w:rsid w:val="009D15E8"/>
    <w:rsid w:val="009D5B09"/>
    <w:rsid w:val="009E1FC6"/>
    <w:rsid w:val="009F0B36"/>
    <w:rsid w:val="009F51A0"/>
    <w:rsid w:val="009F7BBF"/>
    <w:rsid w:val="00A0110F"/>
    <w:rsid w:val="00A04908"/>
    <w:rsid w:val="00A052AD"/>
    <w:rsid w:val="00A07A36"/>
    <w:rsid w:val="00A10B62"/>
    <w:rsid w:val="00A14984"/>
    <w:rsid w:val="00A15374"/>
    <w:rsid w:val="00A17CE9"/>
    <w:rsid w:val="00A17FF4"/>
    <w:rsid w:val="00A2685C"/>
    <w:rsid w:val="00A3106E"/>
    <w:rsid w:val="00A3274B"/>
    <w:rsid w:val="00A32F79"/>
    <w:rsid w:val="00A33E83"/>
    <w:rsid w:val="00A34108"/>
    <w:rsid w:val="00A34772"/>
    <w:rsid w:val="00A55010"/>
    <w:rsid w:val="00A5782B"/>
    <w:rsid w:val="00A60567"/>
    <w:rsid w:val="00A6112E"/>
    <w:rsid w:val="00A61FAC"/>
    <w:rsid w:val="00A636ED"/>
    <w:rsid w:val="00A725F5"/>
    <w:rsid w:val="00A72F52"/>
    <w:rsid w:val="00A74644"/>
    <w:rsid w:val="00A77020"/>
    <w:rsid w:val="00A823A3"/>
    <w:rsid w:val="00A83FFA"/>
    <w:rsid w:val="00A90906"/>
    <w:rsid w:val="00A93D2D"/>
    <w:rsid w:val="00A974CD"/>
    <w:rsid w:val="00AA088D"/>
    <w:rsid w:val="00AA38DC"/>
    <w:rsid w:val="00AA4C4B"/>
    <w:rsid w:val="00AA518F"/>
    <w:rsid w:val="00AA6720"/>
    <w:rsid w:val="00AB02EA"/>
    <w:rsid w:val="00AB177F"/>
    <w:rsid w:val="00AB2B1D"/>
    <w:rsid w:val="00AB3E50"/>
    <w:rsid w:val="00AB473F"/>
    <w:rsid w:val="00AB595F"/>
    <w:rsid w:val="00AC4400"/>
    <w:rsid w:val="00AC51E1"/>
    <w:rsid w:val="00AC5C4E"/>
    <w:rsid w:val="00AC6717"/>
    <w:rsid w:val="00AD30E0"/>
    <w:rsid w:val="00AD63B2"/>
    <w:rsid w:val="00AD69D9"/>
    <w:rsid w:val="00AE6311"/>
    <w:rsid w:val="00AE7692"/>
    <w:rsid w:val="00AF1742"/>
    <w:rsid w:val="00AF1AC5"/>
    <w:rsid w:val="00AF4045"/>
    <w:rsid w:val="00AF5ED8"/>
    <w:rsid w:val="00B00B8A"/>
    <w:rsid w:val="00B0136F"/>
    <w:rsid w:val="00B04F16"/>
    <w:rsid w:val="00B10061"/>
    <w:rsid w:val="00B15E27"/>
    <w:rsid w:val="00B16582"/>
    <w:rsid w:val="00B21CEF"/>
    <w:rsid w:val="00B24510"/>
    <w:rsid w:val="00B2502B"/>
    <w:rsid w:val="00B27549"/>
    <w:rsid w:val="00B3088F"/>
    <w:rsid w:val="00B31A47"/>
    <w:rsid w:val="00B35C42"/>
    <w:rsid w:val="00B369FB"/>
    <w:rsid w:val="00B413E6"/>
    <w:rsid w:val="00B52CC5"/>
    <w:rsid w:val="00B53835"/>
    <w:rsid w:val="00B5770E"/>
    <w:rsid w:val="00B60782"/>
    <w:rsid w:val="00B60DFD"/>
    <w:rsid w:val="00B615A5"/>
    <w:rsid w:val="00B61F35"/>
    <w:rsid w:val="00B6298B"/>
    <w:rsid w:val="00B6363E"/>
    <w:rsid w:val="00B65433"/>
    <w:rsid w:val="00B657F0"/>
    <w:rsid w:val="00B70770"/>
    <w:rsid w:val="00B70E16"/>
    <w:rsid w:val="00B7468F"/>
    <w:rsid w:val="00B777F2"/>
    <w:rsid w:val="00B810F0"/>
    <w:rsid w:val="00B822D2"/>
    <w:rsid w:val="00B82EB2"/>
    <w:rsid w:val="00B8300D"/>
    <w:rsid w:val="00B835A9"/>
    <w:rsid w:val="00B836F2"/>
    <w:rsid w:val="00B852B1"/>
    <w:rsid w:val="00B85376"/>
    <w:rsid w:val="00B85E61"/>
    <w:rsid w:val="00B90D91"/>
    <w:rsid w:val="00B931C1"/>
    <w:rsid w:val="00B94161"/>
    <w:rsid w:val="00B963C5"/>
    <w:rsid w:val="00B96EDC"/>
    <w:rsid w:val="00BA29A1"/>
    <w:rsid w:val="00BA6890"/>
    <w:rsid w:val="00BA68C4"/>
    <w:rsid w:val="00BB0A2B"/>
    <w:rsid w:val="00BB1CEA"/>
    <w:rsid w:val="00BB216F"/>
    <w:rsid w:val="00BB47E4"/>
    <w:rsid w:val="00BC09EA"/>
    <w:rsid w:val="00BC2AD3"/>
    <w:rsid w:val="00BC57B9"/>
    <w:rsid w:val="00BD0591"/>
    <w:rsid w:val="00BD29B1"/>
    <w:rsid w:val="00BD372E"/>
    <w:rsid w:val="00BD44A3"/>
    <w:rsid w:val="00BD45A7"/>
    <w:rsid w:val="00BD6CEC"/>
    <w:rsid w:val="00BE7E14"/>
    <w:rsid w:val="00BF0A4C"/>
    <w:rsid w:val="00BF0D12"/>
    <w:rsid w:val="00BF5DBC"/>
    <w:rsid w:val="00BF76E3"/>
    <w:rsid w:val="00BF7C6D"/>
    <w:rsid w:val="00C00E52"/>
    <w:rsid w:val="00C03A46"/>
    <w:rsid w:val="00C04357"/>
    <w:rsid w:val="00C048EE"/>
    <w:rsid w:val="00C10CA3"/>
    <w:rsid w:val="00C13D9C"/>
    <w:rsid w:val="00C16259"/>
    <w:rsid w:val="00C166F2"/>
    <w:rsid w:val="00C21B0C"/>
    <w:rsid w:val="00C22632"/>
    <w:rsid w:val="00C237B8"/>
    <w:rsid w:val="00C2540A"/>
    <w:rsid w:val="00C278B1"/>
    <w:rsid w:val="00C3183E"/>
    <w:rsid w:val="00C42BA1"/>
    <w:rsid w:val="00C46E02"/>
    <w:rsid w:val="00C5191E"/>
    <w:rsid w:val="00C52B41"/>
    <w:rsid w:val="00C55068"/>
    <w:rsid w:val="00C55923"/>
    <w:rsid w:val="00C665C3"/>
    <w:rsid w:val="00C70750"/>
    <w:rsid w:val="00C720FB"/>
    <w:rsid w:val="00C746DE"/>
    <w:rsid w:val="00C7539F"/>
    <w:rsid w:val="00C77910"/>
    <w:rsid w:val="00C7792E"/>
    <w:rsid w:val="00C7793A"/>
    <w:rsid w:val="00C779F7"/>
    <w:rsid w:val="00C8186B"/>
    <w:rsid w:val="00C85E09"/>
    <w:rsid w:val="00C90844"/>
    <w:rsid w:val="00C9211C"/>
    <w:rsid w:val="00C94E40"/>
    <w:rsid w:val="00C95731"/>
    <w:rsid w:val="00CA31C6"/>
    <w:rsid w:val="00CA5CE8"/>
    <w:rsid w:val="00CB0B77"/>
    <w:rsid w:val="00CB5D63"/>
    <w:rsid w:val="00CB6BDC"/>
    <w:rsid w:val="00CB7851"/>
    <w:rsid w:val="00CB7C57"/>
    <w:rsid w:val="00CC61EC"/>
    <w:rsid w:val="00CD3C61"/>
    <w:rsid w:val="00CD6885"/>
    <w:rsid w:val="00CD7DDC"/>
    <w:rsid w:val="00CE26E1"/>
    <w:rsid w:val="00CF1081"/>
    <w:rsid w:val="00CF1328"/>
    <w:rsid w:val="00CF2B33"/>
    <w:rsid w:val="00CF2E70"/>
    <w:rsid w:val="00CF42C8"/>
    <w:rsid w:val="00CF6114"/>
    <w:rsid w:val="00CF71E3"/>
    <w:rsid w:val="00D01E78"/>
    <w:rsid w:val="00D03B68"/>
    <w:rsid w:val="00D066F7"/>
    <w:rsid w:val="00D13B81"/>
    <w:rsid w:val="00D148C5"/>
    <w:rsid w:val="00D16479"/>
    <w:rsid w:val="00D1678D"/>
    <w:rsid w:val="00D21010"/>
    <w:rsid w:val="00D25F2B"/>
    <w:rsid w:val="00D27024"/>
    <w:rsid w:val="00D34B27"/>
    <w:rsid w:val="00D36B3F"/>
    <w:rsid w:val="00D370D1"/>
    <w:rsid w:val="00D372CF"/>
    <w:rsid w:val="00D41FF9"/>
    <w:rsid w:val="00D43922"/>
    <w:rsid w:val="00D43A9D"/>
    <w:rsid w:val="00D44AFB"/>
    <w:rsid w:val="00D45B86"/>
    <w:rsid w:val="00D50A62"/>
    <w:rsid w:val="00D522FC"/>
    <w:rsid w:val="00D52A70"/>
    <w:rsid w:val="00D55F3F"/>
    <w:rsid w:val="00D728F2"/>
    <w:rsid w:val="00D806EC"/>
    <w:rsid w:val="00D83E3A"/>
    <w:rsid w:val="00D86969"/>
    <w:rsid w:val="00D86EA5"/>
    <w:rsid w:val="00D90CAD"/>
    <w:rsid w:val="00D91D23"/>
    <w:rsid w:val="00D94945"/>
    <w:rsid w:val="00D94C53"/>
    <w:rsid w:val="00D979A2"/>
    <w:rsid w:val="00D97E53"/>
    <w:rsid w:val="00DA33CF"/>
    <w:rsid w:val="00DA7D7E"/>
    <w:rsid w:val="00DB02D4"/>
    <w:rsid w:val="00DB0986"/>
    <w:rsid w:val="00DB1D8A"/>
    <w:rsid w:val="00DB29A7"/>
    <w:rsid w:val="00DB31B7"/>
    <w:rsid w:val="00DB52C1"/>
    <w:rsid w:val="00DB649F"/>
    <w:rsid w:val="00DB77DA"/>
    <w:rsid w:val="00DB7AAB"/>
    <w:rsid w:val="00DC082A"/>
    <w:rsid w:val="00DC0F33"/>
    <w:rsid w:val="00DD1F8B"/>
    <w:rsid w:val="00DD4FE5"/>
    <w:rsid w:val="00DD5138"/>
    <w:rsid w:val="00DE1C43"/>
    <w:rsid w:val="00DE5B39"/>
    <w:rsid w:val="00DE5E85"/>
    <w:rsid w:val="00DF0043"/>
    <w:rsid w:val="00DF5331"/>
    <w:rsid w:val="00E02B7A"/>
    <w:rsid w:val="00E06084"/>
    <w:rsid w:val="00E06ECF"/>
    <w:rsid w:val="00E10D6F"/>
    <w:rsid w:val="00E118B3"/>
    <w:rsid w:val="00E15C20"/>
    <w:rsid w:val="00E25F0A"/>
    <w:rsid w:val="00E26831"/>
    <w:rsid w:val="00E314FA"/>
    <w:rsid w:val="00E40F3D"/>
    <w:rsid w:val="00E45259"/>
    <w:rsid w:val="00E53087"/>
    <w:rsid w:val="00E542A3"/>
    <w:rsid w:val="00E604A6"/>
    <w:rsid w:val="00E63E76"/>
    <w:rsid w:val="00E659BB"/>
    <w:rsid w:val="00E661BE"/>
    <w:rsid w:val="00E6637A"/>
    <w:rsid w:val="00E67F78"/>
    <w:rsid w:val="00E7229A"/>
    <w:rsid w:val="00E834EF"/>
    <w:rsid w:val="00E839D7"/>
    <w:rsid w:val="00E83CD0"/>
    <w:rsid w:val="00E84B14"/>
    <w:rsid w:val="00E86F2D"/>
    <w:rsid w:val="00E91DBE"/>
    <w:rsid w:val="00E92E88"/>
    <w:rsid w:val="00E936B3"/>
    <w:rsid w:val="00EA1C53"/>
    <w:rsid w:val="00EA2AE3"/>
    <w:rsid w:val="00EA3700"/>
    <w:rsid w:val="00EA558E"/>
    <w:rsid w:val="00EB31F0"/>
    <w:rsid w:val="00EC3061"/>
    <w:rsid w:val="00EC31D5"/>
    <w:rsid w:val="00EC4DC9"/>
    <w:rsid w:val="00EC69EF"/>
    <w:rsid w:val="00EC6A2F"/>
    <w:rsid w:val="00ED22FD"/>
    <w:rsid w:val="00ED3D7B"/>
    <w:rsid w:val="00ED4967"/>
    <w:rsid w:val="00ED5A98"/>
    <w:rsid w:val="00ED6FC5"/>
    <w:rsid w:val="00ED7397"/>
    <w:rsid w:val="00EE22E9"/>
    <w:rsid w:val="00EE2847"/>
    <w:rsid w:val="00EE479C"/>
    <w:rsid w:val="00EE53BE"/>
    <w:rsid w:val="00EF0F37"/>
    <w:rsid w:val="00EF586C"/>
    <w:rsid w:val="00EF6CC8"/>
    <w:rsid w:val="00EF7639"/>
    <w:rsid w:val="00F00985"/>
    <w:rsid w:val="00F010AC"/>
    <w:rsid w:val="00F037DB"/>
    <w:rsid w:val="00F065DA"/>
    <w:rsid w:val="00F0722A"/>
    <w:rsid w:val="00F076F4"/>
    <w:rsid w:val="00F10AB6"/>
    <w:rsid w:val="00F1261C"/>
    <w:rsid w:val="00F1269E"/>
    <w:rsid w:val="00F15EA0"/>
    <w:rsid w:val="00F172AF"/>
    <w:rsid w:val="00F17A0A"/>
    <w:rsid w:val="00F17D16"/>
    <w:rsid w:val="00F20EA6"/>
    <w:rsid w:val="00F25A00"/>
    <w:rsid w:val="00F27700"/>
    <w:rsid w:val="00F34160"/>
    <w:rsid w:val="00F34195"/>
    <w:rsid w:val="00F35C94"/>
    <w:rsid w:val="00F42584"/>
    <w:rsid w:val="00F54756"/>
    <w:rsid w:val="00F55F42"/>
    <w:rsid w:val="00F67399"/>
    <w:rsid w:val="00F71776"/>
    <w:rsid w:val="00F76418"/>
    <w:rsid w:val="00F8151E"/>
    <w:rsid w:val="00F834DB"/>
    <w:rsid w:val="00F839E8"/>
    <w:rsid w:val="00F84242"/>
    <w:rsid w:val="00F85646"/>
    <w:rsid w:val="00F87ACC"/>
    <w:rsid w:val="00F94140"/>
    <w:rsid w:val="00FA292A"/>
    <w:rsid w:val="00FA6505"/>
    <w:rsid w:val="00FB5225"/>
    <w:rsid w:val="00FC1443"/>
    <w:rsid w:val="00FC79AA"/>
    <w:rsid w:val="00FD285D"/>
    <w:rsid w:val="00FD5273"/>
    <w:rsid w:val="00FD6749"/>
    <w:rsid w:val="00FD750E"/>
    <w:rsid w:val="00FE3670"/>
    <w:rsid w:val="00FE633C"/>
    <w:rsid w:val="00FF1FBE"/>
    <w:rsid w:val="00FF35A2"/>
    <w:rsid w:val="00FF3D9D"/>
    <w:rsid w:val="00FF4554"/>
    <w:rsid w:val="00FF4BFB"/>
    <w:rsid w:val="00FF5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3B125"/>
  <w15:chartTrackingRefBased/>
  <w15:docId w15:val="{660E12B2-586F-4D58-B140-713F5470D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0532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05329"/>
    <w:rPr>
      <w:rFonts w:ascii="Times New Roman" w:hAnsi="Times New Roman" w:cs="Times New Roman"/>
      <w:noProof/>
      <w:sz w:val="24"/>
    </w:rPr>
  </w:style>
  <w:style w:type="paragraph" w:customStyle="1" w:styleId="EndNoteBibliography">
    <w:name w:val="EndNote Bibliography"/>
    <w:basedOn w:val="Normal"/>
    <w:link w:val="EndNoteBibliographyChar"/>
    <w:rsid w:val="00005329"/>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05329"/>
    <w:rPr>
      <w:rFonts w:ascii="Times New Roman" w:hAnsi="Times New Roman" w:cs="Times New Roman"/>
      <w:noProof/>
      <w:sz w:val="24"/>
    </w:rPr>
  </w:style>
  <w:style w:type="paragraph" w:styleId="ListParagraph">
    <w:name w:val="List Paragraph"/>
    <w:basedOn w:val="Normal"/>
    <w:link w:val="ListParagraphChar"/>
    <w:uiPriority w:val="34"/>
    <w:qFormat/>
    <w:rsid w:val="000905BE"/>
    <w:pPr>
      <w:ind w:left="720"/>
      <w:contextualSpacing/>
    </w:pPr>
  </w:style>
  <w:style w:type="paragraph" w:styleId="FootnoteText">
    <w:name w:val="footnote text"/>
    <w:basedOn w:val="Normal"/>
    <w:link w:val="FootnoteTextChar"/>
    <w:uiPriority w:val="99"/>
    <w:unhideWhenUsed/>
    <w:rsid w:val="000A6879"/>
    <w:pPr>
      <w:spacing w:after="0" w:line="240" w:lineRule="auto"/>
    </w:pPr>
    <w:rPr>
      <w:sz w:val="20"/>
      <w:szCs w:val="20"/>
    </w:rPr>
  </w:style>
  <w:style w:type="character" w:customStyle="1" w:styleId="FootnoteTextChar">
    <w:name w:val="Footnote Text Char"/>
    <w:basedOn w:val="DefaultParagraphFont"/>
    <w:link w:val="FootnoteText"/>
    <w:uiPriority w:val="99"/>
    <w:rsid w:val="000A6879"/>
    <w:rPr>
      <w:sz w:val="20"/>
      <w:szCs w:val="20"/>
    </w:rPr>
  </w:style>
  <w:style w:type="character" w:styleId="FootnoteReference">
    <w:name w:val="footnote reference"/>
    <w:basedOn w:val="DefaultParagraphFont"/>
    <w:uiPriority w:val="99"/>
    <w:semiHidden/>
    <w:unhideWhenUsed/>
    <w:rsid w:val="000A6879"/>
    <w:rPr>
      <w:vertAlign w:val="superscript"/>
    </w:rPr>
  </w:style>
  <w:style w:type="character" w:styleId="Hyperlink">
    <w:name w:val="Hyperlink"/>
    <w:basedOn w:val="DefaultParagraphFont"/>
    <w:uiPriority w:val="99"/>
    <w:unhideWhenUsed/>
    <w:rsid w:val="00D806EC"/>
    <w:rPr>
      <w:color w:val="0563C1" w:themeColor="hyperlink"/>
      <w:u w:val="single"/>
    </w:rPr>
  </w:style>
  <w:style w:type="paragraph" w:styleId="Header">
    <w:name w:val="header"/>
    <w:basedOn w:val="Normal"/>
    <w:link w:val="HeaderChar"/>
    <w:uiPriority w:val="99"/>
    <w:unhideWhenUsed/>
    <w:rsid w:val="007A2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E6C"/>
  </w:style>
  <w:style w:type="paragraph" w:styleId="Footer">
    <w:name w:val="footer"/>
    <w:basedOn w:val="Normal"/>
    <w:link w:val="FooterChar"/>
    <w:uiPriority w:val="99"/>
    <w:unhideWhenUsed/>
    <w:rsid w:val="007A2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E6C"/>
  </w:style>
  <w:style w:type="character" w:customStyle="1" w:styleId="ListParagraphChar">
    <w:name w:val="List Paragraph Char"/>
    <w:basedOn w:val="DefaultParagraphFont"/>
    <w:link w:val="ListParagraph"/>
    <w:uiPriority w:val="34"/>
    <w:rsid w:val="00D21010"/>
  </w:style>
  <w:style w:type="character" w:styleId="CommentReference">
    <w:name w:val="annotation reference"/>
    <w:basedOn w:val="DefaultParagraphFont"/>
    <w:uiPriority w:val="99"/>
    <w:semiHidden/>
    <w:unhideWhenUsed/>
    <w:rsid w:val="00D21010"/>
    <w:rPr>
      <w:sz w:val="16"/>
      <w:szCs w:val="16"/>
    </w:rPr>
  </w:style>
  <w:style w:type="paragraph" w:styleId="CommentText">
    <w:name w:val="annotation text"/>
    <w:basedOn w:val="Normal"/>
    <w:link w:val="CommentTextChar"/>
    <w:uiPriority w:val="99"/>
    <w:unhideWhenUsed/>
    <w:rsid w:val="00D21010"/>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21010"/>
    <w:rPr>
      <w:rFonts w:eastAsiaTheme="minorEastAsia"/>
      <w:sz w:val="20"/>
      <w:szCs w:val="20"/>
    </w:rPr>
  </w:style>
  <w:style w:type="paragraph" w:styleId="BalloonText">
    <w:name w:val="Balloon Text"/>
    <w:basedOn w:val="Normal"/>
    <w:link w:val="BalloonTextChar"/>
    <w:uiPriority w:val="99"/>
    <w:semiHidden/>
    <w:unhideWhenUsed/>
    <w:rsid w:val="00D21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0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03BB0"/>
    <w:pPr>
      <w:spacing w:after="160"/>
    </w:pPr>
    <w:rPr>
      <w:rFonts w:eastAsiaTheme="minorHAnsi"/>
      <w:b/>
      <w:bCs/>
    </w:rPr>
  </w:style>
  <w:style w:type="character" w:customStyle="1" w:styleId="CommentSubjectChar">
    <w:name w:val="Comment Subject Char"/>
    <w:basedOn w:val="CommentTextChar"/>
    <w:link w:val="CommentSubject"/>
    <w:uiPriority w:val="99"/>
    <w:semiHidden/>
    <w:rsid w:val="00803BB0"/>
    <w:rPr>
      <w:rFonts w:eastAsiaTheme="minorEastAsia"/>
      <w:b/>
      <w:bCs/>
      <w:sz w:val="20"/>
      <w:szCs w:val="20"/>
    </w:rPr>
  </w:style>
  <w:style w:type="paragraph" w:styleId="EndnoteText">
    <w:name w:val="endnote text"/>
    <w:basedOn w:val="Normal"/>
    <w:link w:val="EndnoteTextChar"/>
    <w:uiPriority w:val="99"/>
    <w:semiHidden/>
    <w:unhideWhenUsed/>
    <w:rsid w:val="003047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4705"/>
    <w:rPr>
      <w:sz w:val="20"/>
      <w:szCs w:val="20"/>
    </w:rPr>
  </w:style>
  <w:style w:type="character" w:styleId="EndnoteReference">
    <w:name w:val="endnote reference"/>
    <w:basedOn w:val="DefaultParagraphFont"/>
    <w:uiPriority w:val="99"/>
    <w:semiHidden/>
    <w:unhideWhenUsed/>
    <w:rsid w:val="00304705"/>
    <w:rPr>
      <w:vertAlign w:val="superscript"/>
    </w:rPr>
  </w:style>
  <w:style w:type="paragraph" w:styleId="BodyText">
    <w:name w:val="Body Text"/>
    <w:basedOn w:val="Normal"/>
    <w:link w:val="BodyTextChar"/>
    <w:uiPriority w:val="1"/>
    <w:qFormat/>
    <w:rsid w:val="00C03A46"/>
    <w:pPr>
      <w:widowControl w:val="0"/>
      <w:spacing w:after="0" w:line="240" w:lineRule="auto"/>
      <w:ind w:left="113"/>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C03A46"/>
    <w:rPr>
      <w:rFonts w:ascii="Times New Roman" w:eastAsia="Times New Roman" w:hAnsi="Times New Roman"/>
      <w:sz w:val="20"/>
      <w:szCs w:val="20"/>
    </w:rPr>
  </w:style>
  <w:style w:type="paragraph" w:customStyle="1" w:styleId="TableParagraph">
    <w:name w:val="Table Paragraph"/>
    <w:basedOn w:val="Normal"/>
    <w:uiPriority w:val="1"/>
    <w:qFormat/>
    <w:rsid w:val="002A4009"/>
    <w:pPr>
      <w:widowControl w:val="0"/>
      <w:spacing w:after="0" w:line="240" w:lineRule="auto"/>
    </w:pPr>
  </w:style>
  <w:style w:type="table" w:styleId="TableGrid">
    <w:name w:val="Table Grid"/>
    <w:basedOn w:val="TableNormal"/>
    <w:uiPriority w:val="39"/>
    <w:rsid w:val="00084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67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80862">
      <w:bodyDiv w:val="1"/>
      <w:marLeft w:val="0"/>
      <w:marRight w:val="0"/>
      <w:marTop w:val="0"/>
      <w:marBottom w:val="0"/>
      <w:divBdr>
        <w:top w:val="none" w:sz="0" w:space="0" w:color="auto"/>
        <w:left w:val="none" w:sz="0" w:space="0" w:color="auto"/>
        <w:bottom w:val="none" w:sz="0" w:space="0" w:color="auto"/>
        <w:right w:val="none" w:sz="0" w:space="0" w:color="auto"/>
      </w:divBdr>
    </w:div>
    <w:div w:id="80572141">
      <w:bodyDiv w:val="1"/>
      <w:marLeft w:val="0"/>
      <w:marRight w:val="0"/>
      <w:marTop w:val="0"/>
      <w:marBottom w:val="0"/>
      <w:divBdr>
        <w:top w:val="none" w:sz="0" w:space="0" w:color="auto"/>
        <w:left w:val="none" w:sz="0" w:space="0" w:color="auto"/>
        <w:bottom w:val="none" w:sz="0" w:space="0" w:color="auto"/>
        <w:right w:val="none" w:sz="0" w:space="0" w:color="auto"/>
      </w:divBdr>
    </w:div>
    <w:div w:id="116489652">
      <w:bodyDiv w:val="1"/>
      <w:marLeft w:val="0"/>
      <w:marRight w:val="0"/>
      <w:marTop w:val="0"/>
      <w:marBottom w:val="0"/>
      <w:divBdr>
        <w:top w:val="none" w:sz="0" w:space="0" w:color="auto"/>
        <w:left w:val="none" w:sz="0" w:space="0" w:color="auto"/>
        <w:bottom w:val="none" w:sz="0" w:space="0" w:color="auto"/>
        <w:right w:val="none" w:sz="0" w:space="0" w:color="auto"/>
      </w:divBdr>
    </w:div>
    <w:div w:id="155539563">
      <w:bodyDiv w:val="1"/>
      <w:marLeft w:val="0"/>
      <w:marRight w:val="0"/>
      <w:marTop w:val="0"/>
      <w:marBottom w:val="0"/>
      <w:divBdr>
        <w:top w:val="none" w:sz="0" w:space="0" w:color="auto"/>
        <w:left w:val="none" w:sz="0" w:space="0" w:color="auto"/>
        <w:bottom w:val="none" w:sz="0" w:space="0" w:color="auto"/>
        <w:right w:val="none" w:sz="0" w:space="0" w:color="auto"/>
      </w:divBdr>
    </w:div>
    <w:div w:id="164368571">
      <w:bodyDiv w:val="1"/>
      <w:marLeft w:val="0"/>
      <w:marRight w:val="0"/>
      <w:marTop w:val="0"/>
      <w:marBottom w:val="0"/>
      <w:divBdr>
        <w:top w:val="none" w:sz="0" w:space="0" w:color="auto"/>
        <w:left w:val="none" w:sz="0" w:space="0" w:color="auto"/>
        <w:bottom w:val="none" w:sz="0" w:space="0" w:color="auto"/>
        <w:right w:val="none" w:sz="0" w:space="0" w:color="auto"/>
      </w:divBdr>
    </w:div>
    <w:div w:id="225148777">
      <w:bodyDiv w:val="1"/>
      <w:marLeft w:val="0"/>
      <w:marRight w:val="0"/>
      <w:marTop w:val="0"/>
      <w:marBottom w:val="0"/>
      <w:divBdr>
        <w:top w:val="none" w:sz="0" w:space="0" w:color="auto"/>
        <w:left w:val="none" w:sz="0" w:space="0" w:color="auto"/>
        <w:bottom w:val="none" w:sz="0" w:space="0" w:color="auto"/>
        <w:right w:val="none" w:sz="0" w:space="0" w:color="auto"/>
      </w:divBdr>
    </w:div>
    <w:div w:id="252708766">
      <w:bodyDiv w:val="1"/>
      <w:marLeft w:val="0"/>
      <w:marRight w:val="0"/>
      <w:marTop w:val="0"/>
      <w:marBottom w:val="0"/>
      <w:divBdr>
        <w:top w:val="none" w:sz="0" w:space="0" w:color="auto"/>
        <w:left w:val="none" w:sz="0" w:space="0" w:color="auto"/>
        <w:bottom w:val="none" w:sz="0" w:space="0" w:color="auto"/>
        <w:right w:val="none" w:sz="0" w:space="0" w:color="auto"/>
      </w:divBdr>
    </w:div>
    <w:div w:id="301346668">
      <w:bodyDiv w:val="1"/>
      <w:marLeft w:val="0"/>
      <w:marRight w:val="0"/>
      <w:marTop w:val="0"/>
      <w:marBottom w:val="0"/>
      <w:divBdr>
        <w:top w:val="none" w:sz="0" w:space="0" w:color="auto"/>
        <w:left w:val="none" w:sz="0" w:space="0" w:color="auto"/>
        <w:bottom w:val="none" w:sz="0" w:space="0" w:color="auto"/>
        <w:right w:val="none" w:sz="0" w:space="0" w:color="auto"/>
      </w:divBdr>
    </w:div>
    <w:div w:id="402486781">
      <w:bodyDiv w:val="1"/>
      <w:marLeft w:val="0"/>
      <w:marRight w:val="0"/>
      <w:marTop w:val="0"/>
      <w:marBottom w:val="0"/>
      <w:divBdr>
        <w:top w:val="none" w:sz="0" w:space="0" w:color="auto"/>
        <w:left w:val="none" w:sz="0" w:space="0" w:color="auto"/>
        <w:bottom w:val="none" w:sz="0" w:space="0" w:color="auto"/>
        <w:right w:val="none" w:sz="0" w:space="0" w:color="auto"/>
      </w:divBdr>
    </w:div>
    <w:div w:id="414478704">
      <w:bodyDiv w:val="1"/>
      <w:marLeft w:val="0"/>
      <w:marRight w:val="0"/>
      <w:marTop w:val="0"/>
      <w:marBottom w:val="0"/>
      <w:divBdr>
        <w:top w:val="none" w:sz="0" w:space="0" w:color="auto"/>
        <w:left w:val="none" w:sz="0" w:space="0" w:color="auto"/>
        <w:bottom w:val="none" w:sz="0" w:space="0" w:color="auto"/>
        <w:right w:val="none" w:sz="0" w:space="0" w:color="auto"/>
      </w:divBdr>
    </w:div>
    <w:div w:id="445464051">
      <w:bodyDiv w:val="1"/>
      <w:marLeft w:val="0"/>
      <w:marRight w:val="0"/>
      <w:marTop w:val="0"/>
      <w:marBottom w:val="0"/>
      <w:divBdr>
        <w:top w:val="none" w:sz="0" w:space="0" w:color="auto"/>
        <w:left w:val="none" w:sz="0" w:space="0" w:color="auto"/>
        <w:bottom w:val="none" w:sz="0" w:space="0" w:color="auto"/>
        <w:right w:val="none" w:sz="0" w:space="0" w:color="auto"/>
      </w:divBdr>
    </w:div>
    <w:div w:id="468476778">
      <w:bodyDiv w:val="1"/>
      <w:marLeft w:val="0"/>
      <w:marRight w:val="0"/>
      <w:marTop w:val="0"/>
      <w:marBottom w:val="0"/>
      <w:divBdr>
        <w:top w:val="none" w:sz="0" w:space="0" w:color="auto"/>
        <w:left w:val="none" w:sz="0" w:space="0" w:color="auto"/>
        <w:bottom w:val="none" w:sz="0" w:space="0" w:color="auto"/>
        <w:right w:val="none" w:sz="0" w:space="0" w:color="auto"/>
      </w:divBdr>
    </w:div>
    <w:div w:id="510728260">
      <w:bodyDiv w:val="1"/>
      <w:marLeft w:val="0"/>
      <w:marRight w:val="0"/>
      <w:marTop w:val="0"/>
      <w:marBottom w:val="0"/>
      <w:divBdr>
        <w:top w:val="none" w:sz="0" w:space="0" w:color="auto"/>
        <w:left w:val="none" w:sz="0" w:space="0" w:color="auto"/>
        <w:bottom w:val="none" w:sz="0" w:space="0" w:color="auto"/>
        <w:right w:val="none" w:sz="0" w:space="0" w:color="auto"/>
      </w:divBdr>
    </w:div>
    <w:div w:id="537864278">
      <w:bodyDiv w:val="1"/>
      <w:marLeft w:val="0"/>
      <w:marRight w:val="0"/>
      <w:marTop w:val="0"/>
      <w:marBottom w:val="0"/>
      <w:divBdr>
        <w:top w:val="none" w:sz="0" w:space="0" w:color="auto"/>
        <w:left w:val="none" w:sz="0" w:space="0" w:color="auto"/>
        <w:bottom w:val="none" w:sz="0" w:space="0" w:color="auto"/>
        <w:right w:val="none" w:sz="0" w:space="0" w:color="auto"/>
      </w:divBdr>
    </w:div>
    <w:div w:id="546990181">
      <w:bodyDiv w:val="1"/>
      <w:marLeft w:val="0"/>
      <w:marRight w:val="0"/>
      <w:marTop w:val="0"/>
      <w:marBottom w:val="0"/>
      <w:divBdr>
        <w:top w:val="none" w:sz="0" w:space="0" w:color="auto"/>
        <w:left w:val="none" w:sz="0" w:space="0" w:color="auto"/>
        <w:bottom w:val="none" w:sz="0" w:space="0" w:color="auto"/>
        <w:right w:val="none" w:sz="0" w:space="0" w:color="auto"/>
      </w:divBdr>
    </w:div>
    <w:div w:id="607278250">
      <w:bodyDiv w:val="1"/>
      <w:marLeft w:val="0"/>
      <w:marRight w:val="0"/>
      <w:marTop w:val="0"/>
      <w:marBottom w:val="0"/>
      <w:divBdr>
        <w:top w:val="none" w:sz="0" w:space="0" w:color="auto"/>
        <w:left w:val="none" w:sz="0" w:space="0" w:color="auto"/>
        <w:bottom w:val="none" w:sz="0" w:space="0" w:color="auto"/>
        <w:right w:val="none" w:sz="0" w:space="0" w:color="auto"/>
      </w:divBdr>
    </w:div>
    <w:div w:id="655184800">
      <w:bodyDiv w:val="1"/>
      <w:marLeft w:val="0"/>
      <w:marRight w:val="0"/>
      <w:marTop w:val="0"/>
      <w:marBottom w:val="0"/>
      <w:divBdr>
        <w:top w:val="none" w:sz="0" w:space="0" w:color="auto"/>
        <w:left w:val="none" w:sz="0" w:space="0" w:color="auto"/>
        <w:bottom w:val="none" w:sz="0" w:space="0" w:color="auto"/>
        <w:right w:val="none" w:sz="0" w:space="0" w:color="auto"/>
      </w:divBdr>
    </w:div>
    <w:div w:id="747730212">
      <w:bodyDiv w:val="1"/>
      <w:marLeft w:val="0"/>
      <w:marRight w:val="0"/>
      <w:marTop w:val="0"/>
      <w:marBottom w:val="0"/>
      <w:divBdr>
        <w:top w:val="none" w:sz="0" w:space="0" w:color="auto"/>
        <w:left w:val="none" w:sz="0" w:space="0" w:color="auto"/>
        <w:bottom w:val="none" w:sz="0" w:space="0" w:color="auto"/>
        <w:right w:val="none" w:sz="0" w:space="0" w:color="auto"/>
      </w:divBdr>
    </w:div>
    <w:div w:id="811365376">
      <w:bodyDiv w:val="1"/>
      <w:marLeft w:val="0"/>
      <w:marRight w:val="0"/>
      <w:marTop w:val="0"/>
      <w:marBottom w:val="0"/>
      <w:divBdr>
        <w:top w:val="none" w:sz="0" w:space="0" w:color="auto"/>
        <w:left w:val="none" w:sz="0" w:space="0" w:color="auto"/>
        <w:bottom w:val="none" w:sz="0" w:space="0" w:color="auto"/>
        <w:right w:val="none" w:sz="0" w:space="0" w:color="auto"/>
      </w:divBdr>
    </w:div>
    <w:div w:id="874463596">
      <w:bodyDiv w:val="1"/>
      <w:marLeft w:val="0"/>
      <w:marRight w:val="0"/>
      <w:marTop w:val="0"/>
      <w:marBottom w:val="0"/>
      <w:divBdr>
        <w:top w:val="none" w:sz="0" w:space="0" w:color="auto"/>
        <w:left w:val="none" w:sz="0" w:space="0" w:color="auto"/>
        <w:bottom w:val="none" w:sz="0" w:space="0" w:color="auto"/>
        <w:right w:val="none" w:sz="0" w:space="0" w:color="auto"/>
      </w:divBdr>
    </w:div>
    <w:div w:id="916746403">
      <w:bodyDiv w:val="1"/>
      <w:marLeft w:val="0"/>
      <w:marRight w:val="0"/>
      <w:marTop w:val="0"/>
      <w:marBottom w:val="0"/>
      <w:divBdr>
        <w:top w:val="none" w:sz="0" w:space="0" w:color="auto"/>
        <w:left w:val="none" w:sz="0" w:space="0" w:color="auto"/>
        <w:bottom w:val="none" w:sz="0" w:space="0" w:color="auto"/>
        <w:right w:val="none" w:sz="0" w:space="0" w:color="auto"/>
      </w:divBdr>
    </w:div>
    <w:div w:id="961613141">
      <w:bodyDiv w:val="1"/>
      <w:marLeft w:val="0"/>
      <w:marRight w:val="0"/>
      <w:marTop w:val="0"/>
      <w:marBottom w:val="0"/>
      <w:divBdr>
        <w:top w:val="none" w:sz="0" w:space="0" w:color="auto"/>
        <w:left w:val="none" w:sz="0" w:space="0" w:color="auto"/>
        <w:bottom w:val="none" w:sz="0" w:space="0" w:color="auto"/>
        <w:right w:val="none" w:sz="0" w:space="0" w:color="auto"/>
      </w:divBdr>
    </w:div>
    <w:div w:id="968049161">
      <w:bodyDiv w:val="1"/>
      <w:marLeft w:val="0"/>
      <w:marRight w:val="0"/>
      <w:marTop w:val="0"/>
      <w:marBottom w:val="0"/>
      <w:divBdr>
        <w:top w:val="none" w:sz="0" w:space="0" w:color="auto"/>
        <w:left w:val="none" w:sz="0" w:space="0" w:color="auto"/>
        <w:bottom w:val="none" w:sz="0" w:space="0" w:color="auto"/>
        <w:right w:val="none" w:sz="0" w:space="0" w:color="auto"/>
      </w:divBdr>
    </w:div>
    <w:div w:id="1038238952">
      <w:bodyDiv w:val="1"/>
      <w:marLeft w:val="0"/>
      <w:marRight w:val="0"/>
      <w:marTop w:val="0"/>
      <w:marBottom w:val="0"/>
      <w:divBdr>
        <w:top w:val="none" w:sz="0" w:space="0" w:color="auto"/>
        <w:left w:val="none" w:sz="0" w:space="0" w:color="auto"/>
        <w:bottom w:val="none" w:sz="0" w:space="0" w:color="auto"/>
        <w:right w:val="none" w:sz="0" w:space="0" w:color="auto"/>
      </w:divBdr>
    </w:div>
    <w:div w:id="1039207697">
      <w:bodyDiv w:val="1"/>
      <w:marLeft w:val="0"/>
      <w:marRight w:val="0"/>
      <w:marTop w:val="0"/>
      <w:marBottom w:val="0"/>
      <w:divBdr>
        <w:top w:val="none" w:sz="0" w:space="0" w:color="auto"/>
        <w:left w:val="none" w:sz="0" w:space="0" w:color="auto"/>
        <w:bottom w:val="none" w:sz="0" w:space="0" w:color="auto"/>
        <w:right w:val="none" w:sz="0" w:space="0" w:color="auto"/>
      </w:divBdr>
    </w:div>
    <w:div w:id="1155343062">
      <w:bodyDiv w:val="1"/>
      <w:marLeft w:val="0"/>
      <w:marRight w:val="0"/>
      <w:marTop w:val="0"/>
      <w:marBottom w:val="0"/>
      <w:divBdr>
        <w:top w:val="none" w:sz="0" w:space="0" w:color="auto"/>
        <w:left w:val="none" w:sz="0" w:space="0" w:color="auto"/>
        <w:bottom w:val="none" w:sz="0" w:space="0" w:color="auto"/>
        <w:right w:val="none" w:sz="0" w:space="0" w:color="auto"/>
      </w:divBdr>
    </w:div>
    <w:div w:id="1168865481">
      <w:bodyDiv w:val="1"/>
      <w:marLeft w:val="0"/>
      <w:marRight w:val="0"/>
      <w:marTop w:val="0"/>
      <w:marBottom w:val="0"/>
      <w:divBdr>
        <w:top w:val="none" w:sz="0" w:space="0" w:color="auto"/>
        <w:left w:val="none" w:sz="0" w:space="0" w:color="auto"/>
        <w:bottom w:val="none" w:sz="0" w:space="0" w:color="auto"/>
        <w:right w:val="none" w:sz="0" w:space="0" w:color="auto"/>
      </w:divBdr>
    </w:div>
    <w:div w:id="1176919919">
      <w:bodyDiv w:val="1"/>
      <w:marLeft w:val="0"/>
      <w:marRight w:val="0"/>
      <w:marTop w:val="0"/>
      <w:marBottom w:val="0"/>
      <w:divBdr>
        <w:top w:val="none" w:sz="0" w:space="0" w:color="auto"/>
        <w:left w:val="none" w:sz="0" w:space="0" w:color="auto"/>
        <w:bottom w:val="none" w:sz="0" w:space="0" w:color="auto"/>
        <w:right w:val="none" w:sz="0" w:space="0" w:color="auto"/>
      </w:divBdr>
    </w:div>
    <w:div w:id="1288974023">
      <w:bodyDiv w:val="1"/>
      <w:marLeft w:val="0"/>
      <w:marRight w:val="0"/>
      <w:marTop w:val="0"/>
      <w:marBottom w:val="0"/>
      <w:divBdr>
        <w:top w:val="none" w:sz="0" w:space="0" w:color="auto"/>
        <w:left w:val="none" w:sz="0" w:space="0" w:color="auto"/>
        <w:bottom w:val="none" w:sz="0" w:space="0" w:color="auto"/>
        <w:right w:val="none" w:sz="0" w:space="0" w:color="auto"/>
      </w:divBdr>
    </w:div>
    <w:div w:id="1293290370">
      <w:bodyDiv w:val="1"/>
      <w:marLeft w:val="0"/>
      <w:marRight w:val="0"/>
      <w:marTop w:val="0"/>
      <w:marBottom w:val="0"/>
      <w:divBdr>
        <w:top w:val="none" w:sz="0" w:space="0" w:color="auto"/>
        <w:left w:val="none" w:sz="0" w:space="0" w:color="auto"/>
        <w:bottom w:val="none" w:sz="0" w:space="0" w:color="auto"/>
        <w:right w:val="none" w:sz="0" w:space="0" w:color="auto"/>
      </w:divBdr>
    </w:div>
    <w:div w:id="1295913634">
      <w:bodyDiv w:val="1"/>
      <w:marLeft w:val="0"/>
      <w:marRight w:val="0"/>
      <w:marTop w:val="0"/>
      <w:marBottom w:val="0"/>
      <w:divBdr>
        <w:top w:val="none" w:sz="0" w:space="0" w:color="auto"/>
        <w:left w:val="none" w:sz="0" w:space="0" w:color="auto"/>
        <w:bottom w:val="none" w:sz="0" w:space="0" w:color="auto"/>
        <w:right w:val="none" w:sz="0" w:space="0" w:color="auto"/>
      </w:divBdr>
    </w:div>
    <w:div w:id="1316642214">
      <w:bodyDiv w:val="1"/>
      <w:marLeft w:val="0"/>
      <w:marRight w:val="0"/>
      <w:marTop w:val="0"/>
      <w:marBottom w:val="0"/>
      <w:divBdr>
        <w:top w:val="none" w:sz="0" w:space="0" w:color="auto"/>
        <w:left w:val="none" w:sz="0" w:space="0" w:color="auto"/>
        <w:bottom w:val="none" w:sz="0" w:space="0" w:color="auto"/>
        <w:right w:val="none" w:sz="0" w:space="0" w:color="auto"/>
      </w:divBdr>
    </w:div>
    <w:div w:id="1343514322">
      <w:bodyDiv w:val="1"/>
      <w:marLeft w:val="0"/>
      <w:marRight w:val="0"/>
      <w:marTop w:val="0"/>
      <w:marBottom w:val="0"/>
      <w:divBdr>
        <w:top w:val="none" w:sz="0" w:space="0" w:color="auto"/>
        <w:left w:val="none" w:sz="0" w:space="0" w:color="auto"/>
        <w:bottom w:val="none" w:sz="0" w:space="0" w:color="auto"/>
        <w:right w:val="none" w:sz="0" w:space="0" w:color="auto"/>
      </w:divBdr>
    </w:div>
    <w:div w:id="1400862695">
      <w:bodyDiv w:val="1"/>
      <w:marLeft w:val="0"/>
      <w:marRight w:val="0"/>
      <w:marTop w:val="0"/>
      <w:marBottom w:val="0"/>
      <w:divBdr>
        <w:top w:val="none" w:sz="0" w:space="0" w:color="auto"/>
        <w:left w:val="none" w:sz="0" w:space="0" w:color="auto"/>
        <w:bottom w:val="none" w:sz="0" w:space="0" w:color="auto"/>
        <w:right w:val="none" w:sz="0" w:space="0" w:color="auto"/>
      </w:divBdr>
    </w:div>
    <w:div w:id="1476995165">
      <w:bodyDiv w:val="1"/>
      <w:marLeft w:val="0"/>
      <w:marRight w:val="0"/>
      <w:marTop w:val="0"/>
      <w:marBottom w:val="0"/>
      <w:divBdr>
        <w:top w:val="none" w:sz="0" w:space="0" w:color="auto"/>
        <w:left w:val="none" w:sz="0" w:space="0" w:color="auto"/>
        <w:bottom w:val="none" w:sz="0" w:space="0" w:color="auto"/>
        <w:right w:val="none" w:sz="0" w:space="0" w:color="auto"/>
      </w:divBdr>
    </w:div>
    <w:div w:id="1480340515">
      <w:bodyDiv w:val="1"/>
      <w:marLeft w:val="0"/>
      <w:marRight w:val="0"/>
      <w:marTop w:val="0"/>
      <w:marBottom w:val="0"/>
      <w:divBdr>
        <w:top w:val="none" w:sz="0" w:space="0" w:color="auto"/>
        <w:left w:val="none" w:sz="0" w:space="0" w:color="auto"/>
        <w:bottom w:val="none" w:sz="0" w:space="0" w:color="auto"/>
        <w:right w:val="none" w:sz="0" w:space="0" w:color="auto"/>
      </w:divBdr>
    </w:div>
    <w:div w:id="1614441819">
      <w:bodyDiv w:val="1"/>
      <w:marLeft w:val="0"/>
      <w:marRight w:val="0"/>
      <w:marTop w:val="0"/>
      <w:marBottom w:val="0"/>
      <w:divBdr>
        <w:top w:val="none" w:sz="0" w:space="0" w:color="auto"/>
        <w:left w:val="none" w:sz="0" w:space="0" w:color="auto"/>
        <w:bottom w:val="none" w:sz="0" w:space="0" w:color="auto"/>
        <w:right w:val="none" w:sz="0" w:space="0" w:color="auto"/>
      </w:divBdr>
    </w:div>
    <w:div w:id="1650481591">
      <w:bodyDiv w:val="1"/>
      <w:marLeft w:val="0"/>
      <w:marRight w:val="0"/>
      <w:marTop w:val="0"/>
      <w:marBottom w:val="0"/>
      <w:divBdr>
        <w:top w:val="none" w:sz="0" w:space="0" w:color="auto"/>
        <w:left w:val="none" w:sz="0" w:space="0" w:color="auto"/>
        <w:bottom w:val="none" w:sz="0" w:space="0" w:color="auto"/>
        <w:right w:val="none" w:sz="0" w:space="0" w:color="auto"/>
      </w:divBdr>
    </w:div>
    <w:div w:id="1707871759">
      <w:bodyDiv w:val="1"/>
      <w:marLeft w:val="0"/>
      <w:marRight w:val="0"/>
      <w:marTop w:val="0"/>
      <w:marBottom w:val="0"/>
      <w:divBdr>
        <w:top w:val="none" w:sz="0" w:space="0" w:color="auto"/>
        <w:left w:val="none" w:sz="0" w:space="0" w:color="auto"/>
        <w:bottom w:val="none" w:sz="0" w:space="0" w:color="auto"/>
        <w:right w:val="none" w:sz="0" w:space="0" w:color="auto"/>
      </w:divBdr>
    </w:div>
    <w:div w:id="1780568163">
      <w:bodyDiv w:val="1"/>
      <w:marLeft w:val="0"/>
      <w:marRight w:val="0"/>
      <w:marTop w:val="0"/>
      <w:marBottom w:val="0"/>
      <w:divBdr>
        <w:top w:val="none" w:sz="0" w:space="0" w:color="auto"/>
        <w:left w:val="none" w:sz="0" w:space="0" w:color="auto"/>
        <w:bottom w:val="none" w:sz="0" w:space="0" w:color="auto"/>
        <w:right w:val="none" w:sz="0" w:space="0" w:color="auto"/>
      </w:divBdr>
    </w:div>
    <w:div w:id="1813791172">
      <w:bodyDiv w:val="1"/>
      <w:marLeft w:val="0"/>
      <w:marRight w:val="0"/>
      <w:marTop w:val="0"/>
      <w:marBottom w:val="0"/>
      <w:divBdr>
        <w:top w:val="none" w:sz="0" w:space="0" w:color="auto"/>
        <w:left w:val="none" w:sz="0" w:space="0" w:color="auto"/>
        <w:bottom w:val="none" w:sz="0" w:space="0" w:color="auto"/>
        <w:right w:val="none" w:sz="0" w:space="0" w:color="auto"/>
      </w:divBdr>
    </w:div>
    <w:div w:id="1948148904">
      <w:bodyDiv w:val="1"/>
      <w:marLeft w:val="0"/>
      <w:marRight w:val="0"/>
      <w:marTop w:val="0"/>
      <w:marBottom w:val="0"/>
      <w:divBdr>
        <w:top w:val="none" w:sz="0" w:space="0" w:color="auto"/>
        <w:left w:val="none" w:sz="0" w:space="0" w:color="auto"/>
        <w:bottom w:val="none" w:sz="0" w:space="0" w:color="auto"/>
        <w:right w:val="none" w:sz="0" w:space="0" w:color="auto"/>
      </w:divBdr>
    </w:div>
    <w:div w:id="2063484928">
      <w:bodyDiv w:val="1"/>
      <w:marLeft w:val="0"/>
      <w:marRight w:val="0"/>
      <w:marTop w:val="0"/>
      <w:marBottom w:val="0"/>
      <w:divBdr>
        <w:top w:val="none" w:sz="0" w:space="0" w:color="auto"/>
        <w:left w:val="none" w:sz="0" w:space="0" w:color="auto"/>
        <w:bottom w:val="none" w:sz="0" w:space="0" w:color="auto"/>
        <w:right w:val="none" w:sz="0" w:space="0" w:color="auto"/>
      </w:divBdr>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wc.com/gx/en/tax/publications/assets/tax-transparency-and-risk-manag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pmg.com/RU/ru/IssuesAndInsights/ArticlesPublications/Risk-and-Complience-Newsletter/Documents/%D0%92%D1%8B%D0%BF%D1%83%D1%81%D0%BA%207/tax-risk-management-survey-report.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y.com/GL/en/Services/Tax/Tax-policy-and-controversy/EY-2014-Managing-operational-tax-risk-survey-highlights" TargetMode="External"/><Relationship Id="rId5" Type="http://schemas.openxmlformats.org/officeDocument/2006/relationships/webSettings" Target="webSettings.xml"/><Relationship Id="rId15" Type="http://schemas.openxmlformats.org/officeDocument/2006/relationships/hyperlink" Target="http://www.sec.gov/news/speech/2007/spch030807css.htm" TargetMode="External"/><Relationship Id="rId10" Type="http://schemas.openxmlformats.org/officeDocument/2006/relationships/hyperlink" Target="http://www2.deloitte.com/content/dam/Deloitte/ie/Documents/Tax/2015-deloitte-ireland-risk-transformation-and-tax-deloitte-ireland.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wc.com/us/en/tax-accounting-services/publications/assets/pwc-2015-sec-comment-letter-trends-income-taxe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rs.gov/businesses/corporations/uncertain-tax-positions-modified-policy-of-restr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4AAE9-FAAF-4E05-B966-E5964E53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66</Pages>
  <Words>19644</Words>
  <Characters>111971</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mkharding</dc:creator>
  <cp:keywords/>
  <dc:description/>
  <cp:lastModifiedBy>mkharding</cp:lastModifiedBy>
  <cp:revision>7</cp:revision>
  <cp:lastPrinted>2017-04-17T12:25:00Z</cp:lastPrinted>
  <dcterms:created xsi:type="dcterms:W3CDTF">2017-04-17T12:00:00Z</dcterms:created>
  <dcterms:modified xsi:type="dcterms:W3CDTF">2017-04-17T16:03:00Z</dcterms:modified>
</cp:coreProperties>
</file>