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B9829" w14:textId="77777777" w:rsidR="001C7D7A" w:rsidRDefault="001C7D7A" w:rsidP="00EB25EF">
      <w:pPr>
        <w:spacing w:line="480" w:lineRule="auto"/>
      </w:pPr>
    </w:p>
    <w:p w14:paraId="345910D2" w14:textId="77777777" w:rsidR="001C7D7A" w:rsidRPr="001C7D7A" w:rsidRDefault="001C7D7A" w:rsidP="00EB25EF">
      <w:pPr>
        <w:spacing w:line="480" w:lineRule="auto"/>
      </w:pPr>
    </w:p>
    <w:p w14:paraId="57E71D68" w14:textId="77777777" w:rsidR="001C7D7A" w:rsidRPr="001C7D7A" w:rsidRDefault="001C7D7A" w:rsidP="00EB25EF">
      <w:pPr>
        <w:spacing w:line="480" w:lineRule="auto"/>
      </w:pPr>
    </w:p>
    <w:p w14:paraId="586005CE" w14:textId="77777777" w:rsidR="001C7D7A" w:rsidRPr="001C7D7A" w:rsidRDefault="001C7D7A" w:rsidP="00EB25EF">
      <w:pPr>
        <w:spacing w:line="480" w:lineRule="auto"/>
      </w:pPr>
    </w:p>
    <w:p w14:paraId="76CBA6AB" w14:textId="77777777" w:rsidR="001C7D7A" w:rsidRPr="001C7D7A" w:rsidRDefault="001C7D7A" w:rsidP="00EB25EF">
      <w:pPr>
        <w:spacing w:line="480" w:lineRule="auto"/>
      </w:pPr>
    </w:p>
    <w:p w14:paraId="7DC5F178" w14:textId="77777777" w:rsidR="001C7D7A" w:rsidRPr="001C7D7A" w:rsidRDefault="001C7D7A" w:rsidP="00EB25EF">
      <w:pPr>
        <w:spacing w:line="480" w:lineRule="auto"/>
      </w:pPr>
    </w:p>
    <w:p w14:paraId="2DCD7278" w14:textId="77777777" w:rsidR="001C7D7A" w:rsidRPr="001C7D7A" w:rsidRDefault="001C7D7A" w:rsidP="00EB25EF">
      <w:pPr>
        <w:spacing w:line="480" w:lineRule="auto"/>
      </w:pPr>
    </w:p>
    <w:p w14:paraId="3DAD3265" w14:textId="77777777" w:rsidR="001C7D7A" w:rsidRPr="001C7D7A" w:rsidRDefault="001C7D7A" w:rsidP="00EB25EF">
      <w:pPr>
        <w:spacing w:line="480" w:lineRule="auto"/>
      </w:pPr>
    </w:p>
    <w:p w14:paraId="4E003B27" w14:textId="77777777" w:rsidR="001C7D7A" w:rsidRDefault="001C7D7A" w:rsidP="00EB25EF">
      <w:pPr>
        <w:spacing w:line="480" w:lineRule="auto"/>
      </w:pPr>
    </w:p>
    <w:p w14:paraId="79EA2D4B" w14:textId="1AD12AEA" w:rsidR="001C7D7A" w:rsidRDefault="00F86DBB" w:rsidP="00EB25EF">
      <w:pPr>
        <w:tabs>
          <w:tab w:val="left" w:pos="3613"/>
        </w:tabs>
        <w:spacing w:line="480" w:lineRule="auto"/>
        <w:jc w:val="center"/>
        <w:rPr>
          <w:b/>
          <w:sz w:val="28"/>
          <w:szCs w:val="28"/>
        </w:rPr>
      </w:pPr>
      <w:r>
        <w:rPr>
          <w:b/>
          <w:sz w:val="28"/>
          <w:szCs w:val="28"/>
        </w:rPr>
        <w:t xml:space="preserve">Exploring </w:t>
      </w:r>
      <w:r w:rsidR="003B34C4">
        <w:rPr>
          <w:b/>
          <w:sz w:val="28"/>
          <w:szCs w:val="28"/>
        </w:rPr>
        <w:t>Enrichment Cultures of</w:t>
      </w:r>
      <w:r>
        <w:rPr>
          <w:b/>
          <w:sz w:val="28"/>
          <w:szCs w:val="28"/>
        </w:rPr>
        <w:t xml:space="preserve"> Denitrifying </w:t>
      </w:r>
    </w:p>
    <w:p w14:paraId="7BCD793F" w14:textId="1A3013C8" w:rsidR="00F86DBB" w:rsidRPr="0093532F" w:rsidRDefault="00F86DBB" w:rsidP="00EB25EF">
      <w:pPr>
        <w:tabs>
          <w:tab w:val="left" w:pos="3613"/>
        </w:tabs>
        <w:spacing w:line="480" w:lineRule="auto"/>
        <w:jc w:val="center"/>
        <w:rPr>
          <w:b/>
          <w:i/>
          <w:sz w:val="28"/>
          <w:szCs w:val="28"/>
        </w:rPr>
      </w:pPr>
      <w:r>
        <w:rPr>
          <w:b/>
          <w:sz w:val="28"/>
          <w:szCs w:val="28"/>
        </w:rPr>
        <w:t>Microorganisms from El Yunque National Forest</w:t>
      </w:r>
    </w:p>
    <w:p w14:paraId="27D88631" w14:textId="77777777" w:rsidR="001C7D7A" w:rsidRPr="00CA76F6" w:rsidRDefault="001C7D7A" w:rsidP="00EB25EF">
      <w:pPr>
        <w:tabs>
          <w:tab w:val="left" w:pos="3613"/>
        </w:tabs>
        <w:spacing w:line="480" w:lineRule="auto"/>
        <w:jc w:val="center"/>
        <w:rPr>
          <w:b/>
          <w:sz w:val="28"/>
          <w:szCs w:val="28"/>
        </w:rPr>
      </w:pPr>
      <w:r w:rsidRPr="00CA76F6">
        <w:rPr>
          <w:b/>
          <w:sz w:val="28"/>
          <w:szCs w:val="28"/>
        </w:rPr>
        <w:t>Samiha Ahsan, Jenny Onley, Frank Löffler</w:t>
      </w:r>
    </w:p>
    <w:p w14:paraId="38A0C7AA" w14:textId="77777777" w:rsidR="001C7D7A" w:rsidRPr="00CA76F6" w:rsidRDefault="001C7D7A" w:rsidP="00EB25EF">
      <w:pPr>
        <w:tabs>
          <w:tab w:val="left" w:pos="3613"/>
        </w:tabs>
        <w:spacing w:line="480" w:lineRule="auto"/>
        <w:jc w:val="center"/>
        <w:rPr>
          <w:b/>
          <w:sz w:val="28"/>
          <w:szCs w:val="28"/>
        </w:rPr>
      </w:pPr>
      <w:r w:rsidRPr="00CA76F6">
        <w:rPr>
          <w:b/>
          <w:sz w:val="28"/>
          <w:szCs w:val="28"/>
        </w:rPr>
        <w:t>University of Tennessee, Knoxville, TN</w:t>
      </w:r>
    </w:p>
    <w:p w14:paraId="0B1891A3" w14:textId="77777777" w:rsidR="001C7D7A" w:rsidRDefault="001C7D7A" w:rsidP="00EB25EF">
      <w:pPr>
        <w:tabs>
          <w:tab w:val="left" w:pos="3613"/>
        </w:tabs>
        <w:spacing w:line="480" w:lineRule="auto"/>
        <w:jc w:val="center"/>
        <w:rPr>
          <w:b/>
          <w:sz w:val="28"/>
          <w:szCs w:val="28"/>
        </w:rPr>
      </w:pPr>
      <w:r>
        <w:rPr>
          <w:b/>
          <w:sz w:val="28"/>
          <w:szCs w:val="28"/>
        </w:rPr>
        <w:t>Fall 2016</w:t>
      </w:r>
    </w:p>
    <w:p w14:paraId="7318A982" w14:textId="20278DB2" w:rsidR="001C7D7A" w:rsidRPr="008E7CEB" w:rsidRDefault="001C7D7A" w:rsidP="00EB25EF">
      <w:pPr>
        <w:spacing w:line="480" w:lineRule="auto"/>
        <w:rPr>
          <w:b/>
          <w:sz w:val="28"/>
          <w:szCs w:val="28"/>
        </w:rPr>
      </w:pPr>
      <w:r>
        <w:rPr>
          <w:b/>
          <w:sz w:val="28"/>
          <w:szCs w:val="28"/>
        </w:rPr>
        <w:br w:type="page"/>
      </w:r>
      <w:bookmarkStart w:id="0" w:name="_GoBack"/>
      <w:bookmarkEnd w:id="0"/>
    </w:p>
    <w:p w14:paraId="2873A8BA" w14:textId="7FB96765" w:rsidR="008E7CEB" w:rsidRDefault="008E7CEB" w:rsidP="00EB25EF">
      <w:pPr>
        <w:tabs>
          <w:tab w:val="left" w:pos="720"/>
        </w:tabs>
        <w:spacing w:line="480" w:lineRule="auto"/>
        <w:rPr>
          <w:b/>
          <w:szCs w:val="28"/>
        </w:rPr>
      </w:pPr>
      <w:r>
        <w:rPr>
          <w:b/>
          <w:szCs w:val="28"/>
        </w:rPr>
        <w:lastRenderedPageBreak/>
        <w:t>Abstract</w:t>
      </w:r>
    </w:p>
    <w:p w14:paraId="781CB0D9" w14:textId="76DC486A" w:rsidR="008E7CEB" w:rsidRPr="008E7CEB" w:rsidRDefault="008E7CEB" w:rsidP="00EB25EF">
      <w:pPr>
        <w:tabs>
          <w:tab w:val="left" w:pos="720"/>
        </w:tabs>
        <w:spacing w:line="480" w:lineRule="auto"/>
        <w:rPr>
          <w:szCs w:val="28"/>
        </w:rPr>
      </w:pPr>
      <w:r>
        <w:rPr>
          <w:szCs w:val="28"/>
        </w:rPr>
        <w:tab/>
        <w:t xml:space="preserve">Exploring </w:t>
      </w:r>
      <w:r w:rsidR="008330AE">
        <w:rPr>
          <w:szCs w:val="28"/>
        </w:rPr>
        <w:t>ways</w:t>
      </w:r>
      <w:r>
        <w:rPr>
          <w:szCs w:val="28"/>
        </w:rPr>
        <w:t xml:space="preserve"> </w:t>
      </w:r>
      <w:r w:rsidR="008330AE">
        <w:rPr>
          <w:szCs w:val="28"/>
        </w:rPr>
        <w:t xml:space="preserve">in which bacteria thrive in El Yunque National Forest is crucial to understanding problems that arise within nutrient cycling, such as greenhouse gases, and mitigating these consequences. </w:t>
      </w:r>
      <w:r w:rsidR="00765FB7">
        <w:rPr>
          <w:szCs w:val="28"/>
        </w:rPr>
        <w:t xml:space="preserve">The first objective was to establish sediment-free cultures from microcosms showing ferric iron or nitrate reduction. The overall goal is to isolate denitrifiers from EYNF soil samples in order to assess the effect of global warming on denitrifiers from EYNF, which </w:t>
      </w:r>
      <w:r w:rsidR="00DB2A96">
        <w:rPr>
          <w:szCs w:val="28"/>
        </w:rPr>
        <w:t>can indicate effects on other habitats.</w:t>
      </w:r>
      <w:r w:rsidR="00765FB7">
        <w:rPr>
          <w:szCs w:val="28"/>
        </w:rPr>
        <w:t xml:space="preserve"> </w:t>
      </w:r>
      <w:r w:rsidR="008330AE">
        <w:rPr>
          <w:szCs w:val="28"/>
        </w:rPr>
        <w:t xml:space="preserve">Growth conditions for the bacteria in the soil samples obtained include a combination of electron donors and electron acceptors </w:t>
      </w:r>
      <w:r w:rsidR="00C60EDE">
        <w:rPr>
          <w:szCs w:val="28"/>
        </w:rPr>
        <w:t xml:space="preserve">at various elevation levels. </w:t>
      </w:r>
      <w:r w:rsidR="00D91A56">
        <w:rPr>
          <w:szCs w:val="28"/>
        </w:rPr>
        <w:t xml:space="preserve">Factors tested included nitrate or ferric iron, mixed with either lactate or acetate DCB-1 medium. </w:t>
      </w:r>
      <w:r w:rsidR="00CA20AD">
        <w:rPr>
          <w:szCs w:val="28"/>
        </w:rPr>
        <w:t>Consumption of electron acceptors was observed, e</w:t>
      </w:r>
      <w:r w:rsidR="00D45063">
        <w:rPr>
          <w:szCs w:val="28"/>
        </w:rPr>
        <w:t xml:space="preserve">nrichment cultures were transferred, </w:t>
      </w:r>
      <w:r w:rsidR="00CA20AD">
        <w:rPr>
          <w:szCs w:val="28"/>
        </w:rPr>
        <w:t>and a dilution-to-extinction series was executed</w:t>
      </w:r>
      <w:r w:rsidR="00DB2A96">
        <w:rPr>
          <w:szCs w:val="28"/>
        </w:rPr>
        <w:t xml:space="preserve"> – taking a step towards isolating a pure culture</w:t>
      </w:r>
      <w:r w:rsidR="00CA20AD">
        <w:rPr>
          <w:szCs w:val="28"/>
        </w:rPr>
        <w:t xml:space="preserve">. Assessment of the microbial communities present in the dilutions was conducted through a DAPI stain. </w:t>
      </w:r>
    </w:p>
    <w:p w14:paraId="142BCDC6" w14:textId="77777777" w:rsidR="001C7D7A" w:rsidRPr="001C7D7A" w:rsidRDefault="001C7D7A" w:rsidP="00EB25EF">
      <w:pPr>
        <w:tabs>
          <w:tab w:val="left" w:pos="720"/>
        </w:tabs>
        <w:spacing w:line="480" w:lineRule="auto"/>
        <w:rPr>
          <w:b/>
          <w:szCs w:val="28"/>
        </w:rPr>
      </w:pPr>
      <w:r>
        <w:rPr>
          <w:b/>
          <w:szCs w:val="28"/>
        </w:rPr>
        <w:t>Introduction</w:t>
      </w:r>
    </w:p>
    <w:p w14:paraId="6985FEE8" w14:textId="2B574D56" w:rsidR="0084526B" w:rsidRDefault="001C7D7A" w:rsidP="00EB25EF">
      <w:pPr>
        <w:spacing w:line="480" w:lineRule="auto"/>
      </w:pPr>
      <w:r>
        <w:tab/>
      </w:r>
      <w:r w:rsidR="007B0C35" w:rsidRPr="007B0C35">
        <w:t xml:space="preserve">Tropical forests cover almost fifty percent of the world’s total forest area and are more diverse than all other forest types </w:t>
      </w:r>
      <w:r w:rsidR="007B0C35">
        <w:t>collectively</w:t>
      </w:r>
      <w:r w:rsidR="007B0C35" w:rsidRPr="007B0C35">
        <w:rPr>
          <w:b/>
          <w:vertAlign w:val="superscript"/>
        </w:rPr>
        <w:t>1</w:t>
      </w:r>
      <w:r w:rsidR="007B0C35">
        <w:t xml:space="preserve">. </w:t>
      </w:r>
      <w:r w:rsidR="00730A92">
        <w:t>Forests are increasingly being subject to risks from extreme weather, such as droughts, fires, and disease</w:t>
      </w:r>
      <w:r w:rsidR="00730A92" w:rsidRPr="00730A92">
        <w:rPr>
          <w:b/>
          <w:vertAlign w:val="superscript"/>
        </w:rPr>
        <w:t>2</w:t>
      </w:r>
      <w:r w:rsidR="00730A92">
        <w:t xml:space="preserve">. These environmental concerns may </w:t>
      </w:r>
      <w:r w:rsidR="000E00E2">
        <w:t>be exacerbated by</w:t>
      </w:r>
      <w:r w:rsidR="00730A92">
        <w:t xml:space="preserve"> fluctuations in rainfall, increased levels of greenhouse gases, and air temperature changes. </w:t>
      </w:r>
      <w:r w:rsidR="0084526B">
        <w:t>Greenhouse gases, such as the formation of nitrous oxide (N</w:t>
      </w:r>
      <w:r w:rsidR="0084526B">
        <w:rPr>
          <w:vertAlign w:val="subscript"/>
        </w:rPr>
        <w:t>2</w:t>
      </w:r>
      <w:r w:rsidR="0084526B">
        <w:t>O), can be a result of denitrification</w:t>
      </w:r>
      <w:r w:rsidR="006A2A5B" w:rsidRPr="006A2A5B">
        <w:rPr>
          <w:b/>
          <w:vertAlign w:val="superscript"/>
        </w:rPr>
        <w:t>3</w:t>
      </w:r>
      <w:r w:rsidR="0084526B">
        <w:t xml:space="preserve">. </w:t>
      </w:r>
      <w:r w:rsidR="00B75C3C">
        <w:t>Many microorganisms</w:t>
      </w:r>
      <w:r w:rsidR="001E5F7E">
        <w:t xml:space="preserve"> can </w:t>
      </w:r>
      <w:r w:rsidR="00633541">
        <w:t>reduce</w:t>
      </w:r>
      <w:r w:rsidR="00B75C3C">
        <w:t xml:space="preserve"> nitrate to nitrite. Nitrite </w:t>
      </w:r>
      <w:r w:rsidR="001E5F7E">
        <w:t>can be reduced</w:t>
      </w:r>
      <w:r w:rsidR="00B75C3C">
        <w:t xml:space="preserve"> by denitrifiers</w:t>
      </w:r>
      <w:r w:rsidR="001E5F7E">
        <w:t xml:space="preserve"> to nitrous oxide and subsequently to N</w:t>
      </w:r>
      <w:r w:rsidR="001E5F7E">
        <w:rPr>
          <w:vertAlign w:val="subscript"/>
        </w:rPr>
        <w:t>2</w:t>
      </w:r>
      <w:r w:rsidR="001E5F7E">
        <w:rPr>
          <w:b/>
        </w:rPr>
        <w:t xml:space="preserve">, </w:t>
      </w:r>
      <w:r w:rsidR="001E5F7E">
        <w:t>or can be reduced to ammonium</w:t>
      </w:r>
      <w:r w:rsidR="001E5F7E">
        <w:rPr>
          <w:b/>
          <w:vertAlign w:val="superscript"/>
        </w:rPr>
        <w:t xml:space="preserve"> </w:t>
      </w:r>
      <w:r w:rsidR="001E5F7E">
        <w:t>via dissimilatory nitrate reduction to ammonium</w:t>
      </w:r>
      <w:r w:rsidR="001E5F7E" w:rsidRPr="001E5F7E">
        <w:rPr>
          <w:b/>
          <w:vertAlign w:val="superscript"/>
        </w:rPr>
        <w:t>4</w:t>
      </w:r>
      <w:r w:rsidR="001E5F7E">
        <w:t xml:space="preserve">. </w:t>
      </w:r>
    </w:p>
    <w:p w14:paraId="7C6C6C9E" w14:textId="5369B061" w:rsidR="008F7460" w:rsidRDefault="001E5F7E" w:rsidP="00EB25EF">
      <w:pPr>
        <w:spacing w:line="480" w:lineRule="auto"/>
        <w:ind w:firstLine="720"/>
      </w:pPr>
      <w:r>
        <w:t xml:space="preserve">Tropical forests, such as </w:t>
      </w:r>
      <w:r w:rsidR="003465F0">
        <w:t xml:space="preserve">the tropical montane cloud forests, are </w:t>
      </w:r>
      <w:r w:rsidR="00B26014">
        <w:t>known as “the world’s most sensitive and vulnerable ecosystems to climate change”</w:t>
      </w:r>
      <w:r w:rsidR="008F7460" w:rsidRPr="008F7460">
        <w:rPr>
          <w:b/>
          <w:vertAlign w:val="superscript"/>
        </w:rPr>
        <w:t>5</w:t>
      </w:r>
      <w:r w:rsidR="00B26014">
        <w:t xml:space="preserve">. </w:t>
      </w:r>
      <w:r w:rsidR="003465F0">
        <w:t xml:space="preserve"> </w:t>
      </w:r>
      <w:r w:rsidR="00730A92">
        <w:t xml:space="preserve">El Yunque National Forest (EYNF) </w:t>
      </w:r>
      <w:r w:rsidR="00CD5021">
        <w:t xml:space="preserve">in Puerto Rico </w:t>
      </w:r>
      <w:r w:rsidR="00730A92">
        <w:t xml:space="preserve">is </w:t>
      </w:r>
      <w:r w:rsidR="000D6108">
        <w:t>considered a valuable resource, supporting a huge d</w:t>
      </w:r>
      <w:r w:rsidR="000B5C55">
        <w:t>iversity of tropical organisms. Primarily because of fuel combustion escalation in Puerto Rico, nitrous oxide</w:t>
      </w:r>
      <w:r w:rsidR="00CD5021">
        <w:t xml:space="preserve"> emissions </w:t>
      </w:r>
      <w:r w:rsidR="000B5C55">
        <w:t>are expected to increase at a rate of 7.8 percent per year</w:t>
      </w:r>
      <w:r w:rsidR="000E00E2" w:rsidRPr="000E00E2">
        <w:rPr>
          <w:b/>
          <w:vertAlign w:val="superscript"/>
        </w:rPr>
        <w:t>2</w:t>
      </w:r>
      <w:r w:rsidR="000B5C55">
        <w:t xml:space="preserve">. This flux </w:t>
      </w:r>
      <w:r w:rsidR="000E00E2">
        <w:t>strongly influences the</w:t>
      </w:r>
      <w:r w:rsidR="000B5C55">
        <w:t xml:space="preserve"> carbon, nitrogen, and nutrient cycles, and is projected to climb further with global climate change. </w:t>
      </w:r>
      <w:r w:rsidR="008F7460">
        <w:t xml:space="preserve">We are exploring the effects of global warming on soil samples from EYNF to extrapolate possible future occurrences in other types of habitats. </w:t>
      </w:r>
    </w:p>
    <w:p w14:paraId="6F81EDFB" w14:textId="7A03E11F" w:rsidR="00730A92" w:rsidRDefault="00060C70" w:rsidP="00EB25EF">
      <w:pPr>
        <w:spacing w:line="480" w:lineRule="auto"/>
        <w:ind w:firstLine="720"/>
      </w:pPr>
      <w:r>
        <w:t>Microo</w:t>
      </w:r>
      <w:r w:rsidR="00A20095">
        <w:t xml:space="preserve">rganisms, such as </w:t>
      </w:r>
      <w:r w:rsidR="00A059D8">
        <w:t xml:space="preserve">denitrifiers and </w:t>
      </w:r>
      <w:r w:rsidR="00A20095">
        <w:t>metabolic reductively dechlorinating bacteria</w:t>
      </w:r>
      <w:r w:rsidR="00F140A8">
        <w:t xml:space="preserve"> (MRDBs)</w:t>
      </w:r>
      <w:r w:rsidR="00A20095">
        <w:t xml:space="preserve">, </w:t>
      </w:r>
      <w:r w:rsidR="000B5C55">
        <w:t xml:space="preserve">in the soil can mitigate these problems through pathways, </w:t>
      </w:r>
      <w:r w:rsidR="000E00E2">
        <w:t>such as</w:t>
      </w:r>
      <w:r w:rsidR="000B5C55">
        <w:t xml:space="preserve"> </w:t>
      </w:r>
      <w:r w:rsidR="00A059D8">
        <w:t xml:space="preserve">nitrous oxide reduction and </w:t>
      </w:r>
      <w:r w:rsidR="000B5C55">
        <w:t>dehalogenation.</w:t>
      </w:r>
      <w:r w:rsidR="008936A3" w:rsidRPr="008936A3">
        <w:t xml:space="preserve"> </w:t>
      </w:r>
      <w:r w:rsidR="008936A3">
        <w:t xml:space="preserve">“Chemodenitrifiers” can also </w:t>
      </w:r>
      <w:r w:rsidR="00A77DA5">
        <w:t>contribute</w:t>
      </w:r>
      <w:r w:rsidR="008936A3">
        <w:t xml:space="preserve"> through reduction pathways for nitrate, N</w:t>
      </w:r>
      <w:r w:rsidR="008936A3">
        <w:rPr>
          <w:vertAlign w:val="subscript"/>
        </w:rPr>
        <w:t>2</w:t>
      </w:r>
      <w:r w:rsidR="008936A3">
        <w:t xml:space="preserve">O, and ferric iron. </w:t>
      </w:r>
      <w:r w:rsidR="00A20095">
        <w:t xml:space="preserve">These bacteria can thus help </w:t>
      </w:r>
      <w:r w:rsidR="00F140A8">
        <w:t>improve the environment based on the electron donors or the electron acceptors they use. All known MRDBs grow using acetate, H</w:t>
      </w:r>
      <w:r w:rsidR="00F140A8">
        <w:rPr>
          <w:vertAlign w:val="subscript"/>
        </w:rPr>
        <w:t>2</w:t>
      </w:r>
      <w:r w:rsidR="00F140A8">
        <w:t>, or a mixture as electron donors</w:t>
      </w:r>
      <w:r w:rsidR="008F7460">
        <w:rPr>
          <w:b/>
          <w:vertAlign w:val="superscript"/>
        </w:rPr>
        <w:t>6</w:t>
      </w:r>
      <w:r w:rsidR="00F140A8">
        <w:t>. Addition of lactate as a substrate also functions to provide these crucial electron donors since lactate fermentation generates acetate and H</w:t>
      </w:r>
      <w:r w:rsidR="00F140A8">
        <w:rPr>
          <w:vertAlign w:val="subscript"/>
        </w:rPr>
        <w:t>2</w:t>
      </w:r>
      <w:r>
        <w:t xml:space="preserve">. </w:t>
      </w:r>
      <w:r w:rsidR="007C6286">
        <w:t>This production of acetate combined with CO</w:t>
      </w:r>
      <w:r w:rsidR="007C6286">
        <w:rPr>
          <w:vertAlign w:val="subscript"/>
        </w:rPr>
        <w:t>2</w:t>
      </w:r>
      <w:r w:rsidR="007C6286">
        <w:t xml:space="preserve"> in the headspace can be reduced to methane, which is also a greenhouse gas. C</w:t>
      </w:r>
      <w:r>
        <w:t xml:space="preserve">ombinations </w:t>
      </w:r>
      <w:r w:rsidR="007C6286">
        <w:t>of lactate, acetate, H</w:t>
      </w:r>
      <w:r w:rsidR="007C6286" w:rsidRPr="007C6286">
        <w:rPr>
          <w:vertAlign w:val="subscript"/>
        </w:rPr>
        <w:t>2</w:t>
      </w:r>
      <w:r w:rsidR="007C6286">
        <w:t>, and CO</w:t>
      </w:r>
      <w:r w:rsidR="007C6286">
        <w:rPr>
          <w:vertAlign w:val="subscript"/>
        </w:rPr>
        <w:t>2</w:t>
      </w:r>
      <w:r w:rsidR="007C6286">
        <w:t xml:space="preserve"> </w:t>
      </w:r>
      <w:r>
        <w:t xml:space="preserve">feed the microorganisms, allowing for growth and moving a step closer towards obtaining a pure culture. Pure cultures allow </w:t>
      </w:r>
      <w:r w:rsidR="003E3374">
        <w:t>us to study individual contributions of community members to geochemical cycling</w:t>
      </w:r>
      <w:r w:rsidR="00062986">
        <w:rPr>
          <w:b/>
          <w:vertAlign w:val="superscript"/>
        </w:rPr>
        <w:t>6</w:t>
      </w:r>
      <w:r>
        <w:t xml:space="preserve">. </w:t>
      </w:r>
      <w:r w:rsidR="003E3374">
        <w:t>Our goal is to isolate</w:t>
      </w:r>
      <w:r w:rsidR="00A059D8">
        <w:t xml:space="preserve"> denitrifiers from EYN</w:t>
      </w:r>
      <w:r w:rsidR="003E3374">
        <w:t xml:space="preserve">F soil samples – </w:t>
      </w:r>
      <w:r w:rsidR="00A059D8">
        <w:t xml:space="preserve">the first step towards testing the effect of global warming on denitrifying microorganisms from EYNF, which can serve as precursors to other ecosystems. </w:t>
      </w:r>
    </w:p>
    <w:p w14:paraId="3C0E2CE9" w14:textId="0353B08D" w:rsidR="00D9790A" w:rsidRDefault="00D9790A" w:rsidP="00EB25EF">
      <w:pPr>
        <w:spacing w:line="480" w:lineRule="auto"/>
        <w:rPr>
          <w:b/>
        </w:rPr>
      </w:pPr>
      <w:r>
        <w:rPr>
          <w:b/>
        </w:rPr>
        <w:t>Methods</w:t>
      </w:r>
    </w:p>
    <w:p w14:paraId="28FE2A9C" w14:textId="08B78E7E" w:rsidR="00FC3750" w:rsidRDefault="00BC2521" w:rsidP="00EB25EF">
      <w:pPr>
        <w:spacing w:line="480" w:lineRule="auto"/>
        <w:ind w:firstLine="720"/>
      </w:pPr>
      <w:r>
        <w:t>Soil</w:t>
      </w:r>
      <w:r w:rsidR="00931E63">
        <w:t xml:space="preserve"> samples were taken</w:t>
      </w:r>
      <w:r>
        <w:t xml:space="preserve"> by collaborators in Puerto Rico</w:t>
      </w:r>
      <w:r w:rsidR="00931E63">
        <w:t xml:space="preserve"> at four different elevation sites and from three different depths. Each of the depths, from 0-5 cm, 5 – 20 cm, and 20 – 30 cm, were combined at their respective elevation heights. Elevation sites 13-1, 15-1, 16-1, and 22-1 are located at altitudes of 434 m, 265 m, 634 m, and 953 m</w:t>
      </w:r>
      <w:r w:rsidR="00396CF8">
        <w:t>, respectively</w:t>
      </w:r>
      <w:r w:rsidR="00931E63">
        <w:t xml:space="preserve">. </w:t>
      </w:r>
    </w:p>
    <w:p w14:paraId="06DDBACB" w14:textId="1EAC3D22" w:rsidR="00D9790A" w:rsidRDefault="004D44F7" w:rsidP="00EB25EF">
      <w:pPr>
        <w:spacing w:line="480" w:lineRule="auto"/>
        <w:ind w:firstLine="720"/>
      </w:pPr>
      <w:r>
        <w:t>In an anaerobic chamber</w:t>
      </w:r>
      <w:r w:rsidR="00FC7FC8">
        <w:t xml:space="preserve"> with 97% nitrogen and 3% hydrogen</w:t>
      </w:r>
      <w:r>
        <w:t>, sixteen microcosms were set up starting with 1.5 g of each of the soil mixtu</w:t>
      </w:r>
      <w:r w:rsidR="0069470D">
        <w:t>res at an elevation point</w:t>
      </w:r>
      <w:r w:rsidR="00FC7FC8">
        <w:t xml:space="preserve"> (Table 1)</w:t>
      </w:r>
      <w:r w:rsidR="0069470D">
        <w:t xml:space="preserve">. Each of eight soil samples were allocated in different microcosms that would each include 20 mM ferric iron with 5 mM acetate or 5 mM lactate </w:t>
      </w:r>
      <w:r w:rsidR="00F86DBB">
        <w:t xml:space="preserve">in </w:t>
      </w:r>
      <w:r w:rsidR="0069470D">
        <w:t xml:space="preserve">DCB-1 </w:t>
      </w:r>
      <w:r w:rsidR="00F924F1">
        <w:t xml:space="preserve">minimal </w:t>
      </w:r>
      <w:r w:rsidR="0069470D">
        <w:t>medium</w:t>
      </w:r>
      <w:r w:rsidR="00150165">
        <w:t xml:space="preserve"> at pH 7.2</w:t>
      </w:r>
      <w:r w:rsidR="0069470D">
        <w:t xml:space="preserve">. The other half of the soil samples were set up to grown on 2 mM nitrate </w:t>
      </w:r>
      <w:r w:rsidR="00F86DBB">
        <w:t>and</w:t>
      </w:r>
      <w:r w:rsidR="0069470D">
        <w:t xml:space="preserve"> 5 mM acetate or 5 mM lactate medium. After the microcosms were removed from the anoxic chamber and flushed with N</w:t>
      </w:r>
      <w:r w:rsidR="0069470D">
        <w:rPr>
          <w:vertAlign w:val="subscript"/>
        </w:rPr>
        <w:t>2</w:t>
      </w:r>
      <w:r w:rsidR="0069470D">
        <w:t>/CO</w:t>
      </w:r>
      <w:r w:rsidR="0069470D">
        <w:rPr>
          <w:vertAlign w:val="subscript"/>
        </w:rPr>
        <w:t>2</w:t>
      </w:r>
      <w:r w:rsidR="0069470D">
        <w:t xml:space="preserve">, </w:t>
      </w:r>
      <w:r w:rsidR="00F924F1">
        <w:t>the minimal</w:t>
      </w:r>
      <w:r w:rsidR="0069470D">
        <w:t xml:space="preserve"> medium </w:t>
      </w:r>
      <w:r w:rsidR="00F924F1">
        <w:t>containing</w:t>
      </w:r>
      <w:r w:rsidR="0069470D">
        <w:t xml:space="preserve"> either lactate or acetate was aliquoted into each</w:t>
      </w:r>
      <w:r w:rsidR="00FC3750">
        <w:t xml:space="preserve"> of the bottles. </w:t>
      </w:r>
      <w:r w:rsidR="00C315D1">
        <w:t>This DCB-1 minimal medium was made with 100x salts, trace element solution, Se/W solution, and resazurin</w:t>
      </w:r>
      <w:r w:rsidR="00FB3B77">
        <w:rPr>
          <w:b/>
          <w:vertAlign w:val="superscript"/>
        </w:rPr>
        <w:t>7</w:t>
      </w:r>
      <w:r w:rsidR="00C315D1">
        <w:t>. Sodium bicarbonate was included as a buffer and L-cysteine wa</w:t>
      </w:r>
      <w:r w:rsidR="00775727">
        <w:t>s the main source of reductants;</w:t>
      </w:r>
      <w:r w:rsidR="00C315D1">
        <w:t xml:space="preserve"> </w:t>
      </w:r>
      <w:r w:rsidR="00775727">
        <w:t xml:space="preserve">sulfide was </w:t>
      </w:r>
      <w:r w:rsidR="00C315D1">
        <w:t xml:space="preserve">excluded </w:t>
      </w:r>
      <w:r w:rsidR="00775727">
        <w:t>since it has been shown to inhibit N</w:t>
      </w:r>
      <w:r w:rsidR="00775727">
        <w:rPr>
          <w:vertAlign w:val="subscript"/>
        </w:rPr>
        <w:t>2</w:t>
      </w:r>
      <w:r w:rsidR="00775727">
        <w:t>O reduction</w:t>
      </w:r>
      <w:r w:rsidR="00FB3B77" w:rsidRPr="00FB3B77">
        <w:rPr>
          <w:b/>
          <w:vertAlign w:val="superscript"/>
        </w:rPr>
        <w:t>8</w:t>
      </w:r>
      <w:r w:rsidR="00C315D1">
        <w:t>. Next, a</w:t>
      </w:r>
      <w:r w:rsidR="00FC3750">
        <w:t xml:space="preserve">fter vitamins were added, 20 mM of ferric iron </w:t>
      </w:r>
      <w:r w:rsidR="00E17A05">
        <w:t xml:space="preserve">from poorly crystalline Fe (III) oxyhydroxide </w:t>
      </w:r>
      <w:r w:rsidR="00FC3750">
        <w:t>or 2 mM nitrate was inject</w:t>
      </w:r>
      <w:r w:rsidR="00E17A05">
        <w:t xml:space="preserve">ed into each of the microcosms. Youlboong Sung’s protocol for preparation of ferric oxyhydroxide involves </w:t>
      </w:r>
      <w:r w:rsidR="00775727">
        <w:t>neutralizing a ferric chloride solution,</w:t>
      </w:r>
      <w:r w:rsidR="00E17A05">
        <w:t xml:space="preserve"> dissolved chloride from FeCl x 6H</w:t>
      </w:r>
      <w:r w:rsidR="00E17A05">
        <w:rPr>
          <w:vertAlign w:val="subscript"/>
        </w:rPr>
        <w:t>2</w:t>
      </w:r>
      <w:r w:rsidR="00E17A05">
        <w:t xml:space="preserve">O in aqueous solution through multiple washes, and then making anoxic FeOOH solution.   </w:t>
      </w:r>
    </w:p>
    <w:p w14:paraId="14BBA33C" w14:textId="6D3C6942" w:rsidR="006B3BDB" w:rsidRDefault="00A2502D" w:rsidP="00EB25EF">
      <w:pPr>
        <w:spacing w:line="480" w:lineRule="auto"/>
        <w:ind w:firstLine="720"/>
      </w:pPr>
      <w:r>
        <w:t>The initial goal is to establish sediment-free cultures from microcosms exhibiting reductive activity of ferric iron or nitrate</w:t>
      </w:r>
      <w:r w:rsidRPr="00A2502D">
        <w:rPr>
          <w:b/>
          <w:vertAlign w:val="superscript"/>
        </w:rPr>
        <w:t>3</w:t>
      </w:r>
      <w:r>
        <w:t xml:space="preserve">. </w:t>
      </w:r>
      <w:r w:rsidR="00FC3750">
        <w:t xml:space="preserve">The ferric iron levels and nitrate concentrations of the microcosms were monitored through ferrozine assays and </w:t>
      </w:r>
      <w:r w:rsidR="009679EA">
        <w:t>MQuant</w:t>
      </w:r>
      <w:r w:rsidR="009679EA">
        <w:rPr>
          <w:rFonts w:ascii="Cambria" w:hAnsi="Cambria"/>
        </w:rPr>
        <w:t>™</w:t>
      </w:r>
      <w:r w:rsidR="009679EA">
        <w:t xml:space="preserve"> Millipore </w:t>
      </w:r>
      <w:r w:rsidR="00FC3750">
        <w:t xml:space="preserve">nitrate strips. </w:t>
      </w:r>
      <w:r w:rsidR="00190CE4">
        <w:t>The goal of ferrozine assays is to measure the ferrous iron content and indirectly measure the total iron</w:t>
      </w:r>
      <w:r w:rsidR="004D3EF4" w:rsidRPr="004D3EF4">
        <w:rPr>
          <w:b/>
          <w:vertAlign w:val="superscript"/>
        </w:rPr>
        <w:t>9</w:t>
      </w:r>
      <w:r w:rsidR="00190CE4">
        <w:t>. Additionally, the</w:t>
      </w:r>
      <w:r>
        <w:t xml:space="preserve"> nitrate strips test for the presence of nitrite and for a combination of nitrate and nitrite to convey whether a sample contains nitrate. </w:t>
      </w:r>
      <w:r w:rsidR="00B31907">
        <w:t xml:space="preserve">After equating the color shown on the nitrate strip with a value </w:t>
      </w:r>
      <w:r w:rsidR="006D167A">
        <w:t>on the nitrate strip chart given, approximate nitrate concentrations</w:t>
      </w:r>
      <w:r w:rsidR="00B31907">
        <w:t xml:space="preserve"> </w:t>
      </w:r>
      <w:r w:rsidR="006D167A">
        <w:t xml:space="preserve">were calculated. </w:t>
      </w:r>
      <w:r w:rsidR="0047539E">
        <w:t xml:space="preserve">The nitrate levels were visually estimated according to the color range provided on the nitrate strips manual, and the ranges converted to rough values of the nitrate concentration. While these nitrate strips can determine the presence of nitrate, the nitrate concentrations are not extremely accurate. </w:t>
      </w:r>
    </w:p>
    <w:p w14:paraId="2A7DF244" w14:textId="0E3FED6B" w:rsidR="00CD2326" w:rsidRDefault="003F79F0" w:rsidP="00EB25EF">
      <w:pPr>
        <w:spacing w:line="480" w:lineRule="auto"/>
        <w:ind w:firstLine="720"/>
      </w:pPr>
      <w:r>
        <w:t xml:space="preserve">The </w:t>
      </w:r>
      <w:r w:rsidR="004E03C9">
        <w:t>gas chromatograph</w:t>
      </w:r>
      <w:r w:rsidR="007C5A1B">
        <w:t xml:space="preserve"> separates and tests for the presence of different compounds in the given samples.</w:t>
      </w:r>
      <w:r w:rsidR="004E03C9">
        <w:t xml:space="preserve"> </w:t>
      </w:r>
      <w:r w:rsidR="007C5A1B">
        <w:t xml:space="preserve">This instrument </w:t>
      </w:r>
      <w:r w:rsidR="00FA1079">
        <w:t xml:space="preserve">functions by </w:t>
      </w:r>
      <w:r w:rsidR="00775727">
        <w:t>analyzing</w:t>
      </w:r>
      <w:r w:rsidR="00FA1079">
        <w:t xml:space="preserve"> the headspace samples from the enrichment cultures, and molecules with increasing boiling point have increased retention times, which help identify the compounds</w:t>
      </w:r>
      <w:r w:rsidR="009E086D">
        <w:rPr>
          <w:b/>
          <w:vertAlign w:val="superscript"/>
        </w:rPr>
        <w:t>10</w:t>
      </w:r>
      <w:r w:rsidR="00FA1079">
        <w:t xml:space="preserve">. </w:t>
      </w:r>
      <w:r w:rsidR="007C5A1B">
        <w:t>We tested our samples for</w:t>
      </w:r>
      <w:r w:rsidR="004E03C9">
        <w:t xml:space="preserve"> any nitrou</w:t>
      </w:r>
      <w:r w:rsidR="007C5A1B">
        <w:t>s oxide present in the cultures, and t</w:t>
      </w:r>
      <w:r w:rsidR="004E03C9">
        <w:t xml:space="preserve">he results </w:t>
      </w:r>
      <w:r w:rsidR="00E802E8">
        <w:t>were</w:t>
      </w:r>
      <w:r w:rsidR="007C5A1B">
        <w:t xml:space="preserve"> also</w:t>
      </w:r>
      <w:r w:rsidR="004E03C9">
        <w:t xml:space="preserve"> analyzed to determine </w:t>
      </w:r>
      <w:r w:rsidR="00E802E8">
        <w:t>if any</w:t>
      </w:r>
      <w:r w:rsidR="004E03C9">
        <w:t xml:space="preserve"> large quantities of methane </w:t>
      </w:r>
      <w:r w:rsidR="00E802E8">
        <w:t xml:space="preserve">were </w:t>
      </w:r>
      <w:r w:rsidR="004E03C9">
        <w:t xml:space="preserve">in the enrichment cultures. </w:t>
      </w:r>
    </w:p>
    <w:p w14:paraId="6CAE0FD5" w14:textId="71FE744C" w:rsidR="00B23D17" w:rsidRDefault="006B3BDB" w:rsidP="00EB25EF">
      <w:pPr>
        <w:spacing w:line="480" w:lineRule="auto"/>
        <w:ind w:firstLine="720"/>
      </w:pPr>
      <w:r>
        <w:t>The</w:t>
      </w:r>
      <w:r w:rsidR="00150165">
        <w:t xml:space="preserve"> enrichment cultures</w:t>
      </w:r>
      <w:r w:rsidR="00492491">
        <w:t>, or transfers,</w:t>
      </w:r>
      <w:r w:rsidR="00150165">
        <w:t xml:space="preserve"> from </w:t>
      </w:r>
      <w:r>
        <w:t>a particularly successful</w:t>
      </w:r>
      <w:r w:rsidR="00B23D17">
        <w:t xml:space="preserve"> microcosm </w:t>
      </w:r>
      <w:r w:rsidR="00492491">
        <w:t xml:space="preserve">showing consumption of the pertaining electron acceptors </w:t>
      </w:r>
      <w:r w:rsidR="00150165">
        <w:t>have</w:t>
      </w:r>
      <w:r w:rsidR="00B23D17">
        <w:t xml:space="preserve"> been further explored in the hopes of obtaining </w:t>
      </w:r>
      <w:r w:rsidR="00150165">
        <w:t>an isolate</w:t>
      </w:r>
      <w:r w:rsidR="00B23D17">
        <w:t xml:space="preserve">. </w:t>
      </w:r>
      <w:r w:rsidR="00150165">
        <w:t xml:space="preserve">Following multiple transfers, </w:t>
      </w:r>
      <w:r w:rsidR="00192531">
        <w:t xml:space="preserve">a sample from one of these enrichment cultures was taken and observed under a phase light microscope. The diversity of the microbial communities present was noted and their quantities assessed. </w:t>
      </w:r>
    </w:p>
    <w:p w14:paraId="3ACF5684" w14:textId="61F1ECAE" w:rsidR="00192531" w:rsidRDefault="00775727" w:rsidP="00EB25EF">
      <w:pPr>
        <w:spacing w:line="480" w:lineRule="auto"/>
        <w:ind w:firstLine="720"/>
      </w:pPr>
      <w:r>
        <w:t>The dilution-to-extinction method was used to decrease the microbial diversity of the enrichments</w:t>
      </w:r>
      <w:r w:rsidR="00192531">
        <w:t xml:space="preserve">. </w:t>
      </w:r>
      <w:r w:rsidR="003F7B16">
        <w:t xml:space="preserve">A dilution-to-extinction series </w:t>
      </w:r>
      <w:r w:rsidR="00383B9C">
        <w:t>can be</w:t>
      </w:r>
      <w:r w:rsidR="003F7B16">
        <w:t xml:space="preserve"> conducted in liquid DBC-1 medium </w:t>
      </w:r>
      <w:r w:rsidR="00383B9C">
        <w:t>from an enrichment culture up to a tenth dilution</w:t>
      </w:r>
      <w:r w:rsidR="00383B9C" w:rsidRPr="00383B9C">
        <w:rPr>
          <w:b/>
          <w:vertAlign w:val="superscript"/>
        </w:rPr>
        <w:t>6</w:t>
      </w:r>
      <w:r w:rsidR="00383B9C">
        <w:t xml:space="preserve">. The purpose of this dilution-to-extinction technique is a step towards transferring colonies in the hopes of isolating a pure culture. </w:t>
      </w:r>
      <w:r w:rsidR="00976966">
        <w:t>With the fifth transfer from the original microcosm</w:t>
      </w:r>
      <w:r w:rsidR="002E48D7">
        <w:t>, a dilution-to-extinction sequence was prepared</w:t>
      </w:r>
      <w:r w:rsidR="007B19B6">
        <w:t xml:space="preserve"> in Balch tubes under similar growth conditions. Samples were taken</w:t>
      </w:r>
      <w:r w:rsidR="003108F9">
        <w:t xml:space="preserve"> following inoculation</w:t>
      </w:r>
      <w:r w:rsidR="007B19B6">
        <w:t xml:space="preserve"> in order to be observed </w:t>
      </w:r>
      <w:r w:rsidR="003108F9">
        <w:t xml:space="preserve">under another microscope via the DAPI </w:t>
      </w:r>
      <w:r w:rsidR="00307A9A" w:rsidRPr="00307A9A">
        <w:t>(4′,6-diamidino-2-phenylindole)</w:t>
      </w:r>
      <w:r w:rsidR="00307A9A">
        <w:t xml:space="preserve"> </w:t>
      </w:r>
      <w:r w:rsidR="003108F9">
        <w:t xml:space="preserve">technique. </w:t>
      </w:r>
      <w:r w:rsidR="00675CF7">
        <w:t>DAPI is a general</w:t>
      </w:r>
      <w:r w:rsidR="00D36DD6">
        <w:t>, nonspecific</w:t>
      </w:r>
      <w:r w:rsidR="00675CF7">
        <w:t xml:space="preserve"> staining method in which the stain</w:t>
      </w:r>
      <w:r w:rsidR="00D36DD6">
        <w:t xml:space="preserve"> binds to DNA, fluorescing all microorganisms in a sample when exposed to ultraviolet light</w:t>
      </w:r>
      <w:r>
        <w:rPr>
          <w:b/>
          <w:vertAlign w:val="superscript"/>
        </w:rPr>
        <w:t>1</w:t>
      </w:r>
      <w:r w:rsidR="009E086D">
        <w:rPr>
          <w:b/>
          <w:vertAlign w:val="superscript"/>
        </w:rPr>
        <w:t>1</w:t>
      </w:r>
      <w:r w:rsidR="00D36DD6">
        <w:t xml:space="preserve">. </w:t>
      </w:r>
      <w:r w:rsidR="000D5C70">
        <w:t>To prepare the samples from the dilutions for the DAPI stain, the samples were washed in phosphate buffered s</w:t>
      </w:r>
      <w:r w:rsidR="009B37B9">
        <w:t>aline, and the cells fixed via paraformaldehyde</w:t>
      </w:r>
      <w:r w:rsidR="005C3B93">
        <w:t xml:space="preserve"> in a protocol provided by Joy Buongiorno</w:t>
      </w:r>
      <w:r w:rsidR="003269BA">
        <w:t xml:space="preserve">. A few of these dilutions were observed under the microscope with the DAPI staining technique to analyze the microbial communities present. </w:t>
      </w:r>
    </w:p>
    <w:p w14:paraId="310AE6A7" w14:textId="3CDE75A7" w:rsidR="008C1E1B" w:rsidRDefault="008C1E1B" w:rsidP="00EB25EF">
      <w:pPr>
        <w:spacing w:line="480" w:lineRule="auto"/>
        <w:rPr>
          <w:b/>
        </w:rPr>
      </w:pPr>
      <w:r>
        <w:rPr>
          <w:b/>
        </w:rPr>
        <w:t>Results</w:t>
      </w:r>
    </w:p>
    <w:p w14:paraId="1A2A708B" w14:textId="3F61C254" w:rsidR="00110EFC" w:rsidRDefault="0097535C" w:rsidP="00EB25EF">
      <w:pPr>
        <w:spacing w:line="480" w:lineRule="auto"/>
        <w:ind w:firstLine="720"/>
      </w:pPr>
      <w:r>
        <w:t xml:space="preserve">Consumption of nitrate in the enrichment cultures was closely monitored </w:t>
      </w:r>
      <w:r w:rsidR="00AD7653">
        <w:t xml:space="preserve">with nitrate strips </w:t>
      </w:r>
      <w:r>
        <w:t>following each transfer</w:t>
      </w:r>
      <w:r w:rsidR="005D6294">
        <w:t xml:space="preserve">. </w:t>
      </w:r>
      <w:r w:rsidR="00492491">
        <w:t>After the microcosm showed signs of visibly reducing the ferric iron and consumed the nitrate, the samples were transferred ideally with little sediment. However, several of these enrichment cultures, immersed in ferric iron were exhibiting slow rates of reduction and taking over a month each to display signs of reduction. On the other hand, the enrichment cultures transferred with nitrate demonstrated consumption of nitrate quickly and efficiently within a few weeks. One enrichment culture growing on 5 mM lactate and 2 mM nitrate at the 265 m elevation point consistently consumed the nitrate most quickly within three days while showing high turbidity</w:t>
      </w:r>
      <w:r w:rsidR="005D6294">
        <w:t xml:space="preserve"> (Figure 1)</w:t>
      </w:r>
      <w:r w:rsidR="00492491">
        <w:t>. In the beginning of the microcosm process, the cultures growing on nitrate and lactate would take about a week to completely consume the nitrate. By the third transfer, the enrichment cultures were increasingly quickly consuming the nitrate within a few days.</w:t>
      </w:r>
      <w:r w:rsidR="00F3416E">
        <w:t xml:space="preserve"> </w:t>
      </w:r>
    </w:p>
    <w:p w14:paraId="409171CB" w14:textId="55ABE81A" w:rsidR="00427097" w:rsidRPr="0097535C" w:rsidRDefault="00427097" w:rsidP="00EB25EF">
      <w:pPr>
        <w:spacing w:line="480" w:lineRule="auto"/>
        <w:ind w:firstLine="720"/>
      </w:pPr>
      <w:r>
        <w:t xml:space="preserve">Nitrous oxide measurements were taken consistently throughout the nitrate reduction process with the gas chromatograph. Although most of the cultures exhibited no nitrous oxide quantities </w:t>
      </w:r>
      <w:r w:rsidR="003F79F0">
        <w:t>(</w:t>
      </w:r>
      <w:r>
        <w:t>or</w:t>
      </w:r>
      <w:r w:rsidR="003F79F0">
        <w:t xml:space="preserve"> the</w:t>
      </w:r>
      <w:r>
        <w:t xml:space="preserve"> </w:t>
      </w:r>
      <w:r w:rsidR="00F27DF9">
        <w:t>N</w:t>
      </w:r>
      <w:r w:rsidR="00F27DF9">
        <w:rPr>
          <w:vertAlign w:val="subscript"/>
        </w:rPr>
        <w:t>2</w:t>
      </w:r>
      <w:r w:rsidR="00F27DF9">
        <w:t>O</w:t>
      </w:r>
      <w:r>
        <w:t xml:space="preserve"> levels </w:t>
      </w:r>
      <w:r w:rsidR="003F79F0">
        <w:t xml:space="preserve">were </w:t>
      </w:r>
      <w:r>
        <w:t>below detection</w:t>
      </w:r>
      <w:r w:rsidR="003F79F0">
        <w:t>)</w:t>
      </w:r>
      <w:r>
        <w:t xml:space="preserve">, any </w:t>
      </w:r>
      <w:r w:rsidR="00F27DF9">
        <w:t>N</w:t>
      </w:r>
      <w:r w:rsidR="00F27DF9">
        <w:rPr>
          <w:vertAlign w:val="subscript"/>
        </w:rPr>
        <w:t>2</w:t>
      </w:r>
      <w:r w:rsidR="00F27DF9">
        <w:t>O</w:t>
      </w:r>
      <w:r>
        <w:t xml:space="preserve"> produced could be quickly </w:t>
      </w:r>
      <w:r w:rsidR="00633541">
        <w:t>consumed</w:t>
      </w:r>
      <w:r w:rsidR="00CA082C">
        <w:t xml:space="preserve">. </w:t>
      </w:r>
      <w:r w:rsidR="00633541">
        <w:t>The production of n</w:t>
      </w:r>
      <w:r>
        <w:t xml:space="preserve">itrous oxide </w:t>
      </w:r>
      <w:r w:rsidR="00633541">
        <w:t xml:space="preserve">was more closely examined in </w:t>
      </w:r>
      <w:r>
        <w:t xml:space="preserve">the seventh enrichment culture. Acetylene, which causes inhibition of </w:t>
      </w:r>
      <w:r w:rsidR="00F27DF9">
        <w:t>N</w:t>
      </w:r>
      <w:r w:rsidR="00F27DF9">
        <w:rPr>
          <w:vertAlign w:val="subscript"/>
        </w:rPr>
        <w:t>2</w:t>
      </w:r>
      <w:r w:rsidR="00F27DF9">
        <w:t>O</w:t>
      </w:r>
      <w:r>
        <w:t xml:space="preserve"> reduction by denitrifying bacteria</w:t>
      </w:r>
      <w:r w:rsidR="00F86DBB">
        <w:rPr>
          <w:b/>
          <w:vertAlign w:val="superscript"/>
        </w:rPr>
        <w:t>1</w:t>
      </w:r>
      <w:r w:rsidR="009E086D">
        <w:rPr>
          <w:b/>
          <w:vertAlign w:val="superscript"/>
        </w:rPr>
        <w:t>2</w:t>
      </w:r>
      <w:r>
        <w:t xml:space="preserve">, was added to another bottle mimicking the growth conditions of the seventh enrichment culture in lactate and nitrate at elevation site 15-1. Both of these cultures registered nitrous oxide in the gas chromatograph, but the levels were below detection. </w:t>
      </w:r>
      <w:r w:rsidR="005F1B9C">
        <w:t xml:space="preserve">Similarly, the gas chromatograph </w:t>
      </w:r>
      <w:r w:rsidR="00775727">
        <w:t>did not read any</w:t>
      </w:r>
      <w:r w:rsidR="005F1B9C">
        <w:t xml:space="preserve"> methane</w:t>
      </w:r>
      <w:r w:rsidR="00972B6C">
        <w:t xml:space="preserve"> </w:t>
      </w:r>
      <w:r w:rsidR="00775727">
        <w:t xml:space="preserve">peaks </w:t>
      </w:r>
      <w:r w:rsidR="005F1B9C">
        <w:t>in the headspace samp</w:t>
      </w:r>
      <w:r w:rsidR="00291B36">
        <w:t xml:space="preserve">les of the enrichment cultures and </w:t>
      </w:r>
      <w:r w:rsidR="005F1B9C">
        <w:t xml:space="preserve">did not show </w:t>
      </w:r>
      <w:r w:rsidR="00972B6C">
        <w:t xml:space="preserve">any </w:t>
      </w:r>
      <w:r w:rsidR="005F1B9C">
        <w:t xml:space="preserve">significant levels of methane.  </w:t>
      </w:r>
    </w:p>
    <w:p w14:paraId="5E215A48" w14:textId="79F3BD5A" w:rsidR="00427097" w:rsidRDefault="004739A5" w:rsidP="00EB25EF">
      <w:pPr>
        <w:spacing w:line="480" w:lineRule="auto"/>
        <w:ind w:firstLine="720"/>
      </w:pPr>
      <w:r>
        <w:t>As seen</w:t>
      </w:r>
      <w:r w:rsidR="00C26CB3">
        <w:t xml:space="preserve"> with the phase light microscope</w:t>
      </w:r>
      <w:r>
        <w:t xml:space="preserve"> in the images of the third enrichment culture of focus, there are various rods of different amounts of thickness, length, and brightness</w:t>
      </w:r>
      <w:r w:rsidR="003C4674">
        <w:t xml:space="preserve"> (Figures 2 – 4)</w:t>
      </w:r>
      <w:r>
        <w:t xml:space="preserve">. Although the sample contains predominantly rods, some small cocci, long and single rods with oval-shaped heads, a few spiral-shaped bacteria, and clumps of rods were also observed under the </w:t>
      </w:r>
      <w:r w:rsidR="00C26CB3">
        <w:t>this</w:t>
      </w:r>
      <w:r>
        <w:t xml:space="preserve"> microscope.</w:t>
      </w:r>
    </w:p>
    <w:p w14:paraId="6D50435F" w14:textId="020BFAF5" w:rsidR="00594D74" w:rsidRPr="00EB25EF" w:rsidRDefault="005C302E" w:rsidP="00EB25EF">
      <w:pPr>
        <w:spacing w:line="480" w:lineRule="auto"/>
        <w:ind w:firstLine="720"/>
      </w:pPr>
      <w:r>
        <w:t xml:space="preserve">After a week, all of the </w:t>
      </w:r>
      <w:r w:rsidR="00686812">
        <w:t xml:space="preserve">dilution-to-extinction series </w:t>
      </w:r>
      <w:r>
        <w:t xml:space="preserve">up to the ninth dilution had exhibited nitrate consumption and were extremely turbid. However, even after a successive week, the tenth dilution still indicated nitrate on the nitrate strips and failed to become turbid like its preceding dilution. With </w:t>
      </w:r>
      <w:r w:rsidR="00B31907">
        <w:t xml:space="preserve">samples from the fifth, sixth, and seventh dilutions, </w:t>
      </w:r>
      <w:r>
        <w:t xml:space="preserve">a DAPI stain was conducted, and </w:t>
      </w:r>
      <w:r w:rsidR="00B31907">
        <w:t xml:space="preserve">the fixed cells from the fifth and sixth dilutions were observed under a </w:t>
      </w:r>
      <w:r w:rsidR="00B31907">
        <w:rPr>
          <w:b/>
        </w:rPr>
        <w:softHyphen/>
      </w:r>
      <w:r w:rsidR="00B31907">
        <w:rPr>
          <w:b/>
        </w:rPr>
        <w:softHyphen/>
      </w:r>
      <w:r w:rsidR="00291B36">
        <w:t>Zeiss</w:t>
      </w:r>
      <w:r w:rsidR="00B31907">
        <w:rPr>
          <w:b/>
        </w:rPr>
        <w:t xml:space="preserve"> </w:t>
      </w:r>
      <w:r w:rsidR="00B31907">
        <w:t xml:space="preserve">microscope </w:t>
      </w:r>
      <w:r w:rsidR="00291B36">
        <w:t xml:space="preserve">with a mercury lamp </w:t>
      </w:r>
      <w:r w:rsidR="00B31907">
        <w:t>(</w:t>
      </w:r>
      <w:r w:rsidR="00A70A43">
        <w:t xml:space="preserve">Figures 5 – 9). Fewer cells are visible in these dilutions compared to the amount seen in the enrichment culture sample shown under the light phase microscope. </w:t>
      </w:r>
      <w:r w:rsidR="007B2CC4">
        <w:t xml:space="preserve">However, the variety of rods, cocci, and curved cells are still present, with </w:t>
      </w:r>
      <w:r w:rsidR="00F428A7">
        <w:t>mostly</w:t>
      </w:r>
      <w:r w:rsidR="007B2CC4">
        <w:t xml:space="preserve"> cocci being </w:t>
      </w:r>
      <w:r w:rsidR="00F428A7">
        <w:t>spotted</w:t>
      </w:r>
      <w:r w:rsidR="007B2CC4">
        <w:t xml:space="preserve"> in the dilution samples.  </w:t>
      </w:r>
    </w:p>
    <w:p w14:paraId="074C0053" w14:textId="49EB0E15" w:rsidR="00D91A56" w:rsidRDefault="004739A5" w:rsidP="00EB25EF">
      <w:pPr>
        <w:spacing w:line="480" w:lineRule="auto"/>
        <w:rPr>
          <w:b/>
        </w:rPr>
      </w:pPr>
      <w:r>
        <w:rPr>
          <w:b/>
        </w:rPr>
        <w:t>Discus</w:t>
      </w:r>
      <w:r w:rsidR="00594D74" w:rsidRPr="00594D74">
        <w:rPr>
          <w:b/>
        </w:rPr>
        <w:t>sion</w:t>
      </w:r>
    </w:p>
    <w:p w14:paraId="7F13BD3E" w14:textId="5B6CB398" w:rsidR="00624338" w:rsidRDefault="003055F0" w:rsidP="00EB25EF">
      <w:pPr>
        <w:spacing w:line="480" w:lineRule="auto"/>
      </w:pPr>
      <w:r>
        <w:rPr>
          <w:b/>
        </w:rPr>
        <w:tab/>
      </w:r>
      <w:r w:rsidR="00624338">
        <w:t xml:space="preserve">The increasing rate of nitrate consumption observed over time in the enrichment cultures indicates the </w:t>
      </w:r>
      <w:r w:rsidR="00A95941">
        <w:t xml:space="preserve">growth of </w:t>
      </w:r>
      <w:r w:rsidR="00043936">
        <w:t>nitrate reducing microorganisms</w:t>
      </w:r>
      <w:r w:rsidR="00624338">
        <w:t xml:space="preserve"> </w:t>
      </w:r>
      <w:r w:rsidR="00A95941">
        <w:t>and suggests steps leading to how a particular microorganism may be favored with each transfer. Additionally, perhaps without as much sediment and possible contaminants such as in the first transfers, the last few transfers demonstrate a higher consumption rate of nitrate. For instance, Figure 1 displays how Transfer 2 consumes th</w:t>
      </w:r>
      <w:r w:rsidR="00F3416E">
        <w:t xml:space="preserve">e nitrate more slowly than </w:t>
      </w:r>
      <w:r w:rsidR="00A95941">
        <w:t xml:space="preserve">Transfers 5 and 7.  </w:t>
      </w:r>
    </w:p>
    <w:p w14:paraId="2B2923B1" w14:textId="68C75A3D" w:rsidR="00927CF9" w:rsidRDefault="0089592D" w:rsidP="00624338">
      <w:pPr>
        <w:spacing w:line="480" w:lineRule="auto"/>
        <w:ind w:firstLine="720"/>
      </w:pPr>
      <w:r>
        <w:t>Since nitrous oxide levels were observed to be below detection on the gas chromatograph, the n</w:t>
      </w:r>
      <w:r w:rsidR="005F1B9C">
        <w:t xml:space="preserve">itrate </w:t>
      </w:r>
      <w:r>
        <w:t xml:space="preserve">in the enrichment cultures of focus </w:t>
      </w:r>
      <w:r w:rsidR="005F1B9C">
        <w:t xml:space="preserve">may be reduced to nitrite and subsequently to ammonium. Exploring the primary product of reduction may also help associate the characteristics with any known denitrifying bacteria, for instance.  </w:t>
      </w:r>
    </w:p>
    <w:p w14:paraId="17891530" w14:textId="1DEDE61C" w:rsidR="00594D74" w:rsidRPr="003055F0" w:rsidRDefault="0098211F" w:rsidP="0064552E">
      <w:pPr>
        <w:spacing w:line="480" w:lineRule="auto"/>
        <w:ind w:firstLine="720"/>
      </w:pPr>
      <w:r>
        <w:t xml:space="preserve">Several varieties of the bacteria seen under the phase light microscope are also shown with the DAPI stain. However, especially since the DAPI technique was conducted with enrichment culture dilutions, </w:t>
      </w:r>
      <w:r w:rsidR="00A45135">
        <w:t xml:space="preserve">there </w:t>
      </w:r>
      <w:r w:rsidR="00043936">
        <w:t>appear to be</w:t>
      </w:r>
      <w:r w:rsidR="00A45135">
        <w:t xml:space="preserve"> fewer microorganisms observed to be present in the DAPI stain images than those under the phase light microscope.</w:t>
      </w:r>
      <w:r>
        <w:t xml:space="preserve"> </w:t>
      </w:r>
      <w:r w:rsidR="0064552E">
        <w:t xml:space="preserve">This visual decrease in the microbial diversity of the enrichments with a successive dilution indicates that the dilution-to-extinction method </w:t>
      </w:r>
      <w:r w:rsidR="00043936">
        <w:t>eliminated some types of microorganisms</w:t>
      </w:r>
      <w:r w:rsidR="0064552E">
        <w:t xml:space="preserve">. </w:t>
      </w:r>
      <w:r w:rsidR="00C476A8">
        <w:t xml:space="preserve">One of the unknown microorganisms seen </w:t>
      </w:r>
      <w:r w:rsidR="00291B36">
        <w:t>in the latter</w:t>
      </w:r>
      <w:r w:rsidR="00C476A8">
        <w:t xml:space="preserve"> is also shown in the DAPI stain for the fifth dilution. For instance, the curved, lengthy rod</w:t>
      </w:r>
      <w:r w:rsidR="006952A9">
        <w:t>s</w:t>
      </w:r>
      <w:r w:rsidR="00C476A8">
        <w:t xml:space="preserve"> in Figure 2 </w:t>
      </w:r>
      <w:r w:rsidR="006952A9">
        <w:t>and Figure 4 are</w:t>
      </w:r>
      <w:r w:rsidR="00C476A8">
        <w:t xml:space="preserve"> comparable to that in</w:t>
      </w:r>
      <w:r w:rsidR="006952A9">
        <w:t xml:space="preserve"> the bottom left of</w:t>
      </w:r>
      <w:r w:rsidR="00C476A8">
        <w:t xml:space="preserve"> Figure 9.  </w:t>
      </w:r>
    </w:p>
    <w:p w14:paraId="28231A4A" w14:textId="77777777" w:rsidR="00A61EE3" w:rsidRDefault="00594D74" w:rsidP="00EB25EF">
      <w:pPr>
        <w:spacing w:line="480" w:lineRule="auto"/>
        <w:rPr>
          <w:b/>
        </w:rPr>
      </w:pPr>
      <w:r>
        <w:rPr>
          <w:b/>
        </w:rPr>
        <w:t>Further Experiments</w:t>
      </w:r>
    </w:p>
    <w:p w14:paraId="6DA27833" w14:textId="7398E07F" w:rsidR="00291B36" w:rsidRDefault="00A61EE3" w:rsidP="000F6868">
      <w:pPr>
        <w:spacing w:line="480" w:lineRule="auto"/>
      </w:pPr>
      <w:r>
        <w:rPr>
          <w:b/>
        </w:rPr>
        <w:tab/>
      </w:r>
      <w:r>
        <w:t>The vial of the ninth dilution of the enrichment culture grown on 5 mM lactate and 2 mM nitrate at elevation site 15-1 can be used for colony transfers. This vial of the highest dilution with clear growth exemplified by visible turbidity will extend to isolation techniques for dilution-to-extinction in soft agar tubes</w:t>
      </w:r>
      <w:r w:rsidR="00CA082C" w:rsidRPr="00CA082C">
        <w:rPr>
          <w:b/>
          <w:vertAlign w:val="superscript"/>
        </w:rPr>
        <w:t>6</w:t>
      </w:r>
      <w:r>
        <w:t xml:space="preserve">. </w:t>
      </w:r>
    </w:p>
    <w:p w14:paraId="63994AD7" w14:textId="00843BDC" w:rsidR="00234C4C" w:rsidRPr="00A02F11" w:rsidRDefault="000F6868" w:rsidP="000F6868">
      <w:pPr>
        <w:spacing w:line="480" w:lineRule="auto"/>
      </w:pPr>
      <w:r>
        <w:tab/>
        <w:t xml:space="preserve">Additionally, since no nitrous oxide peaks were visible on the gas chromatograph, exploring other potential products of nitrate reduction in these enrichment cultures can help towards focusing on certain categories of microorganisms. If the nitrate in the transfers is being reduced to ammonium, </w:t>
      </w:r>
      <w:r w:rsidR="00234C4C">
        <w:t>quantifying</w:t>
      </w:r>
      <w:r>
        <w:t xml:space="preserve"> ammonium levels</w:t>
      </w:r>
      <w:r w:rsidR="00234C4C">
        <w:t xml:space="preserve"> via cations ion chromatography</w:t>
      </w:r>
      <w:r>
        <w:t xml:space="preserve"> will also be beneficial</w:t>
      </w:r>
      <w:r w:rsidR="009E086D">
        <w:rPr>
          <w:b/>
          <w:vertAlign w:val="superscript"/>
        </w:rPr>
        <w:t>10</w:t>
      </w:r>
      <w:r>
        <w:t xml:space="preserve">. </w:t>
      </w:r>
      <w:r w:rsidR="00A02F11">
        <w:t>Moreover, CO</w:t>
      </w:r>
      <w:r w:rsidR="00A02F11">
        <w:rPr>
          <w:vertAlign w:val="subscript"/>
        </w:rPr>
        <w:t>2</w:t>
      </w:r>
      <w:r w:rsidR="00A02F11">
        <w:t>, acetate, or propionate may provide substrates for contaminants, such as methane, that can interfere with nitrate reduction of denitrifying organisms. In order to determine whether these substrates play a role, an enrichment culture with CO</w:t>
      </w:r>
      <w:r w:rsidR="00A02F11">
        <w:rPr>
          <w:vertAlign w:val="subscript"/>
        </w:rPr>
        <w:t>2</w:t>
      </w:r>
      <w:r w:rsidR="00A02F11">
        <w:t xml:space="preserve">, acetate, and propionate and without nitrate can indicate whether any of them may interfere with nitrate reduction. </w:t>
      </w:r>
    </w:p>
    <w:p w14:paraId="6AC44836" w14:textId="77777777" w:rsidR="00234C4C" w:rsidRDefault="00234C4C">
      <w:r>
        <w:br w:type="page"/>
      </w:r>
    </w:p>
    <w:p w14:paraId="0CEA1C5D" w14:textId="77777777" w:rsidR="00FC7FC8" w:rsidRDefault="00FC7FC8" w:rsidP="00EB25EF">
      <w:pPr>
        <w:spacing w:line="480" w:lineRule="auto"/>
        <w:rPr>
          <w:b/>
        </w:rPr>
      </w:pPr>
      <w:r>
        <w:rPr>
          <w:b/>
        </w:rPr>
        <w:t>Tables and Figures</w:t>
      </w:r>
    </w:p>
    <w:tbl>
      <w:tblPr>
        <w:tblStyle w:val="TableGrid"/>
        <w:tblW w:w="9657" w:type="dxa"/>
        <w:tblLook w:val="04A0" w:firstRow="1" w:lastRow="0" w:firstColumn="1" w:lastColumn="0" w:noHBand="0" w:noVBand="1"/>
      </w:tblPr>
      <w:tblGrid>
        <w:gridCol w:w="3219"/>
        <w:gridCol w:w="3219"/>
        <w:gridCol w:w="3219"/>
      </w:tblGrid>
      <w:tr w:rsidR="008B165E" w14:paraId="72F971E9" w14:textId="77777777" w:rsidTr="008B165E">
        <w:trPr>
          <w:trHeight w:val="332"/>
        </w:trPr>
        <w:tc>
          <w:tcPr>
            <w:tcW w:w="3219" w:type="dxa"/>
          </w:tcPr>
          <w:p w14:paraId="484979CD" w14:textId="77777777" w:rsidR="00FC7FC8" w:rsidRPr="00291B36" w:rsidRDefault="00FC7FC8" w:rsidP="00291B36">
            <w:pPr>
              <w:spacing w:line="480" w:lineRule="auto"/>
              <w:rPr>
                <w:b/>
              </w:rPr>
            </w:pPr>
            <w:r w:rsidRPr="00291B36">
              <w:rPr>
                <w:b/>
              </w:rPr>
              <w:t>Electron Donors</w:t>
            </w:r>
          </w:p>
        </w:tc>
        <w:tc>
          <w:tcPr>
            <w:tcW w:w="3219" w:type="dxa"/>
          </w:tcPr>
          <w:p w14:paraId="45D2958C" w14:textId="77777777" w:rsidR="00FC7FC8" w:rsidRPr="00291B36" w:rsidRDefault="00FC7FC8" w:rsidP="00291B36">
            <w:pPr>
              <w:spacing w:line="480" w:lineRule="auto"/>
              <w:rPr>
                <w:b/>
              </w:rPr>
            </w:pPr>
            <w:r w:rsidRPr="00291B36">
              <w:rPr>
                <w:b/>
              </w:rPr>
              <w:t>Electron Acceptors</w:t>
            </w:r>
          </w:p>
        </w:tc>
        <w:tc>
          <w:tcPr>
            <w:tcW w:w="3219" w:type="dxa"/>
          </w:tcPr>
          <w:p w14:paraId="3AC0012A" w14:textId="77777777" w:rsidR="00FC7FC8" w:rsidRPr="001F513B" w:rsidRDefault="00FC7FC8" w:rsidP="00291B36">
            <w:pPr>
              <w:spacing w:line="480" w:lineRule="auto"/>
              <w:rPr>
                <w:b/>
              </w:rPr>
            </w:pPr>
            <w:r w:rsidRPr="001F513B">
              <w:rPr>
                <w:b/>
              </w:rPr>
              <w:t>Elevation Site</w:t>
            </w:r>
          </w:p>
        </w:tc>
      </w:tr>
      <w:tr w:rsidR="008B165E" w14:paraId="4DD6B030" w14:textId="77777777" w:rsidTr="008B165E">
        <w:trPr>
          <w:trHeight w:val="99"/>
        </w:trPr>
        <w:tc>
          <w:tcPr>
            <w:tcW w:w="3219" w:type="dxa"/>
            <w:vMerge w:val="restart"/>
          </w:tcPr>
          <w:p w14:paraId="6693E6B0" w14:textId="77777777" w:rsidR="00FC7FC8" w:rsidRDefault="00FC7FC8" w:rsidP="00291B36">
            <w:pPr>
              <w:spacing w:line="480" w:lineRule="auto"/>
            </w:pPr>
            <w:r>
              <w:t>Acetate</w:t>
            </w:r>
          </w:p>
        </w:tc>
        <w:tc>
          <w:tcPr>
            <w:tcW w:w="3219" w:type="dxa"/>
            <w:vMerge w:val="restart"/>
          </w:tcPr>
          <w:p w14:paraId="5305CF45" w14:textId="77777777" w:rsidR="00FC7FC8" w:rsidRDefault="00FC7FC8" w:rsidP="00291B36">
            <w:pPr>
              <w:spacing w:line="480" w:lineRule="auto"/>
            </w:pPr>
            <w:r>
              <w:t>Nitrate</w:t>
            </w:r>
          </w:p>
        </w:tc>
        <w:tc>
          <w:tcPr>
            <w:tcW w:w="3219" w:type="dxa"/>
          </w:tcPr>
          <w:p w14:paraId="20ED6209" w14:textId="77777777" w:rsidR="00FC7FC8" w:rsidRDefault="00FC7FC8" w:rsidP="00291B36">
            <w:pPr>
              <w:spacing w:line="480" w:lineRule="auto"/>
            </w:pPr>
            <w:r>
              <w:t>13-1; 434 m.</w:t>
            </w:r>
          </w:p>
        </w:tc>
      </w:tr>
      <w:tr w:rsidR="008B165E" w14:paraId="6C334A1F" w14:textId="77777777" w:rsidTr="008B165E">
        <w:trPr>
          <w:trHeight w:val="98"/>
        </w:trPr>
        <w:tc>
          <w:tcPr>
            <w:tcW w:w="3219" w:type="dxa"/>
            <w:vMerge/>
          </w:tcPr>
          <w:p w14:paraId="4031EEC4" w14:textId="77777777" w:rsidR="00FC7FC8" w:rsidRDefault="00FC7FC8" w:rsidP="00291B36">
            <w:pPr>
              <w:spacing w:line="480" w:lineRule="auto"/>
            </w:pPr>
          </w:p>
        </w:tc>
        <w:tc>
          <w:tcPr>
            <w:tcW w:w="3219" w:type="dxa"/>
            <w:vMerge/>
          </w:tcPr>
          <w:p w14:paraId="56A19A10" w14:textId="77777777" w:rsidR="00FC7FC8" w:rsidRDefault="00FC7FC8" w:rsidP="00291B36">
            <w:pPr>
              <w:spacing w:line="480" w:lineRule="auto"/>
            </w:pPr>
          </w:p>
        </w:tc>
        <w:tc>
          <w:tcPr>
            <w:tcW w:w="3219" w:type="dxa"/>
          </w:tcPr>
          <w:p w14:paraId="10A02EE2" w14:textId="77777777" w:rsidR="00FC7FC8" w:rsidRDefault="00FC7FC8" w:rsidP="00291B36">
            <w:pPr>
              <w:spacing w:line="480" w:lineRule="auto"/>
            </w:pPr>
            <w:r>
              <w:t>15-1; 265 m.</w:t>
            </w:r>
          </w:p>
        </w:tc>
      </w:tr>
      <w:tr w:rsidR="008B165E" w14:paraId="15DAE513" w14:textId="77777777" w:rsidTr="008B165E">
        <w:trPr>
          <w:trHeight w:val="98"/>
        </w:trPr>
        <w:tc>
          <w:tcPr>
            <w:tcW w:w="3219" w:type="dxa"/>
            <w:vMerge/>
          </w:tcPr>
          <w:p w14:paraId="06AF860B" w14:textId="77777777" w:rsidR="00FC7FC8" w:rsidRDefault="00FC7FC8" w:rsidP="00291B36">
            <w:pPr>
              <w:spacing w:line="480" w:lineRule="auto"/>
            </w:pPr>
          </w:p>
        </w:tc>
        <w:tc>
          <w:tcPr>
            <w:tcW w:w="3219" w:type="dxa"/>
            <w:vMerge/>
          </w:tcPr>
          <w:p w14:paraId="16B6145D" w14:textId="77777777" w:rsidR="00FC7FC8" w:rsidRDefault="00FC7FC8" w:rsidP="00291B36">
            <w:pPr>
              <w:spacing w:line="480" w:lineRule="auto"/>
            </w:pPr>
          </w:p>
        </w:tc>
        <w:tc>
          <w:tcPr>
            <w:tcW w:w="3219" w:type="dxa"/>
          </w:tcPr>
          <w:p w14:paraId="6237E862" w14:textId="77777777" w:rsidR="00FC7FC8" w:rsidRDefault="00FC7FC8" w:rsidP="00291B36">
            <w:pPr>
              <w:spacing w:line="480" w:lineRule="auto"/>
            </w:pPr>
            <w:r>
              <w:t>16-1; 634 m.</w:t>
            </w:r>
          </w:p>
        </w:tc>
      </w:tr>
      <w:tr w:rsidR="008B165E" w14:paraId="497A2DA1" w14:textId="77777777" w:rsidTr="008B165E">
        <w:trPr>
          <w:trHeight w:val="98"/>
        </w:trPr>
        <w:tc>
          <w:tcPr>
            <w:tcW w:w="3219" w:type="dxa"/>
            <w:vMerge/>
          </w:tcPr>
          <w:p w14:paraId="0992CBD8" w14:textId="77777777" w:rsidR="00FC7FC8" w:rsidRDefault="00FC7FC8" w:rsidP="00291B36">
            <w:pPr>
              <w:spacing w:line="480" w:lineRule="auto"/>
            </w:pPr>
          </w:p>
        </w:tc>
        <w:tc>
          <w:tcPr>
            <w:tcW w:w="3219" w:type="dxa"/>
            <w:vMerge/>
          </w:tcPr>
          <w:p w14:paraId="5FA2CAF3" w14:textId="77777777" w:rsidR="00FC7FC8" w:rsidRDefault="00FC7FC8" w:rsidP="00291B36">
            <w:pPr>
              <w:spacing w:line="480" w:lineRule="auto"/>
            </w:pPr>
          </w:p>
        </w:tc>
        <w:tc>
          <w:tcPr>
            <w:tcW w:w="3219" w:type="dxa"/>
          </w:tcPr>
          <w:p w14:paraId="0350AFF0" w14:textId="77777777" w:rsidR="00FC7FC8" w:rsidRDefault="00FC7FC8" w:rsidP="00291B36">
            <w:pPr>
              <w:spacing w:line="480" w:lineRule="auto"/>
            </w:pPr>
            <w:r>
              <w:t xml:space="preserve">22-1; 953 m. </w:t>
            </w:r>
          </w:p>
        </w:tc>
      </w:tr>
      <w:tr w:rsidR="008B165E" w14:paraId="7A32BFC5" w14:textId="77777777" w:rsidTr="008B165E">
        <w:trPr>
          <w:trHeight w:val="99"/>
        </w:trPr>
        <w:tc>
          <w:tcPr>
            <w:tcW w:w="3219" w:type="dxa"/>
            <w:vMerge w:val="restart"/>
          </w:tcPr>
          <w:p w14:paraId="6F35501B" w14:textId="77777777" w:rsidR="00FC7FC8" w:rsidRDefault="00FC7FC8" w:rsidP="00291B36">
            <w:pPr>
              <w:spacing w:line="480" w:lineRule="auto"/>
            </w:pPr>
            <w:r>
              <w:t xml:space="preserve">Acetate </w:t>
            </w:r>
          </w:p>
        </w:tc>
        <w:tc>
          <w:tcPr>
            <w:tcW w:w="3219" w:type="dxa"/>
            <w:vMerge w:val="restart"/>
          </w:tcPr>
          <w:p w14:paraId="6B4F0BC0" w14:textId="77777777" w:rsidR="00FC7FC8" w:rsidRDefault="00FC7FC8" w:rsidP="00291B36">
            <w:pPr>
              <w:spacing w:line="480" w:lineRule="auto"/>
            </w:pPr>
            <w:r>
              <w:t>Ferric iron</w:t>
            </w:r>
          </w:p>
        </w:tc>
        <w:tc>
          <w:tcPr>
            <w:tcW w:w="3219" w:type="dxa"/>
          </w:tcPr>
          <w:p w14:paraId="5282ACF9" w14:textId="77777777" w:rsidR="00FC7FC8" w:rsidRDefault="00FC7FC8" w:rsidP="00291B36">
            <w:pPr>
              <w:spacing w:line="480" w:lineRule="auto"/>
            </w:pPr>
            <w:r>
              <w:t>13-1; 434 m.</w:t>
            </w:r>
          </w:p>
        </w:tc>
      </w:tr>
      <w:tr w:rsidR="008B165E" w14:paraId="7E4183FB" w14:textId="77777777" w:rsidTr="008B165E">
        <w:trPr>
          <w:trHeight w:val="98"/>
        </w:trPr>
        <w:tc>
          <w:tcPr>
            <w:tcW w:w="3219" w:type="dxa"/>
            <w:vMerge/>
          </w:tcPr>
          <w:p w14:paraId="07F3D750" w14:textId="77777777" w:rsidR="00FC7FC8" w:rsidRDefault="00FC7FC8" w:rsidP="00291B36">
            <w:pPr>
              <w:spacing w:line="480" w:lineRule="auto"/>
            </w:pPr>
          </w:p>
        </w:tc>
        <w:tc>
          <w:tcPr>
            <w:tcW w:w="3219" w:type="dxa"/>
            <w:vMerge/>
          </w:tcPr>
          <w:p w14:paraId="3097DD86" w14:textId="77777777" w:rsidR="00FC7FC8" w:rsidRDefault="00FC7FC8" w:rsidP="00291B36">
            <w:pPr>
              <w:spacing w:line="480" w:lineRule="auto"/>
            </w:pPr>
          </w:p>
        </w:tc>
        <w:tc>
          <w:tcPr>
            <w:tcW w:w="3219" w:type="dxa"/>
          </w:tcPr>
          <w:p w14:paraId="4D1A1FC4" w14:textId="77777777" w:rsidR="00FC7FC8" w:rsidRDefault="00FC7FC8" w:rsidP="00291B36">
            <w:pPr>
              <w:spacing w:line="480" w:lineRule="auto"/>
            </w:pPr>
            <w:r>
              <w:t>15-1; 265 m.</w:t>
            </w:r>
          </w:p>
        </w:tc>
      </w:tr>
      <w:tr w:rsidR="008B165E" w14:paraId="5A2C2DCA" w14:textId="77777777" w:rsidTr="008B165E">
        <w:trPr>
          <w:trHeight w:val="98"/>
        </w:trPr>
        <w:tc>
          <w:tcPr>
            <w:tcW w:w="3219" w:type="dxa"/>
            <w:vMerge/>
          </w:tcPr>
          <w:p w14:paraId="327135F6" w14:textId="77777777" w:rsidR="00FC7FC8" w:rsidRDefault="00FC7FC8" w:rsidP="00291B36">
            <w:pPr>
              <w:spacing w:line="480" w:lineRule="auto"/>
            </w:pPr>
          </w:p>
        </w:tc>
        <w:tc>
          <w:tcPr>
            <w:tcW w:w="3219" w:type="dxa"/>
            <w:vMerge/>
          </w:tcPr>
          <w:p w14:paraId="3C2FE8EC" w14:textId="77777777" w:rsidR="00FC7FC8" w:rsidRDefault="00FC7FC8" w:rsidP="00291B36">
            <w:pPr>
              <w:spacing w:line="480" w:lineRule="auto"/>
            </w:pPr>
          </w:p>
        </w:tc>
        <w:tc>
          <w:tcPr>
            <w:tcW w:w="3219" w:type="dxa"/>
          </w:tcPr>
          <w:p w14:paraId="15077550" w14:textId="77777777" w:rsidR="00FC7FC8" w:rsidRDefault="00FC7FC8" w:rsidP="00291B36">
            <w:pPr>
              <w:spacing w:line="480" w:lineRule="auto"/>
            </w:pPr>
            <w:r>
              <w:t>16-1; 634 m.</w:t>
            </w:r>
          </w:p>
        </w:tc>
      </w:tr>
      <w:tr w:rsidR="008B165E" w14:paraId="213015C9" w14:textId="77777777" w:rsidTr="008B165E">
        <w:trPr>
          <w:trHeight w:val="98"/>
        </w:trPr>
        <w:tc>
          <w:tcPr>
            <w:tcW w:w="3219" w:type="dxa"/>
            <w:vMerge/>
          </w:tcPr>
          <w:p w14:paraId="6BE59345" w14:textId="77777777" w:rsidR="00FC7FC8" w:rsidRDefault="00FC7FC8" w:rsidP="00291B36">
            <w:pPr>
              <w:spacing w:line="480" w:lineRule="auto"/>
            </w:pPr>
          </w:p>
        </w:tc>
        <w:tc>
          <w:tcPr>
            <w:tcW w:w="3219" w:type="dxa"/>
            <w:vMerge/>
          </w:tcPr>
          <w:p w14:paraId="614FA5B1" w14:textId="77777777" w:rsidR="00FC7FC8" w:rsidRDefault="00FC7FC8" w:rsidP="00291B36">
            <w:pPr>
              <w:spacing w:line="480" w:lineRule="auto"/>
            </w:pPr>
          </w:p>
        </w:tc>
        <w:tc>
          <w:tcPr>
            <w:tcW w:w="3219" w:type="dxa"/>
          </w:tcPr>
          <w:p w14:paraId="4794593B" w14:textId="77777777" w:rsidR="00FC7FC8" w:rsidRDefault="00FC7FC8" w:rsidP="00291B36">
            <w:pPr>
              <w:spacing w:line="480" w:lineRule="auto"/>
            </w:pPr>
            <w:r>
              <w:t xml:space="preserve">22-1; 953 m. </w:t>
            </w:r>
          </w:p>
        </w:tc>
      </w:tr>
      <w:tr w:rsidR="008B165E" w14:paraId="62DDBD3A" w14:textId="77777777" w:rsidTr="008B165E">
        <w:trPr>
          <w:trHeight w:val="99"/>
        </w:trPr>
        <w:tc>
          <w:tcPr>
            <w:tcW w:w="3219" w:type="dxa"/>
            <w:vMerge w:val="restart"/>
          </w:tcPr>
          <w:p w14:paraId="4CC08255" w14:textId="77777777" w:rsidR="00FC7FC8" w:rsidRDefault="00FC7FC8" w:rsidP="00291B36">
            <w:pPr>
              <w:spacing w:line="480" w:lineRule="auto"/>
            </w:pPr>
            <w:r>
              <w:t>Lactate</w:t>
            </w:r>
          </w:p>
        </w:tc>
        <w:tc>
          <w:tcPr>
            <w:tcW w:w="3219" w:type="dxa"/>
            <w:vMerge w:val="restart"/>
          </w:tcPr>
          <w:p w14:paraId="1054C735" w14:textId="77777777" w:rsidR="00FC7FC8" w:rsidRDefault="00FC7FC8" w:rsidP="00291B36">
            <w:pPr>
              <w:spacing w:line="480" w:lineRule="auto"/>
            </w:pPr>
            <w:r>
              <w:t>Nitrate</w:t>
            </w:r>
          </w:p>
        </w:tc>
        <w:tc>
          <w:tcPr>
            <w:tcW w:w="3219" w:type="dxa"/>
          </w:tcPr>
          <w:p w14:paraId="1F6AE4F1" w14:textId="77777777" w:rsidR="00FC7FC8" w:rsidRDefault="00FC7FC8" w:rsidP="00291B36">
            <w:pPr>
              <w:spacing w:line="480" w:lineRule="auto"/>
            </w:pPr>
            <w:r>
              <w:t>13-1; 434 m.</w:t>
            </w:r>
          </w:p>
        </w:tc>
      </w:tr>
      <w:tr w:rsidR="008B165E" w14:paraId="2DFD96AD" w14:textId="77777777" w:rsidTr="008B165E">
        <w:trPr>
          <w:trHeight w:val="98"/>
        </w:trPr>
        <w:tc>
          <w:tcPr>
            <w:tcW w:w="3219" w:type="dxa"/>
            <w:vMerge/>
          </w:tcPr>
          <w:p w14:paraId="6FB14571" w14:textId="77777777" w:rsidR="00FC7FC8" w:rsidRDefault="00FC7FC8" w:rsidP="00291B36">
            <w:pPr>
              <w:spacing w:line="480" w:lineRule="auto"/>
            </w:pPr>
          </w:p>
        </w:tc>
        <w:tc>
          <w:tcPr>
            <w:tcW w:w="3219" w:type="dxa"/>
            <w:vMerge/>
          </w:tcPr>
          <w:p w14:paraId="7EC1E50D" w14:textId="77777777" w:rsidR="00FC7FC8" w:rsidRDefault="00FC7FC8" w:rsidP="00291B36">
            <w:pPr>
              <w:spacing w:line="480" w:lineRule="auto"/>
            </w:pPr>
          </w:p>
        </w:tc>
        <w:tc>
          <w:tcPr>
            <w:tcW w:w="3219" w:type="dxa"/>
          </w:tcPr>
          <w:p w14:paraId="6F7D1E3A" w14:textId="77777777" w:rsidR="00FC7FC8" w:rsidRPr="001F513B" w:rsidRDefault="00FC7FC8" w:rsidP="00291B36">
            <w:pPr>
              <w:spacing w:line="480" w:lineRule="auto"/>
              <w:rPr>
                <w:b/>
              </w:rPr>
            </w:pPr>
            <w:r w:rsidRPr="001F513B">
              <w:rPr>
                <w:b/>
                <w:highlight w:val="yellow"/>
              </w:rPr>
              <w:t>15-1; 265 m.</w:t>
            </w:r>
          </w:p>
        </w:tc>
      </w:tr>
      <w:tr w:rsidR="008B165E" w14:paraId="1E454DEA" w14:textId="77777777" w:rsidTr="008B165E">
        <w:trPr>
          <w:trHeight w:val="98"/>
        </w:trPr>
        <w:tc>
          <w:tcPr>
            <w:tcW w:w="3219" w:type="dxa"/>
            <w:vMerge/>
          </w:tcPr>
          <w:p w14:paraId="748A2B35" w14:textId="77777777" w:rsidR="00FC7FC8" w:rsidRDefault="00FC7FC8" w:rsidP="00291B36">
            <w:pPr>
              <w:spacing w:line="480" w:lineRule="auto"/>
            </w:pPr>
          </w:p>
        </w:tc>
        <w:tc>
          <w:tcPr>
            <w:tcW w:w="3219" w:type="dxa"/>
            <w:vMerge/>
          </w:tcPr>
          <w:p w14:paraId="73A89194" w14:textId="77777777" w:rsidR="00FC7FC8" w:rsidRDefault="00FC7FC8" w:rsidP="00291B36">
            <w:pPr>
              <w:spacing w:line="480" w:lineRule="auto"/>
            </w:pPr>
          </w:p>
        </w:tc>
        <w:tc>
          <w:tcPr>
            <w:tcW w:w="3219" w:type="dxa"/>
          </w:tcPr>
          <w:p w14:paraId="24E5C863" w14:textId="77777777" w:rsidR="00FC7FC8" w:rsidRDefault="00FC7FC8" w:rsidP="00291B36">
            <w:pPr>
              <w:spacing w:line="480" w:lineRule="auto"/>
            </w:pPr>
            <w:r>
              <w:t>16-1; 634 m.</w:t>
            </w:r>
          </w:p>
        </w:tc>
      </w:tr>
      <w:tr w:rsidR="008B165E" w14:paraId="0315D32D" w14:textId="77777777" w:rsidTr="008B165E">
        <w:trPr>
          <w:trHeight w:val="98"/>
        </w:trPr>
        <w:tc>
          <w:tcPr>
            <w:tcW w:w="3219" w:type="dxa"/>
            <w:vMerge/>
          </w:tcPr>
          <w:p w14:paraId="63CADC94" w14:textId="77777777" w:rsidR="00FC7FC8" w:rsidRDefault="00FC7FC8" w:rsidP="00291B36">
            <w:pPr>
              <w:spacing w:line="480" w:lineRule="auto"/>
            </w:pPr>
          </w:p>
        </w:tc>
        <w:tc>
          <w:tcPr>
            <w:tcW w:w="3219" w:type="dxa"/>
            <w:vMerge/>
          </w:tcPr>
          <w:p w14:paraId="787CFA0C" w14:textId="77777777" w:rsidR="00FC7FC8" w:rsidRDefault="00FC7FC8" w:rsidP="00291B36">
            <w:pPr>
              <w:spacing w:line="480" w:lineRule="auto"/>
            </w:pPr>
          </w:p>
        </w:tc>
        <w:tc>
          <w:tcPr>
            <w:tcW w:w="3219" w:type="dxa"/>
          </w:tcPr>
          <w:p w14:paraId="6D9187DB" w14:textId="77777777" w:rsidR="00FC7FC8" w:rsidRDefault="00FC7FC8" w:rsidP="00291B36">
            <w:pPr>
              <w:spacing w:line="480" w:lineRule="auto"/>
            </w:pPr>
            <w:r>
              <w:t xml:space="preserve">22-1; 953 m. </w:t>
            </w:r>
          </w:p>
        </w:tc>
      </w:tr>
      <w:tr w:rsidR="008B165E" w14:paraId="6935F809" w14:textId="77777777" w:rsidTr="008B165E">
        <w:trPr>
          <w:trHeight w:val="99"/>
        </w:trPr>
        <w:tc>
          <w:tcPr>
            <w:tcW w:w="3219" w:type="dxa"/>
            <w:vMerge w:val="restart"/>
          </w:tcPr>
          <w:p w14:paraId="77530723" w14:textId="77777777" w:rsidR="00FC7FC8" w:rsidRDefault="00FC7FC8" w:rsidP="00291B36">
            <w:pPr>
              <w:spacing w:line="480" w:lineRule="auto"/>
            </w:pPr>
            <w:r>
              <w:t>Lactate</w:t>
            </w:r>
          </w:p>
        </w:tc>
        <w:tc>
          <w:tcPr>
            <w:tcW w:w="3219" w:type="dxa"/>
            <w:vMerge w:val="restart"/>
          </w:tcPr>
          <w:p w14:paraId="4745C6D9" w14:textId="77777777" w:rsidR="00FC7FC8" w:rsidRDefault="00FC7FC8" w:rsidP="00291B36">
            <w:pPr>
              <w:spacing w:line="480" w:lineRule="auto"/>
            </w:pPr>
            <w:r>
              <w:t>Ferric iron</w:t>
            </w:r>
          </w:p>
        </w:tc>
        <w:tc>
          <w:tcPr>
            <w:tcW w:w="3219" w:type="dxa"/>
          </w:tcPr>
          <w:p w14:paraId="5AEA4A6C" w14:textId="77777777" w:rsidR="00FC7FC8" w:rsidRDefault="00FC7FC8" w:rsidP="00291B36">
            <w:pPr>
              <w:spacing w:line="480" w:lineRule="auto"/>
            </w:pPr>
            <w:r>
              <w:t>13-1; 434 m.</w:t>
            </w:r>
          </w:p>
        </w:tc>
      </w:tr>
      <w:tr w:rsidR="008B165E" w14:paraId="657F690B" w14:textId="77777777" w:rsidTr="008B165E">
        <w:trPr>
          <w:trHeight w:val="98"/>
        </w:trPr>
        <w:tc>
          <w:tcPr>
            <w:tcW w:w="3219" w:type="dxa"/>
            <w:vMerge/>
          </w:tcPr>
          <w:p w14:paraId="56795333" w14:textId="77777777" w:rsidR="00FC7FC8" w:rsidRDefault="00FC7FC8" w:rsidP="00291B36">
            <w:pPr>
              <w:spacing w:line="480" w:lineRule="auto"/>
            </w:pPr>
          </w:p>
        </w:tc>
        <w:tc>
          <w:tcPr>
            <w:tcW w:w="3219" w:type="dxa"/>
            <w:vMerge/>
          </w:tcPr>
          <w:p w14:paraId="0779B4E1" w14:textId="77777777" w:rsidR="00FC7FC8" w:rsidRDefault="00FC7FC8" w:rsidP="00291B36">
            <w:pPr>
              <w:spacing w:line="480" w:lineRule="auto"/>
            </w:pPr>
          </w:p>
        </w:tc>
        <w:tc>
          <w:tcPr>
            <w:tcW w:w="3219" w:type="dxa"/>
          </w:tcPr>
          <w:p w14:paraId="631CDE0C" w14:textId="77777777" w:rsidR="00FC7FC8" w:rsidRDefault="00FC7FC8" w:rsidP="00291B36">
            <w:pPr>
              <w:spacing w:line="480" w:lineRule="auto"/>
            </w:pPr>
            <w:r>
              <w:t>15-1; 265 m.</w:t>
            </w:r>
          </w:p>
        </w:tc>
      </w:tr>
      <w:tr w:rsidR="008B165E" w14:paraId="14ADEE67" w14:textId="77777777" w:rsidTr="008B165E">
        <w:trPr>
          <w:trHeight w:val="98"/>
        </w:trPr>
        <w:tc>
          <w:tcPr>
            <w:tcW w:w="3219" w:type="dxa"/>
            <w:vMerge/>
          </w:tcPr>
          <w:p w14:paraId="63EDC068" w14:textId="77777777" w:rsidR="00FC7FC8" w:rsidRDefault="00FC7FC8" w:rsidP="00291B36">
            <w:pPr>
              <w:spacing w:line="480" w:lineRule="auto"/>
            </w:pPr>
          </w:p>
        </w:tc>
        <w:tc>
          <w:tcPr>
            <w:tcW w:w="3219" w:type="dxa"/>
            <w:vMerge/>
          </w:tcPr>
          <w:p w14:paraId="32FB47D3" w14:textId="77777777" w:rsidR="00FC7FC8" w:rsidRDefault="00FC7FC8" w:rsidP="00291B36">
            <w:pPr>
              <w:spacing w:line="480" w:lineRule="auto"/>
            </w:pPr>
          </w:p>
        </w:tc>
        <w:tc>
          <w:tcPr>
            <w:tcW w:w="3219" w:type="dxa"/>
          </w:tcPr>
          <w:p w14:paraId="6CFF2EA9" w14:textId="77777777" w:rsidR="00FC7FC8" w:rsidRDefault="00FC7FC8" w:rsidP="00291B36">
            <w:pPr>
              <w:spacing w:line="480" w:lineRule="auto"/>
            </w:pPr>
            <w:r>
              <w:t>16-1; 634 m.</w:t>
            </w:r>
          </w:p>
        </w:tc>
      </w:tr>
      <w:tr w:rsidR="008B165E" w14:paraId="79DB1067" w14:textId="77777777" w:rsidTr="008B165E">
        <w:trPr>
          <w:trHeight w:val="98"/>
        </w:trPr>
        <w:tc>
          <w:tcPr>
            <w:tcW w:w="3219" w:type="dxa"/>
            <w:vMerge/>
          </w:tcPr>
          <w:p w14:paraId="6F9F9332" w14:textId="77777777" w:rsidR="00FC7FC8" w:rsidRDefault="00FC7FC8" w:rsidP="00291B36">
            <w:pPr>
              <w:spacing w:line="480" w:lineRule="auto"/>
            </w:pPr>
          </w:p>
        </w:tc>
        <w:tc>
          <w:tcPr>
            <w:tcW w:w="3219" w:type="dxa"/>
            <w:vMerge/>
          </w:tcPr>
          <w:p w14:paraId="57DEE4B1" w14:textId="77777777" w:rsidR="00FC7FC8" w:rsidRDefault="00FC7FC8" w:rsidP="00291B36">
            <w:pPr>
              <w:spacing w:line="480" w:lineRule="auto"/>
            </w:pPr>
          </w:p>
        </w:tc>
        <w:tc>
          <w:tcPr>
            <w:tcW w:w="3219" w:type="dxa"/>
          </w:tcPr>
          <w:p w14:paraId="1CF83A23" w14:textId="77777777" w:rsidR="00FC7FC8" w:rsidRDefault="00FC7FC8" w:rsidP="00291B36">
            <w:pPr>
              <w:spacing w:line="480" w:lineRule="auto"/>
            </w:pPr>
            <w:r>
              <w:t xml:space="preserve">22-1; 953 m. </w:t>
            </w:r>
          </w:p>
        </w:tc>
      </w:tr>
    </w:tbl>
    <w:p w14:paraId="6F261CA4" w14:textId="162B8183" w:rsidR="0011587F" w:rsidRDefault="00FC7FC8" w:rsidP="00EB25EF">
      <w:pPr>
        <w:spacing w:line="480" w:lineRule="auto"/>
      </w:pPr>
      <w:r>
        <w:rPr>
          <w:b/>
        </w:rPr>
        <w:t xml:space="preserve">Table 1: </w:t>
      </w:r>
      <w:r>
        <w:t xml:space="preserve">Microcosm setup </w:t>
      </w:r>
      <w:r w:rsidR="00E12A2E">
        <w:t xml:space="preserve">with combinations of nitrate or ferric iron in DCB-1 medium with acetate or lactate, each with four different elevation sites. </w:t>
      </w:r>
    </w:p>
    <w:p w14:paraId="5F60A9C0" w14:textId="77777777" w:rsidR="00624338" w:rsidRDefault="00624338" w:rsidP="00EB25EF">
      <w:pPr>
        <w:spacing w:line="480" w:lineRule="auto"/>
      </w:pPr>
    </w:p>
    <w:p w14:paraId="1E77AE7E" w14:textId="77777777" w:rsidR="008B165E" w:rsidRDefault="0011587F" w:rsidP="008B165E">
      <w:pPr>
        <w:spacing w:line="480" w:lineRule="auto"/>
        <w:rPr>
          <w:b/>
        </w:rPr>
      </w:pPr>
      <w:r>
        <w:rPr>
          <w:noProof/>
        </w:rPr>
        <w:drawing>
          <wp:inline distT="0" distB="0" distL="0" distR="0" wp14:anchorId="2793FD49" wp14:editId="72BB8203">
            <wp:extent cx="5943600" cy="3771900"/>
            <wp:effectExtent l="0" t="0" r="2540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573280B" w14:textId="706DE5EC" w:rsidR="00C26CB3" w:rsidRDefault="0011587F" w:rsidP="008B165E">
      <w:pPr>
        <w:spacing w:line="480" w:lineRule="auto"/>
      </w:pPr>
      <w:r>
        <w:rPr>
          <w:b/>
        </w:rPr>
        <w:t xml:space="preserve">Figure 1: </w:t>
      </w:r>
      <w:r w:rsidR="00E12A2E" w:rsidRPr="00E12A2E">
        <w:t>Nitrate consumption in the enrichment cultures containing 5 mM lactate and 2 mM nitrate</w:t>
      </w:r>
    </w:p>
    <w:p w14:paraId="5C024840" w14:textId="77777777" w:rsidR="008B165E" w:rsidRDefault="008B165E" w:rsidP="008B165E"/>
    <w:p w14:paraId="4FEC94A6" w14:textId="72741800" w:rsidR="004C0C00" w:rsidRDefault="004C0C00" w:rsidP="008B165E">
      <w:pPr>
        <w:spacing w:line="480" w:lineRule="auto"/>
      </w:pPr>
      <w:r w:rsidRPr="004C0C00">
        <w:rPr>
          <w:b/>
          <w:noProof/>
        </w:rPr>
        <w:drawing>
          <wp:anchor distT="0" distB="0" distL="114300" distR="114300" simplePos="0" relativeHeight="251658240" behindDoc="0" locked="0" layoutInCell="1" allowOverlap="1" wp14:anchorId="2C648BD0" wp14:editId="144110BC">
            <wp:simplePos x="0" y="0"/>
            <wp:positionH relativeFrom="column">
              <wp:posOffset>5080</wp:posOffset>
            </wp:positionH>
            <wp:positionV relativeFrom="paragraph">
              <wp:posOffset>0</wp:posOffset>
            </wp:positionV>
            <wp:extent cx="5823585" cy="4187825"/>
            <wp:effectExtent l="0" t="0" r="0" b="317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3585" cy="4187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0C00">
        <w:rPr>
          <w:b/>
        </w:rPr>
        <w:t>Figure 2:</w:t>
      </w:r>
      <w:r w:rsidR="008B165E">
        <w:t xml:space="preserve"> Image</w:t>
      </w:r>
      <w:r w:rsidR="008D1E26">
        <w:t xml:space="preserve"> (100x)</w:t>
      </w:r>
      <w:r w:rsidR="008B165E">
        <w:t xml:space="preserve"> under phase light m</w:t>
      </w:r>
      <w:r>
        <w:t>icroscope</w:t>
      </w:r>
      <w:r w:rsidR="008B165E">
        <w:t xml:space="preserve"> </w:t>
      </w:r>
      <w:r w:rsidR="00E653A3">
        <w:t>demonstrates</w:t>
      </w:r>
      <w:r w:rsidR="008B165E">
        <w:t xml:space="preserve"> rods, cocci, and curved bacteria of various lengths and sizes. </w:t>
      </w:r>
      <w:r w:rsidR="005964CE">
        <w:t xml:space="preserve">This pertains to the third enrichment culture transferred </w:t>
      </w:r>
      <w:r w:rsidR="005964CE" w:rsidRPr="00E12A2E">
        <w:t>containing 5 mM lactate and 2 mM nitrate</w:t>
      </w:r>
      <w:r w:rsidR="005964CE">
        <w:t>.</w:t>
      </w:r>
    </w:p>
    <w:p w14:paraId="420F8171" w14:textId="3C458AF6" w:rsidR="004C0C00" w:rsidRDefault="004C0C00" w:rsidP="00EB25EF">
      <w:pPr>
        <w:spacing w:line="480" w:lineRule="auto"/>
      </w:pPr>
      <w:r>
        <w:rPr>
          <w:noProof/>
        </w:rPr>
        <w:drawing>
          <wp:inline distT="0" distB="0" distL="0" distR="0" wp14:anchorId="3D803224" wp14:editId="346B8AF2">
            <wp:extent cx="5486400" cy="3658898"/>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3658898"/>
                    </a:xfrm>
                    <a:prstGeom prst="rect">
                      <a:avLst/>
                    </a:prstGeom>
                    <a:noFill/>
                    <a:ln>
                      <a:noFill/>
                    </a:ln>
                  </pic:spPr>
                </pic:pic>
              </a:graphicData>
            </a:graphic>
          </wp:inline>
        </w:drawing>
      </w:r>
    </w:p>
    <w:p w14:paraId="57E83EA3" w14:textId="0389D741" w:rsidR="00C26CB3" w:rsidRPr="004C0C00" w:rsidRDefault="004C0C00" w:rsidP="00EB25EF">
      <w:pPr>
        <w:spacing w:line="480" w:lineRule="auto"/>
      </w:pPr>
      <w:r>
        <w:rPr>
          <w:b/>
        </w:rPr>
        <w:t xml:space="preserve">Figure 3: </w:t>
      </w:r>
      <w:r>
        <w:t>Im</w:t>
      </w:r>
      <w:r w:rsidR="00502318">
        <w:t xml:space="preserve">age </w:t>
      </w:r>
      <w:r w:rsidR="008D1E26">
        <w:t xml:space="preserve">(100x) </w:t>
      </w:r>
      <w:r w:rsidR="00502318">
        <w:t>under phase light m</w:t>
      </w:r>
      <w:r>
        <w:t>icroscope</w:t>
      </w:r>
      <w:r w:rsidR="00121794">
        <w:t xml:space="preserve"> shows lit spherical-shaped bacteria among several rods of different lengths. </w:t>
      </w:r>
      <w:r w:rsidR="005964CE">
        <w:t xml:space="preserve">This picture corresponds to the third enrichment culture transferred </w:t>
      </w:r>
      <w:r w:rsidR="005964CE" w:rsidRPr="00E12A2E">
        <w:t>containing 5 mM lactate and 2 mM nitrate</w:t>
      </w:r>
      <w:r w:rsidR="005964CE">
        <w:t xml:space="preserve">. </w:t>
      </w:r>
    </w:p>
    <w:p w14:paraId="4E5F7BA5" w14:textId="77777777" w:rsidR="00C26CB3" w:rsidRDefault="00C26CB3" w:rsidP="00EB25EF">
      <w:pPr>
        <w:spacing w:line="480" w:lineRule="auto"/>
        <w:rPr>
          <w:b/>
        </w:rPr>
      </w:pPr>
    </w:p>
    <w:p w14:paraId="36BCED4A" w14:textId="5BC64E66" w:rsidR="00CD785E" w:rsidRDefault="00CD785E" w:rsidP="00EB25EF">
      <w:pPr>
        <w:spacing w:line="480" w:lineRule="auto"/>
        <w:rPr>
          <w:b/>
        </w:rPr>
      </w:pPr>
      <w:r>
        <w:rPr>
          <w:b/>
          <w:noProof/>
        </w:rPr>
        <w:drawing>
          <wp:inline distT="0" distB="0" distL="0" distR="0" wp14:anchorId="67A5638C" wp14:editId="260568E7">
            <wp:extent cx="4566138" cy="4993749"/>
            <wp:effectExtent l="0" t="0" r="6350" b="1016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66138" cy="4993749"/>
                    </a:xfrm>
                    <a:prstGeom prst="rect">
                      <a:avLst/>
                    </a:prstGeom>
                    <a:noFill/>
                    <a:ln>
                      <a:noFill/>
                    </a:ln>
                  </pic:spPr>
                </pic:pic>
              </a:graphicData>
            </a:graphic>
          </wp:inline>
        </w:drawing>
      </w:r>
    </w:p>
    <w:p w14:paraId="38963EC9" w14:textId="7D3FF914" w:rsidR="00CD785E" w:rsidRPr="00CD785E" w:rsidRDefault="00CD785E" w:rsidP="00EB25EF">
      <w:pPr>
        <w:spacing w:line="480" w:lineRule="auto"/>
      </w:pPr>
      <w:r>
        <w:rPr>
          <w:b/>
        </w:rPr>
        <w:t xml:space="preserve">Figure 4: </w:t>
      </w:r>
      <w:r w:rsidR="00E653A3">
        <w:t xml:space="preserve">Image </w:t>
      </w:r>
      <w:r w:rsidR="008D1E26">
        <w:t xml:space="preserve">(100x) </w:t>
      </w:r>
      <w:r w:rsidR="00E653A3">
        <w:t>under phase light m</w:t>
      </w:r>
      <w:r>
        <w:t>icroscope</w:t>
      </w:r>
      <w:r w:rsidR="00E653A3">
        <w:t xml:space="preserve"> displays a variety of microorganisms floating in the enrichment culture.</w:t>
      </w:r>
      <w:r w:rsidR="005964CE">
        <w:t xml:space="preserve"> This image is of the third enrichment culture transferred </w:t>
      </w:r>
      <w:r w:rsidR="005964CE" w:rsidRPr="00E12A2E">
        <w:t>containing 5 mM lactate and 2 mM nitrate</w:t>
      </w:r>
      <w:r w:rsidR="005964CE">
        <w:t>.</w:t>
      </w:r>
    </w:p>
    <w:p w14:paraId="40174614" w14:textId="77777777" w:rsidR="00C26CB3" w:rsidRDefault="00C26CB3" w:rsidP="00EB25EF">
      <w:pPr>
        <w:spacing w:line="480" w:lineRule="auto"/>
        <w:rPr>
          <w:b/>
        </w:rPr>
      </w:pPr>
    </w:p>
    <w:p w14:paraId="271F0DF1" w14:textId="43551B82" w:rsidR="006D167A" w:rsidRDefault="00126A9C" w:rsidP="00EB25EF">
      <w:pPr>
        <w:spacing w:line="480" w:lineRule="auto"/>
        <w:rPr>
          <w:b/>
        </w:rPr>
      </w:pPr>
      <w:r>
        <w:rPr>
          <w:b/>
          <w:noProof/>
        </w:rPr>
        <w:drawing>
          <wp:inline distT="0" distB="0" distL="0" distR="0" wp14:anchorId="7161D8A3" wp14:editId="5644E2E6">
            <wp:extent cx="5486400" cy="4353433"/>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4353433"/>
                    </a:xfrm>
                    <a:prstGeom prst="rect">
                      <a:avLst/>
                    </a:prstGeom>
                    <a:noFill/>
                    <a:ln>
                      <a:noFill/>
                    </a:ln>
                  </pic:spPr>
                </pic:pic>
              </a:graphicData>
            </a:graphic>
          </wp:inline>
        </w:drawing>
      </w:r>
    </w:p>
    <w:p w14:paraId="6D66AE5D" w14:textId="7085F8CF" w:rsidR="006D167A" w:rsidRDefault="00126A9C" w:rsidP="00EB25EF">
      <w:pPr>
        <w:spacing w:line="480" w:lineRule="auto"/>
      </w:pPr>
      <w:r>
        <w:rPr>
          <w:b/>
        </w:rPr>
        <w:t xml:space="preserve">Figure 5: </w:t>
      </w:r>
      <w:r w:rsidRPr="00126A9C">
        <w:t>Image</w:t>
      </w:r>
      <w:r w:rsidR="008D1E26">
        <w:t xml:space="preserve"> (10x)</w:t>
      </w:r>
      <w:r w:rsidRPr="00126A9C">
        <w:t xml:space="preserve"> </w:t>
      </w:r>
      <w:r w:rsidR="00F42E99">
        <w:t>taken during</w:t>
      </w:r>
      <w:r w:rsidRPr="00126A9C">
        <w:t xml:space="preserve"> </w:t>
      </w:r>
      <w:r w:rsidR="00F42E99">
        <w:t xml:space="preserve">the </w:t>
      </w:r>
      <w:r w:rsidR="005E03DC">
        <w:t>DAPI s</w:t>
      </w:r>
      <w:r w:rsidRPr="00126A9C">
        <w:t>tain</w:t>
      </w:r>
      <w:r w:rsidR="00F42E99">
        <w:t xml:space="preserve"> snaps a few linear and curved bacteria. </w:t>
      </w:r>
    </w:p>
    <w:p w14:paraId="38B1974D" w14:textId="6CE7C988" w:rsidR="00126A9C" w:rsidRDefault="00DE5DD1" w:rsidP="00EB25EF">
      <w:pPr>
        <w:spacing w:line="480" w:lineRule="auto"/>
        <w:rPr>
          <w:b/>
        </w:rPr>
      </w:pPr>
      <w:r>
        <w:rPr>
          <w:b/>
          <w:noProof/>
        </w:rPr>
        <w:drawing>
          <wp:inline distT="0" distB="0" distL="0" distR="0" wp14:anchorId="5E5C5C56" wp14:editId="2E7B803E">
            <wp:extent cx="5486400" cy="3878242"/>
            <wp:effectExtent l="0" t="0" r="0" b="825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3878242"/>
                    </a:xfrm>
                    <a:prstGeom prst="rect">
                      <a:avLst/>
                    </a:prstGeom>
                    <a:noFill/>
                    <a:ln>
                      <a:noFill/>
                    </a:ln>
                  </pic:spPr>
                </pic:pic>
              </a:graphicData>
            </a:graphic>
          </wp:inline>
        </w:drawing>
      </w:r>
    </w:p>
    <w:p w14:paraId="52F3A5BF" w14:textId="5EA72125" w:rsidR="00DE5DD1" w:rsidRDefault="00DE5DD1" w:rsidP="00EB25EF">
      <w:pPr>
        <w:spacing w:line="480" w:lineRule="auto"/>
      </w:pPr>
      <w:r>
        <w:rPr>
          <w:b/>
        </w:rPr>
        <w:t xml:space="preserve">Figure 6: </w:t>
      </w:r>
      <w:r w:rsidR="005E03DC">
        <w:t xml:space="preserve">Image </w:t>
      </w:r>
      <w:r w:rsidR="008D1E26">
        <w:t xml:space="preserve">(100x) </w:t>
      </w:r>
      <w:r w:rsidR="005E03DC">
        <w:t>from DAPI s</w:t>
      </w:r>
      <w:r w:rsidRPr="00DE5DD1">
        <w:t>tain</w:t>
      </w:r>
      <w:r w:rsidR="00F42E99">
        <w:t xml:space="preserve"> continues to show </w:t>
      </w:r>
      <w:r w:rsidR="005E03DC">
        <w:t xml:space="preserve">a variety of microorganisms in this fifth dilution. </w:t>
      </w:r>
    </w:p>
    <w:p w14:paraId="41F2E9E9" w14:textId="77777777" w:rsidR="00DE5DD1" w:rsidRDefault="00DE5DD1" w:rsidP="00EB25EF">
      <w:pPr>
        <w:spacing w:line="480" w:lineRule="auto"/>
      </w:pPr>
    </w:p>
    <w:p w14:paraId="1F04551B" w14:textId="64A4B12C" w:rsidR="00DE5DD1" w:rsidRDefault="00DE5DD1" w:rsidP="00EB25EF">
      <w:pPr>
        <w:spacing w:line="480" w:lineRule="auto"/>
        <w:rPr>
          <w:b/>
        </w:rPr>
      </w:pPr>
      <w:r>
        <w:rPr>
          <w:b/>
          <w:noProof/>
        </w:rPr>
        <w:drawing>
          <wp:inline distT="0" distB="0" distL="0" distR="0" wp14:anchorId="3BFA7C91" wp14:editId="78ED56BC">
            <wp:extent cx="5486400" cy="3703312"/>
            <wp:effectExtent l="0" t="0" r="0" b="571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3703312"/>
                    </a:xfrm>
                    <a:prstGeom prst="rect">
                      <a:avLst/>
                    </a:prstGeom>
                    <a:noFill/>
                    <a:ln>
                      <a:noFill/>
                    </a:ln>
                  </pic:spPr>
                </pic:pic>
              </a:graphicData>
            </a:graphic>
          </wp:inline>
        </w:drawing>
      </w:r>
    </w:p>
    <w:p w14:paraId="442550F3" w14:textId="617C5AA4" w:rsidR="00DE5DD1" w:rsidRDefault="00DE5DD1" w:rsidP="00EB25EF">
      <w:pPr>
        <w:spacing w:line="480" w:lineRule="auto"/>
      </w:pPr>
      <w:r>
        <w:rPr>
          <w:b/>
        </w:rPr>
        <w:t xml:space="preserve">Figure 7: </w:t>
      </w:r>
      <w:r>
        <w:t>Image</w:t>
      </w:r>
      <w:r w:rsidR="008D1E26">
        <w:t xml:space="preserve"> (10x)</w:t>
      </w:r>
      <w:r>
        <w:t xml:space="preserve"> from </w:t>
      </w:r>
      <w:r w:rsidR="005E03DC">
        <w:t>the DAPI s</w:t>
      </w:r>
      <w:r>
        <w:t>tain</w:t>
      </w:r>
      <w:r w:rsidR="005E03DC">
        <w:t xml:space="preserve"> exemplifies a circular-shaped bacterium in the sixth dilution. </w:t>
      </w:r>
    </w:p>
    <w:p w14:paraId="08905E67" w14:textId="4D0B2EB3" w:rsidR="00DE5DD1" w:rsidRDefault="00DE5DD1" w:rsidP="00EB25EF">
      <w:pPr>
        <w:spacing w:line="480" w:lineRule="auto"/>
      </w:pPr>
      <w:r>
        <w:rPr>
          <w:noProof/>
        </w:rPr>
        <w:drawing>
          <wp:inline distT="0" distB="0" distL="0" distR="0" wp14:anchorId="37279396" wp14:editId="6E16E210">
            <wp:extent cx="5486400" cy="4014858"/>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4014858"/>
                    </a:xfrm>
                    <a:prstGeom prst="rect">
                      <a:avLst/>
                    </a:prstGeom>
                    <a:noFill/>
                    <a:ln>
                      <a:noFill/>
                    </a:ln>
                  </pic:spPr>
                </pic:pic>
              </a:graphicData>
            </a:graphic>
          </wp:inline>
        </w:drawing>
      </w:r>
    </w:p>
    <w:p w14:paraId="7EEB74D9" w14:textId="233D22E9" w:rsidR="00DE5DD1" w:rsidRDefault="00DE5DD1" w:rsidP="00EB25EF">
      <w:pPr>
        <w:spacing w:line="480" w:lineRule="auto"/>
      </w:pPr>
      <w:r w:rsidRPr="00DE5DD1">
        <w:rPr>
          <w:b/>
        </w:rPr>
        <w:t>Figure 8</w:t>
      </w:r>
      <w:r>
        <w:rPr>
          <w:b/>
        </w:rPr>
        <w:t xml:space="preserve">: </w:t>
      </w:r>
      <w:r>
        <w:t>Image</w:t>
      </w:r>
      <w:r w:rsidR="008D1E26">
        <w:t xml:space="preserve"> (10x)</w:t>
      </w:r>
      <w:r>
        <w:t xml:space="preserve"> from </w:t>
      </w:r>
      <w:r w:rsidR="005E03DC">
        <w:t>the DAPI s</w:t>
      </w:r>
      <w:r>
        <w:t>tain</w:t>
      </w:r>
      <w:r w:rsidR="005E03DC">
        <w:t xml:space="preserve"> for the </w:t>
      </w:r>
      <w:r w:rsidR="008D1E26">
        <w:t>sixth</w:t>
      </w:r>
      <w:r w:rsidR="005E03DC">
        <w:t xml:space="preserve"> dilution demonstrates an unknown cell. </w:t>
      </w:r>
    </w:p>
    <w:p w14:paraId="713AE11E" w14:textId="77777777" w:rsidR="00DE5DD1" w:rsidRDefault="00DE5DD1" w:rsidP="00EB25EF">
      <w:pPr>
        <w:spacing w:line="480" w:lineRule="auto"/>
      </w:pPr>
    </w:p>
    <w:p w14:paraId="432576AA" w14:textId="638A0A64" w:rsidR="00DE5DD1" w:rsidRDefault="00DE5DD1" w:rsidP="00EB25EF">
      <w:pPr>
        <w:spacing w:line="480" w:lineRule="auto"/>
      </w:pPr>
      <w:r>
        <w:rPr>
          <w:noProof/>
        </w:rPr>
        <w:drawing>
          <wp:inline distT="0" distB="0" distL="0" distR="0" wp14:anchorId="0912D3E3" wp14:editId="4B1E2532">
            <wp:extent cx="5486400" cy="4741340"/>
            <wp:effectExtent l="0" t="0" r="0" b="889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4741340"/>
                    </a:xfrm>
                    <a:prstGeom prst="rect">
                      <a:avLst/>
                    </a:prstGeom>
                    <a:noFill/>
                    <a:ln>
                      <a:noFill/>
                    </a:ln>
                  </pic:spPr>
                </pic:pic>
              </a:graphicData>
            </a:graphic>
          </wp:inline>
        </w:drawing>
      </w:r>
    </w:p>
    <w:p w14:paraId="5E85CFF8" w14:textId="7B70FDBD" w:rsidR="00DE5DD1" w:rsidRPr="00DE5DD1" w:rsidRDefault="00DE5DD1" w:rsidP="00EB25EF">
      <w:pPr>
        <w:spacing w:line="480" w:lineRule="auto"/>
      </w:pPr>
      <w:r w:rsidRPr="00DE5DD1">
        <w:rPr>
          <w:b/>
        </w:rPr>
        <w:t>Figure 9</w:t>
      </w:r>
      <w:r w:rsidRPr="00DE5DD1">
        <w:t>: Image</w:t>
      </w:r>
      <w:r w:rsidR="008D1E26">
        <w:t xml:space="preserve"> (100x)</w:t>
      </w:r>
      <w:r w:rsidRPr="00DE5DD1">
        <w:t xml:space="preserve"> from </w:t>
      </w:r>
      <w:r w:rsidR="005E03DC">
        <w:t>the DAPI s</w:t>
      </w:r>
      <w:r w:rsidRPr="00DE5DD1">
        <w:t>tain</w:t>
      </w:r>
      <w:r w:rsidR="005E03DC">
        <w:t xml:space="preserve"> in the fifth dilution exhibits a variety of curved, linear, and circular bacteria.  </w:t>
      </w:r>
    </w:p>
    <w:p w14:paraId="5E98937D" w14:textId="4B5E416C" w:rsidR="00765FB7" w:rsidRDefault="00765FB7">
      <w:pPr>
        <w:rPr>
          <w:b/>
        </w:rPr>
      </w:pPr>
      <w:r>
        <w:rPr>
          <w:b/>
        </w:rPr>
        <w:br w:type="page"/>
      </w:r>
    </w:p>
    <w:p w14:paraId="4C5B5F31" w14:textId="77777777" w:rsidR="00081E19" w:rsidRDefault="00730A92" w:rsidP="00EB25EF">
      <w:pPr>
        <w:spacing w:line="480" w:lineRule="auto"/>
        <w:rPr>
          <w:b/>
        </w:rPr>
      </w:pPr>
      <w:r>
        <w:rPr>
          <w:b/>
        </w:rPr>
        <w:t>Works Cited</w:t>
      </w:r>
    </w:p>
    <w:p w14:paraId="75272BEA" w14:textId="34C9F8E5" w:rsidR="0018444A" w:rsidRPr="0018444A" w:rsidRDefault="00730A92" w:rsidP="00762699">
      <w:pPr>
        <w:spacing w:line="480" w:lineRule="auto"/>
        <w:ind w:left="720" w:hanging="720"/>
      </w:pPr>
      <w:r w:rsidRPr="008F7460">
        <w:t xml:space="preserve">1. </w:t>
      </w:r>
      <w:r w:rsidR="0018444A">
        <w:t xml:space="preserve">Harris, N.L., Lugo, A.E., Brown, S., et al. 2012. “Luquillo Experimental Forest: Research History and Opportunities.” </w:t>
      </w:r>
      <w:r w:rsidR="0018444A">
        <w:rPr>
          <w:i/>
        </w:rPr>
        <w:t>Experimental Forests and Ranges</w:t>
      </w:r>
      <w:r w:rsidR="00762699">
        <w:t>. p152.</w:t>
      </w:r>
    </w:p>
    <w:p w14:paraId="39E6F1A8" w14:textId="3E6C215D" w:rsidR="00730A92" w:rsidRPr="008F7460" w:rsidRDefault="00730A92" w:rsidP="00762699">
      <w:pPr>
        <w:spacing w:line="480" w:lineRule="auto"/>
        <w:ind w:left="720" w:hanging="720"/>
      </w:pPr>
      <w:r w:rsidRPr="008F7460">
        <w:t xml:space="preserve">2. </w:t>
      </w:r>
      <w:r w:rsidR="005810E5">
        <w:t xml:space="preserve">Jennings, L.N., Douglas, J., Treasure, E., et al. 2014. “Climate Change Effects in El Yunque National Forest, Puerto Rico, and the Caribbean Region.” </w:t>
      </w:r>
    </w:p>
    <w:p w14:paraId="05064F88" w14:textId="6A411CF8" w:rsidR="006A2A5B" w:rsidRDefault="006A2A5B" w:rsidP="00762699">
      <w:pPr>
        <w:spacing w:line="480" w:lineRule="auto"/>
        <w:ind w:left="720" w:hanging="720"/>
        <w:rPr>
          <w:rFonts w:ascii="Cambria" w:hAnsi="Cambria"/>
        </w:rPr>
      </w:pPr>
      <w:r w:rsidRPr="0018444A">
        <w:t>3.</w:t>
      </w:r>
      <w:r>
        <w:rPr>
          <w:b/>
        </w:rPr>
        <w:t xml:space="preserve"> </w:t>
      </w:r>
      <w:r>
        <w:rPr>
          <w:rFonts w:ascii="Cambria" w:hAnsi="Cambria"/>
        </w:rPr>
        <w:t xml:space="preserve">Sanford, R., Wagner, D.D., Wu, Q., et al. 2012. “Unexpected nondenitrifier nitrous oxide reductase gene diversity and abundance in soils.” </w:t>
      </w:r>
      <w:r>
        <w:rPr>
          <w:rFonts w:ascii="Cambria" w:hAnsi="Cambria"/>
          <w:i/>
        </w:rPr>
        <w:t>Proceedings of the National Academy of Sciences of the United States of America</w:t>
      </w:r>
      <w:r>
        <w:rPr>
          <w:rFonts w:ascii="Cambria" w:hAnsi="Cambria"/>
        </w:rPr>
        <w:t>. 109:48.</w:t>
      </w:r>
    </w:p>
    <w:p w14:paraId="1E2BCC81" w14:textId="33A04071" w:rsidR="006A2A5B" w:rsidRDefault="005810E5" w:rsidP="00762699">
      <w:pPr>
        <w:spacing w:line="480" w:lineRule="auto"/>
        <w:ind w:left="720" w:hanging="720"/>
        <w:rPr>
          <w:rFonts w:ascii="Cambria" w:hAnsi="Cambria"/>
        </w:rPr>
      </w:pPr>
      <w:r>
        <w:rPr>
          <w:rFonts w:ascii="Cambria" w:hAnsi="Cambria"/>
        </w:rPr>
        <w:t xml:space="preserve">4. Butterbach-Bahl, K., Baggs, E.M., Dannenmann, M., et al. 2013. “Nitrous oxide emissions from soils: how well do we understand the processes and their controls?” </w:t>
      </w:r>
      <w:r>
        <w:rPr>
          <w:rFonts w:eastAsia="Times New Roman" w:cs="Times New Roman"/>
          <w:i/>
          <w:iCs/>
        </w:rPr>
        <w:t>Philosophical Transactions of the Royal Society B: Biological Sciences</w:t>
      </w:r>
      <w:r>
        <w:rPr>
          <w:rFonts w:eastAsia="Times New Roman" w:cs="Times New Roman"/>
        </w:rPr>
        <w:t xml:space="preserve"> 368.1621 (2013): 20130122. </w:t>
      </w:r>
      <w:r>
        <w:rPr>
          <w:rFonts w:eastAsia="Times New Roman" w:cs="Times New Roman"/>
          <w:i/>
          <w:iCs/>
        </w:rPr>
        <w:t>PMC</w:t>
      </w:r>
      <w:r>
        <w:rPr>
          <w:rFonts w:eastAsia="Times New Roman" w:cs="Times New Roman"/>
        </w:rPr>
        <w:t xml:space="preserve">. </w:t>
      </w:r>
    </w:p>
    <w:p w14:paraId="0BB7034B" w14:textId="7757C740" w:rsidR="008F7460" w:rsidRPr="008F7460" w:rsidRDefault="008F7460" w:rsidP="00762699">
      <w:pPr>
        <w:spacing w:line="480" w:lineRule="auto"/>
        <w:ind w:left="720" w:hanging="720"/>
        <w:rPr>
          <w:rFonts w:ascii="Cambria" w:hAnsi="Cambria"/>
        </w:rPr>
      </w:pPr>
      <w:r>
        <w:rPr>
          <w:rFonts w:ascii="Cambria" w:hAnsi="Cambria"/>
        </w:rPr>
        <w:t xml:space="preserve">5. </w:t>
      </w:r>
      <w:r w:rsidRPr="008F7460">
        <w:t xml:space="preserve">Lasso, E.; Ackerman, J.D. 2003. Flowering phenology of </w:t>
      </w:r>
      <w:r w:rsidRPr="008F7460">
        <w:rPr>
          <w:i/>
        </w:rPr>
        <w:t>Werauhia sintenisii</w:t>
      </w:r>
      <w:r>
        <w:t xml:space="preserve">, a </w:t>
      </w:r>
      <w:r w:rsidRPr="008F7460">
        <w:t>bromeliad from the dwarf montane forest in Puerto Rico: an indicator of climate change? Selbyana. 24(1): 95-104.</w:t>
      </w:r>
    </w:p>
    <w:p w14:paraId="5FCF3702" w14:textId="65776144" w:rsidR="00F140A8" w:rsidRDefault="008F7460" w:rsidP="00762699">
      <w:pPr>
        <w:spacing w:line="480" w:lineRule="auto"/>
        <w:ind w:left="720" w:hanging="720"/>
      </w:pPr>
      <w:r w:rsidRPr="008F7460">
        <w:t>6</w:t>
      </w:r>
      <w:r w:rsidR="00F140A8" w:rsidRPr="008F7460">
        <w:t xml:space="preserve">. </w:t>
      </w:r>
      <w:r w:rsidR="00C60B17">
        <w:rPr>
          <w:rFonts w:eastAsia="Times New Roman" w:cs="Times New Roman"/>
        </w:rPr>
        <w:t xml:space="preserve">Löffler, Frank E., Robert A. Sanford, and Kirsti M. Ritalahti. "Enrichment, cultivation, and detection of reductively dechlorinating bacteria." </w:t>
      </w:r>
      <w:r w:rsidR="00C60B17">
        <w:rPr>
          <w:rFonts w:eastAsia="Times New Roman" w:cs="Times New Roman"/>
          <w:i/>
          <w:iCs/>
        </w:rPr>
        <w:t>Methods in enzymology</w:t>
      </w:r>
      <w:r w:rsidR="00C60B17">
        <w:rPr>
          <w:rFonts w:eastAsia="Times New Roman" w:cs="Times New Roman"/>
        </w:rPr>
        <w:t xml:space="preserve"> 397 (2005): 77-111.</w:t>
      </w:r>
    </w:p>
    <w:p w14:paraId="41739BD3" w14:textId="654BDA0B" w:rsidR="00F86DBB" w:rsidRDefault="00062986" w:rsidP="00762699">
      <w:pPr>
        <w:spacing w:line="480" w:lineRule="auto"/>
        <w:ind w:left="720" w:hanging="720"/>
      </w:pPr>
      <w:r>
        <w:t xml:space="preserve">7. </w:t>
      </w:r>
      <w:r w:rsidR="00F86DBB">
        <w:t xml:space="preserve">Löffler et al. 1996 for DCB-1 protocol. “Initial characterization of a reductive dehalogenase from </w:t>
      </w:r>
      <w:r w:rsidR="00F86DBB">
        <w:rPr>
          <w:i/>
          <w:iCs/>
        </w:rPr>
        <w:t>Desulfitobacterium chlororespirans</w:t>
      </w:r>
      <w:r w:rsidR="00F86DBB">
        <w:t xml:space="preserve"> Co23.</w:t>
      </w:r>
    </w:p>
    <w:p w14:paraId="786B154C" w14:textId="1CC3021C" w:rsidR="004D3EF4" w:rsidRDefault="00B35DBB" w:rsidP="00762699">
      <w:pPr>
        <w:spacing w:line="480" w:lineRule="auto"/>
        <w:ind w:left="720" w:hanging="720"/>
        <w:rPr>
          <w:rFonts w:ascii="Times New Roman" w:hAnsi="Times New Roman" w:cs="Times New Roman"/>
          <w:noProof/>
        </w:rPr>
      </w:pPr>
      <w:r>
        <w:t>8</w:t>
      </w:r>
      <w:r w:rsidR="00F86DBB">
        <w:t xml:space="preserve">. </w:t>
      </w:r>
      <w:r w:rsidR="004D3EF4" w:rsidRPr="00C13B00">
        <w:rPr>
          <w:rFonts w:ascii="Times New Roman" w:hAnsi="Times New Roman" w:cs="Times New Roman"/>
          <w:noProof/>
        </w:rPr>
        <w:t xml:space="preserve">Sørensen J, Tiedje JM, Firestone RB. (1980). </w:t>
      </w:r>
      <w:r w:rsidR="006E6F99">
        <w:rPr>
          <w:rFonts w:ascii="Times New Roman" w:hAnsi="Times New Roman" w:cs="Times New Roman"/>
          <w:noProof/>
        </w:rPr>
        <w:t>“</w:t>
      </w:r>
      <w:r w:rsidR="004D3EF4" w:rsidRPr="00C13B00">
        <w:rPr>
          <w:rFonts w:ascii="Times New Roman" w:hAnsi="Times New Roman" w:cs="Times New Roman"/>
          <w:noProof/>
        </w:rPr>
        <w:t xml:space="preserve">Inhibition by sulfide of nitric and nitrous oxide reduction by denitrifying </w:t>
      </w:r>
      <w:r w:rsidR="004D3EF4" w:rsidRPr="00C13B00">
        <w:rPr>
          <w:rFonts w:ascii="Times New Roman" w:hAnsi="Times New Roman" w:cs="Times New Roman"/>
          <w:i/>
          <w:iCs/>
          <w:noProof/>
        </w:rPr>
        <w:t>Pseudomonas fluorescens</w:t>
      </w:r>
      <w:r w:rsidR="004D3EF4" w:rsidRPr="00C13B00">
        <w:rPr>
          <w:rFonts w:ascii="Times New Roman" w:hAnsi="Times New Roman" w:cs="Times New Roman"/>
          <w:noProof/>
        </w:rPr>
        <w:t>.</w:t>
      </w:r>
      <w:r w:rsidR="006E6F99">
        <w:rPr>
          <w:rFonts w:ascii="Times New Roman" w:hAnsi="Times New Roman" w:cs="Times New Roman"/>
          <w:noProof/>
        </w:rPr>
        <w:t>”</w:t>
      </w:r>
      <w:r w:rsidR="004D3EF4" w:rsidRPr="00C13B00">
        <w:rPr>
          <w:rFonts w:ascii="Times New Roman" w:hAnsi="Times New Roman" w:cs="Times New Roman"/>
          <w:noProof/>
        </w:rPr>
        <w:t xml:space="preserve"> </w:t>
      </w:r>
      <w:r w:rsidR="004D3EF4" w:rsidRPr="00C13B00">
        <w:rPr>
          <w:rFonts w:ascii="Times New Roman" w:hAnsi="Times New Roman" w:cs="Times New Roman"/>
          <w:i/>
          <w:iCs/>
          <w:noProof/>
        </w:rPr>
        <w:t>Appl Environ Microbiol</w:t>
      </w:r>
      <w:r w:rsidR="004D3EF4" w:rsidRPr="00C13B00">
        <w:rPr>
          <w:rFonts w:ascii="Times New Roman" w:hAnsi="Times New Roman" w:cs="Times New Roman"/>
          <w:noProof/>
        </w:rPr>
        <w:t xml:space="preserve"> </w:t>
      </w:r>
      <w:r w:rsidR="004D3EF4" w:rsidRPr="00C13B00">
        <w:rPr>
          <w:rFonts w:ascii="Times New Roman" w:hAnsi="Times New Roman" w:cs="Times New Roman"/>
          <w:b/>
          <w:bCs/>
          <w:noProof/>
        </w:rPr>
        <w:t>39</w:t>
      </w:r>
      <w:r w:rsidR="004D3EF4" w:rsidRPr="00C13B00">
        <w:rPr>
          <w:rFonts w:ascii="Times New Roman" w:hAnsi="Times New Roman" w:cs="Times New Roman"/>
          <w:noProof/>
        </w:rPr>
        <w:t>: 105–108.</w:t>
      </w:r>
    </w:p>
    <w:p w14:paraId="468A303A" w14:textId="59F4CD3A" w:rsidR="009E086D" w:rsidRPr="004D3EF4" w:rsidRDefault="009E086D" w:rsidP="008C4AF5">
      <w:pPr>
        <w:spacing w:line="480" w:lineRule="auto"/>
        <w:ind w:left="720" w:hanging="720"/>
        <w:rPr>
          <w:rFonts w:ascii="Times New Roman" w:hAnsi="Times New Roman" w:cs="Times New Roman"/>
          <w:noProof/>
        </w:rPr>
      </w:pPr>
      <w:r>
        <w:rPr>
          <w:rFonts w:ascii="Times New Roman" w:hAnsi="Times New Roman" w:cs="Times New Roman"/>
          <w:noProof/>
        </w:rPr>
        <w:t xml:space="preserve">9. </w:t>
      </w:r>
      <w:r w:rsidRPr="00C13B00">
        <w:rPr>
          <w:rFonts w:ascii="Times New Roman" w:hAnsi="Times New Roman" w:cs="Times New Roman"/>
          <w:noProof/>
        </w:rPr>
        <w:t xml:space="preserve">Stookey LL. (1970). Ferrozine-a new spectrophotometric reagent for iron. </w:t>
      </w:r>
      <w:r w:rsidRPr="00C13B00">
        <w:rPr>
          <w:rFonts w:ascii="Times New Roman" w:hAnsi="Times New Roman" w:cs="Times New Roman"/>
          <w:i/>
          <w:iCs/>
          <w:noProof/>
        </w:rPr>
        <w:t>Anal Chem</w:t>
      </w:r>
      <w:r w:rsidRPr="00C13B00">
        <w:rPr>
          <w:rFonts w:ascii="Times New Roman" w:hAnsi="Times New Roman" w:cs="Times New Roman"/>
          <w:noProof/>
        </w:rPr>
        <w:t xml:space="preserve"> </w:t>
      </w:r>
      <w:r w:rsidRPr="00C13B00">
        <w:rPr>
          <w:rFonts w:ascii="Times New Roman" w:hAnsi="Times New Roman" w:cs="Times New Roman"/>
          <w:b/>
          <w:bCs/>
          <w:noProof/>
        </w:rPr>
        <w:t>42</w:t>
      </w:r>
      <w:r w:rsidRPr="00C13B00">
        <w:rPr>
          <w:rFonts w:ascii="Times New Roman" w:hAnsi="Times New Roman" w:cs="Times New Roman"/>
          <w:noProof/>
        </w:rPr>
        <w:t>: 779–781.</w:t>
      </w:r>
    </w:p>
    <w:p w14:paraId="7B675900" w14:textId="5F1A287F" w:rsidR="00821175" w:rsidRDefault="009E086D" w:rsidP="008C4AF5">
      <w:pPr>
        <w:spacing w:line="480" w:lineRule="auto"/>
        <w:ind w:left="720" w:hanging="720"/>
      </w:pPr>
      <w:r>
        <w:t>10</w:t>
      </w:r>
      <w:r w:rsidR="00775727">
        <w:t xml:space="preserve">. </w:t>
      </w:r>
      <w:r>
        <w:rPr>
          <w:rStyle w:val="citationtext"/>
          <w:rFonts w:eastAsia="Times New Roman" w:cs="Times New Roman"/>
        </w:rPr>
        <w:t xml:space="preserve">"Principles of Chromatography." </w:t>
      </w:r>
      <w:r w:rsidRPr="009E086D">
        <w:rPr>
          <w:rStyle w:val="citationtext"/>
          <w:rFonts w:eastAsia="Times New Roman" w:cs="Times New Roman"/>
          <w:iCs/>
        </w:rPr>
        <w:t>Khan Academy</w:t>
      </w:r>
      <w:r w:rsidRPr="009E086D">
        <w:rPr>
          <w:rStyle w:val="citationtext"/>
          <w:rFonts w:eastAsia="Times New Roman" w:cs="Times New Roman"/>
        </w:rPr>
        <w:t>.</w:t>
      </w:r>
      <w:r w:rsidR="00043936">
        <w:rPr>
          <w:rStyle w:val="citationtext"/>
          <w:rFonts w:eastAsia="Times New Roman" w:cs="Times New Roman"/>
        </w:rPr>
        <w:t xml:space="preserve"> &lt;https://www.khanacademy.org/test-prep/mcat/chemical-processes/separations-purifications/a/principles-of-chromatography&gt;.</w:t>
      </w:r>
    </w:p>
    <w:p w14:paraId="1E74103E" w14:textId="7E8F7A76" w:rsidR="003108F9" w:rsidRPr="006E6F99" w:rsidRDefault="009E086D" w:rsidP="008C4AF5">
      <w:pPr>
        <w:spacing w:line="480" w:lineRule="auto"/>
        <w:ind w:left="720" w:hanging="720"/>
      </w:pPr>
      <w:r>
        <w:t>11</w:t>
      </w:r>
      <w:r w:rsidR="00F86DBB">
        <w:t>.</w:t>
      </w:r>
      <w:r w:rsidR="00821175">
        <w:t xml:space="preserve"> </w:t>
      </w:r>
      <w:r w:rsidR="006E6F99">
        <w:t xml:space="preserve">Madigan, M.T., Martinko, J.M., Bender, K.S., et al. 2015. </w:t>
      </w:r>
      <w:r w:rsidR="006E6F99" w:rsidRPr="006E6F99">
        <w:rPr>
          <w:i/>
        </w:rPr>
        <w:t>Brock Biology of Microorganisms.</w:t>
      </w:r>
      <w:r w:rsidR="006E6F99">
        <w:rPr>
          <w:i/>
        </w:rPr>
        <w:t xml:space="preserve"> </w:t>
      </w:r>
      <w:r w:rsidR="006E6F99">
        <w:rPr>
          <w:rFonts w:eastAsia="Times New Roman" w:cs="Times New Roman"/>
        </w:rPr>
        <w:t>(Fourteenth edition.). Boston: Pearson.</w:t>
      </w:r>
    </w:p>
    <w:p w14:paraId="61A9DE79" w14:textId="092E8155" w:rsidR="00A362DB" w:rsidRPr="008F7460" w:rsidRDefault="009E086D" w:rsidP="008C4AF5">
      <w:pPr>
        <w:spacing w:line="480" w:lineRule="auto"/>
        <w:ind w:left="720" w:hanging="720"/>
      </w:pPr>
      <w:r>
        <w:t>12</w:t>
      </w:r>
      <w:r w:rsidR="00A362DB" w:rsidRPr="008F7460">
        <w:t xml:space="preserve">. </w:t>
      </w:r>
      <w:r w:rsidR="00762699">
        <w:t>Yoshinari, T., Knowles, R. 1976. “</w:t>
      </w:r>
      <w:r w:rsidR="00762699">
        <w:rPr>
          <w:rFonts w:eastAsia="Times New Roman" w:cs="Times New Roman"/>
        </w:rPr>
        <w:t>Acetylene inhibition of nitrous oxide reduction by denitrifying bacteria</w:t>
      </w:r>
      <w:r w:rsidR="00762699">
        <w:rPr>
          <w:rFonts w:eastAsia="Times New Roman" w:cs="Times New Roman"/>
        </w:rPr>
        <w:t>.”</w:t>
      </w:r>
      <w:r w:rsidR="00762699">
        <w:rPr>
          <w:rFonts w:eastAsia="Times New Roman" w:cs="Times New Roman"/>
        </w:rPr>
        <w:t xml:space="preserve"> </w:t>
      </w:r>
      <w:r w:rsidR="00762699">
        <w:rPr>
          <w:rFonts w:eastAsia="Times New Roman" w:cs="Times New Roman"/>
          <w:i/>
          <w:iCs/>
        </w:rPr>
        <w:t>Biochemical and Biophysical Research Communications</w:t>
      </w:r>
      <w:r w:rsidR="00762699">
        <w:rPr>
          <w:rFonts w:eastAsia="Times New Roman" w:cs="Times New Roman"/>
        </w:rPr>
        <w:t xml:space="preserve">, 69 (3): </w:t>
      </w:r>
      <w:r w:rsidR="00762699">
        <w:rPr>
          <w:rFonts w:eastAsia="Times New Roman" w:cs="Times New Roman"/>
        </w:rPr>
        <w:t>705-710</w:t>
      </w:r>
      <w:r w:rsidR="009878C9">
        <w:rPr>
          <w:rFonts w:eastAsia="Times New Roman" w:cs="Times New Roman"/>
        </w:rPr>
        <w:t xml:space="preserve">. </w:t>
      </w:r>
    </w:p>
    <w:sectPr w:rsidR="00A362DB" w:rsidRPr="008F7460" w:rsidSect="00ED34B4">
      <w:headerReference w:type="even" r:id="rId16"/>
      <w:headerReference w:type="default" r:id="rId1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D200D" w14:textId="77777777" w:rsidR="00ED34B4" w:rsidRDefault="00ED34B4" w:rsidP="00ED34B4">
      <w:r>
        <w:separator/>
      </w:r>
    </w:p>
  </w:endnote>
  <w:endnote w:type="continuationSeparator" w:id="0">
    <w:p w14:paraId="5FE72C46" w14:textId="77777777" w:rsidR="00ED34B4" w:rsidRDefault="00ED34B4" w:rsidP="00ED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7423B7" w14:textId="77777777" w:rsidR="00ED34B4" w:rsidRDefault="00ED34B4" w:rsidP="00ED34B4">
      <w:r>
        <w:separator/>
      </w:r>
    </w:p>
  </w:footnote>
  <w:footnote w:type="continuationSeparator" w:id="0">
    <w:p w14:paraId="0FEDD40C" w14:textId="77777777" w:rsidR="00ED34B4" w:rsidRDefault="00ED34B4" w:rsidP="00ED34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65789" w14:textId="77777777" w:rsidR="00ED34B4" w:rsidRDefault="00ED34B4" w:rsidP="00557D1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0FF066" w14:textId="77777777" w:rsidR="00ED34B4" w:rsidRDefault="00ED34B4" w:rsidP="00ED34B4">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924D8" w14:textId="6B5F0BEC" w:rsidR="00ED34B4" w:rsidRDefault="00ED34B4" w:rsidP="00557D17">
    <w:pPr>
      <w:pStyle w:val="Header"/>
      <w:framePr w:wrap="around" w:vAnchor="text" w:hAnchor="margin" w:xAlign="right" w:y="1"/>
      <w:rPr>
        <w:rStyle w:val="PageNumber"/>
      </w:rPr>
    </w:pPr>
    <w:r>
      <w:rPr>
        <w:rStyle w:val="PageNumber"/>
      </w:rPr>
      <w:t xml:space="preserve">Ahsan </w:t>
    </w: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1525361" w14:textId="149DB2AB" w:rsidR="00ED34B4" w:rsidRDefault="00ED34B4" w:rsidP="00ED34B4">
    <w:pPr>
      <w:pStyle w:val="Header"/>
      <w:tabs>
        <w:tab w:val="clear" w:pos="4320"/>
        <w:tab w:val="clear" w:pos="8640"/>
        <w:tab w:val="left" w:pos="7540"/>
      </w:tabs>
      <w:ind w:right="360"/>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D7A"/>
    <w:rsid w:val="00043936"/>
    <w:rsid w:val="00060C70"/>
    <w:rsid w:val="00062986"/>
    <w:rsid w:val="00081E19"/>
    <w:rsid w:val="00093F63"/>
    <w:rsid w:val="000B5C55"/>
    <w:rsid w:val="000D5C70"/>
    <w:rsid w:val="000D6108"/>
    <w:rsid w:val="000E00E2"/>
    <w:rsid w:val="000F6868"/>
    <w:rsid w:val="0011077B"/>
    <w:rsid w:val="00110EFC"/>
    <w:rsid w:val="0011587F"/>
    <w:rsid w:val="00121794"/>
    <w:rsid w:val="00126A9C"/>
    <w:rsid w:val="00150165"/>
    <w:rsid w:val="0018444A"/>
    <w:rsid w:val="00190CE4"/>
    <w:rsid w:val="00192531"/>
    <w:rsid w:val="001C7D7A"/>
    <w:rsid w:val="001D5FBD"/>
    <w:rsid w:val="001E5F7E"/>
    <w:rsid w:val="00232278"/>
    <w:rsid w:val="00234C4C"/>
    <w:rsid w:val="00291B36"/>
    <w:rsid w:val="002E48D7"/>
    <w:rsid w:val="003055F0"/>
    <w:rsid w:val="00307A9A"/>
    <w:rsid w:val="003108F9"/>
    <w:rsid w:val="003269BA"/>
    <w:rsid w:val="003465F0"/>
    <w:rsid w:val="00383B9C"/>
    <w:rsid w:val="0039180D"/>
    <w:rsid w:val="00396CF8"/>
    <w:rsid w:val="003B34C4"/>
    <w:rsid w:val="003C4674"/>
    <w:rsid w:val="003D3E50"/>
    <w:rsid w:val="003E3374"/>
    <w:rsid w:val="003F5DEB"/>
    <w:rsid w:val="003F79F0"/>
    <w:rsid w:val="003F7B16"/>
    <w:rsid w:val="00427097"/>
    <w:rsid w:val="004739A5"/>
    <w:rsid w:val="0047539E"/>
    <w:rsid w:val="00487B75"/>
    <w:rsid w:val="00492491"/>
    <w:rsid w:val="004A040B"/>
    <w:rsid w:val="004C0C00"/>
    <w:rsid w:val="004D3EF4"/>
    <w:rsid w:val="004D44F7"/>
    <w:rsid w:val="004E03C9"/>
    <w:rsid w:val="004F06AB"/>
    <w:rsid w:val="00502318"/>
    <w:rsid w:val="005418AB"/>
    <w:rsid w:val="005810E5"/>
    <w:rsid w:val="00581F34"/>
    <w:rsid w:val="00594D74"/>
    <w:rsid w:val="005964CE"/>
    <w:rsid w:val="005C302E"/>
    <w:rsid w:val="005C3B93"/>
    <w:rsid w:val="005D6294"/>
    <w:rsid w:val="005E03DC"/>
    <w:rsid w:val="005F1B9C"/>
    <w:rsid w:val="00623110"/>
    <w:rsid w:val="00624338"/>
    <w:rsid w:val="00633541"/>
    <w:rsid w:val="0064552E"/>
    <w:rsid w:val="00675CF7"/>
    <w:rsid w:val="00686812"/>
    <w:rsid w:val="0069470D"/>
    <w:rsid w:val="006952A9"/>
    <w:rsid w:val="006A2A5B"/>
    <w:rsid w:val="006B3BDB"/>
    <w:rsid w:val="006C172D"/>
    <w:rsid w:val="006D167A"/>
    <w:rsid w:val="006E6F99"/>
    <w:rsid w:val="00730A92"/>
    <w:rsid w:val="00762699"/>
    <w:rsid w:val="00765FB7"/>
    <w:rsid w:val="00775727"/>
    <w:rsid w:val="007B0C35"/>
    <w:rsid w:val="007B19B6"/>
    <w:rsid w:val="007B2CC4"/>
    <w:rsid w:val="007C5A1B"/>
    <w:rsid w:val="007C6286"/>
    <w:rsid w:val="00810CCE"/>
    <w:rsid w:val="00813262"/>
    <w:rsid w:val="00821175"/>
    <w:rsid w:val="008330AE"/>
    <w:rsid w:val="0084526B"/>
    <w:rsid w:val="008936A3"/>
    <w:rsid w:val="0089592D"/>
    <w:rsid w:val="008B005F"/>
    <w:rsid w:val="008B165E"/>
    <w:rsid w:val="008C1E1B"/>
    <w:rsid w:val="008C4AF5"/>
    <w:rsid w:val="008D1E26"/>
    <w:rsid w:val="008E7CEB"/>
    <w:rsid w:val="008F7460"/>
    <w:rsid w:val="00903F5E"/>
    <w:rsid w:val="00927CF9"/>
    <w:rsid w:val="00931E63"/>
    <w:rsid w:val="00963D51"/>
    <w:rsid w:val="009679EA"/>
    <w:rsid w:val="00972B6C"/>
    <w:rsid w:val="0097535C"/>
    <w:rsid w:val="00976966"/>
    <w:rsid w:val="0098211F"/>
    <w:rsid w:val="009878C9"/>
    <w:rsid w:val="009B37B9"/>
    <w:rsid w:val="009B558C"/>
    <w:rsid w:val="009E086D"/>
    <w:rsid w:val="009E53B0"/>
    <w:rsid w:val="00A02F11"/>
    <w:rsid w:val="00A059D8"/>
    <w:rsid w:val="00A20095"/>
    <w:rsid w:val="00A2502D"/>
    <w:rsid w:val="00A27D7E"/>
    <w:rsid w:val="00A362DB"/>
    <w:rsid w:val="00A45135"/>
    <w:rsid w:val="00A61EE3"/>
    <w:rsid w:val="00A70A43"/>
    <w:rsid w:val="00A77DA5"/>
    <w:rsid w:val="00A86131"/>
    <w:rsid w:val="00A95941"/>
    <w:rsid w:val="00A95DDA"/>
    <w:rsid w:val="00AD7653"/>
    <w:rsid w:val="00B23D17"/>
    <w:rsid w:val="00B26014"/>
    <w:rsid w:val="00B31907"/>
    <w:rsid w:val="00B35DBB"/>
    <w:rsid w:val="00B42662"/>
    <w:rsid w:val="00B75C3C"/>
    <w:rsid w:val="00BC2521"/>
    <w:rsid w:val="00C14D81"/>
    <w:rsid w:val="00C25E1A"/>
    <w:rsid w:val="00C26CB3"/>
    <w:rsid w:val="00C315D1"/>
    <w:rsid w:val="00C476A8"/>
    <w:rsid w:val="00C552C5"/>
    <w:rsid w:val="00C60B17"/>
    <w:rsid w:val="00C60EDE"/>
    <w:rsid w:val="00C74E48"/>
    <w:rsid w:val="00C82B83"/>
    <w:rsid w:val="00CA082C"/>
    <w:rsid w:val="00CA20AD"/>
    <w:rsid w:val="00CD2326"/>
    <w:rsid w:val="00CD5021"/>
    <w:rsid w:val="00CD785E"/>
    <w:rsid w:val="00D012DB"/>
    <w:rsid w:val="00D36DD6"/>
    <w:rsid w:val="00D45063"/>
    <w:rsid w:val="00D91A56"/>
    <w:rsid w:val="00D9790A"/>
    <w:rsid w:val="00DB2A96"/>
    <w:rsid w:val="00DE5DD1"/>
    <w:rsid w:val="00E12A2E"/>
    <w:rsid w:val="00E17A05"/>
    <w:rsid w:val="00E41B06"/>
    <w:rsid w:val="00E653A3"/>
    <w:rsid w:val="00E802E8"/>
    <w:rsid w:val="00E97DCA"/>
    <w:rsid w:val="00EB25EF"/>
    <w:rsid w:val="00ED34B4"/>
    <w:rsid w:val="00F140A8"/>
    <w:rsid w:val="00F27DF9"/>
    <w:rsid w:val="00F3416E"/>
    <w:rsid w:val="00F428A7"/>
    <w:rsid w:val="00F42E99"/>
    <w:rsid w:val="00F436AB"/>
    <w:rsid w:val="00F476F0"/>
    <w:rsid w:val="00F73BC3"/>
    <w:rsid w:val="00F86DBB"/>
    <w:rsid w:val="00F924F1"/>
    <w:rsid w:val="00FA1079"/>
    <w:rsid w:val="00FB0697"/>
    <w:rsid w:val="00FB3B77"/>
    <w:rsid w:val="00FC3750"/>
    <w:rsid w:val="00FC7F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1F7859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0A92"/>
    <w:pPr>
      <w:ind w:left="720"/>
      <w:contextualSpacing/>
    </w:pPr>
  </w:style>
  <w:style w:type="table" w:styleId="TableGrid">
    <w:name w:val="Table Grid"/>
    <w:basedOn w:val="TableNormal"/>
    <w:uiPriority w:val="59"/>
    <w:rsid w:val="00FC7F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10EFC"/>
    <w:rPr>
      <w:color w:val="0000FF" w:themeColor="hyperlink"/>
      <w:u w:val="single"/>
    </w:rPr>
  </w:style>
  <w:style w:type="paragraph" w:styleId="BalloonText">
    <w:name w:val="Balloon Text"/>
    <w:basedOn w:val="Normal"/>
    <w:link w:val="BalloonTextChar"/>
    <w:uiPriority w:val="99"/>
    <w:semiHidden/>
    <w:unhideWhenUsed/>
    <w:rsid w:val="0011587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587F"/>
    <w:rPr>
      <w:rFonts w:ascii="Lucida Grande" w:hAnsi="Lucida Grande" w:cs="Lucida Grande"/>
      <w:sz w:val="18"/>
      <w:szCs w:val="18"/>
    </w:rPr>
  </w:style>
  <w:style w:type="character" w:customStyle="1" w:styleId="citationtext">
    <w:name w:val="citation_text"/>
    <w:basedOn w:val="DefaultParagraphFont"/>
    <w:rsid w:val="009E086D"/>
  </w:style>
  <w:style w:type="paragraph" w:styleId="Header">
    <w:name w:val="header"/>
    <w:basedOn w:val="Normal"/>
    <w:link w:val="HeaderChar"/>
    <w:uiPriority w:val="99"/>
    <w:unhideWhenUsed/>
    <w:rsid w:val="00ED34B4"/>
    <w:pPr>
      <w:tabs>
        <w:tab w:val="center" w:pos="4320"/>
        <w:tab w:val="right" w:pos="8640"/>
      </w:tabs>
    </w:pPr>
  </w:style>
  <w:style w:type="character" w:customStyle="1" w:styleId="HeaderChar">
    <w:name w:val="Header Char"/>
    <w:basedOn w:val="DefaultParagraphFont"/>
    <w:link w:val="Header"/>
    <w:uiPriority w:val="99"/>
    <w:rsid w:val="00ED34B4"/>
  </w:style>
  <w:style w:type="paragraph" w:styleId="Footer">
    <w:name w:val="footer"/>
    <w:basedOn w:val="Normal"/>
    <w:link w:val="FooterChar"/>
    <w:uiPriority w:val="99"/>
    <w:unhideWhenUsed/>
    <w:rsid w:val="00ED34B4"/>
    <w:pPr>
      <w:tabs>
        <w:tab w:val="center" w:pos="4320"/>
        <w:tab w:val="right" w:pos="8640"/>
      </w:tabs>
    </w:pPr>
  </w:style>
  <w:style w:type="character" w:customStyle="1" w:styleId="FooterChar">
    <w:name w:val="Footer Char"/>
    <w:basedOn w:val="DefaultParagraphFont"/>
    <w:link w:val="Footer"/>
    <w:uiPriority w:val="99"/>
    <w:rsid w:val="00ED34B4"/>
  </w:style>
  <w:style w:type="character" w:styleId="PageNumber">
    <w:name w:val="page number"/>
    <w:basedOn w:val="DefaultParagraphFont"/>
    <w:uiPriority w:val="99"/>
    <w:semiHidden/>
    <w:unhideWhenUsed/>
    <w:rsid w:val="00ED34B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0A92"/>
    <w:pPr>
      <w:ind w:left="720"/>
      <w:contextualSpacing/>
    </w:pPr>
  </w:style>
  <w:style w:type="table" w:styleId="TableGrid">
    <w:name w:val="Table Grid"/>
    <w:basedOn w:val="TableNormal"/>
    <w:uiPriority w:val="59"/>
    <w:rsid w:val="00FC7F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10EFC"/>
    <w:rPr>
      <w:color w:val="0000FF" w:themeColor="hyperlink"/>
      <w:u w:val="single"/>
    </w:rPr>
  </w:style>
  <w:style w:type="paragraph" w:styleId="BalloonText">
    <w:name w:val="Balloon Text"/>
    <w:basedOn w:val="Normal"/>
    <w:link w:val="BalloonTextChar"/>
    <w:uiPriority w:val="99"/>
    <w:semiHidden/>
    <w:unhideWhenUsed/>
    <w:rsid w:val="0011587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587F"/>
    <w:rPr>
      <w:rFonts w:ascii="Lucida Grande" w:hAnsi="Lucida Grande" w:cs="Lucida Grande"/>
      <w:sz w:val="18"/>
      <w:szCs w:val="18"/>
    </w:rPr>
  </w:style>
  <w:style w:type="character" w:customStyle="1" w:styleId="citationtext">
    <w:name w:val="citation_text"/>
    <w:basedOn w:val="DefaultParagraphFont"/>
    <w:rsid w:val="009E086D"/>
  </w:style>
  <w:style w:type="paragraph" w:styleId="Header">
    <w:name w:val="header"/>
    <w:basedOn w:val="Normal"/>
    <w:link w:val="HeaderChar"/>
    <w:uiPriority w:val="99"/>
    <w:unhideWhenUsed/>
    <w:rsid w:val="00ED34B4"/>
    <w:pPr>
      <w:tabs>
        <w:tab w:val="center" w:pos="4320"/>
        <w:tab w:val="right" w:pos="8640"/>
      </w:tabs>
    </w:pPr>
  </w:style>
  <w:style w:type="character" w:customStyle="1" w:styleId="HeaderChar">
    <w:name w:val="Header Char"/>
    <w:basedOn w:val="DefaultParagraphFont"/>
    <w:link w:val="Header"/>
    <w:uiPriority w:val="99"/>
    <w:rsid w:val="00ED34B4"/>
  </w:style>
  <w:style w:type="paragraph" w:styleId="Footer">
    <w:name w:val="footer"/>
    <w:basedOn w:val="Normal"/>
    <w:link w:val="FooterChar"/>
    <w:uiPriority w:val="99"/>
    <w:unhideWhenUsed/>
    <w:rsid w:val="00ED34B4"/>
    <w:pPr>
      <w:tabs>
        <w:tab w:val="center" w:pos="4320"/>
        <w:tab w:val="right" w:pos="8640"/>
      </w:tabs>
    </w:pPr>
  </w:style>
  <w:style w:type="character" w:customStyle="1" w:styleId="FooterChar">
    <w:name w:val="Footer Char"/>
    <w:basedOn w:val="DefaultParagraphFont"/>
    <w:link w:val="Footer"/>
    <w:uiPriority w:val="99"/>
    <w:rsid w:val="00ED34B4"/>
  </w:style>
  <w:style w:type="character" w:styleId="PageNumber">
    <w:name w:val="page number"/>
    <w:basedOn w:val="DefaultParagraphFont"/>
    <w:uiPriority w:val="99"/>
    <w:semiHidden/>
    <w:unhideWhenUsed/>
    <w:rsid w:val="00ED3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653062">
      <w:bodyDiv w:val="1"/>
      <w:marLeft w:val="0"/>
      <w:marRight w:val="0"/>
      <w:marTop w:val="0"/>
      <w:marBottom w:val="0"/>
      <w:divBdr>
        <w:top w:val="none" w:sz="0" w:space="0" w:color="auto"/>
        <w:left w:val="none" w:sz="0" w:space="0" w:color="auto"/>
        <w:bottom w:val="none" w:sz="0" w:space="0" w:color="auto"/>
        <w:right w:val="none" w:sz="0" w:space="0" w:color="auto"/>
      </w:divBdr>
    </w:div>
    <w:div w:id="1856534694">
      <w:bodyDiv w:val="1"/>
      <w:marLeft w:val="0"/>
      <w:marRight w:val="0"/>
      <w:marTop w:val="0"/>
      <w:marBottom w:val="0"/>
      <w:divBdr>
        <w:top w:val="none" w:sz="0" w:space="0" w:color="auto"/>
        <w:left w:val="none" w:sz="0" w:space="0" w:color="auto"/>
        <w:bottom w:val="none" w:sz="0" w:space="0" w:color="auto"/>
        <w:right w:val="none" w:sz="0" w:space="0" w:color="auto"/>
      </w:divBdr>
      <w:divsChild>
        <w:div w:id="1871642686">
          <w:marLeft w:val="0"/>
          <w:marRight w:val="0"/>
          <w:marTop w:val="0"/>
          <w:marBottom w:val="0"/>
          <w:divBdr>
            <w:top w:val="none" w:sz="0" w:space="0" w:color="auto"/>
            <w:left w:val="none" w:sz="0" w:space="0" w:color="auto"/>
            <w:bottom w:val="none" w:sz="0" w:space="0" w:color="auto"/>
            <w:right w:val="none" w:sz="0" w:space="0" w:color="auto"/>
          </w:divBdr>
        </w:div>
        <w:div w:id="1216502654">
          <w:marLeft w:val="0"/>
          <w:marRight w:val="0"/>
          <w:marTop w:val="0"/>
          <w:marBottom w:val="0"/>
          <w:divBdr>
            <w:top w:val="none" w:sz="0" w:space="0" w:color="auto"/>
            <w:left w:val="none" w:sz="0" w:space="0" w:color="auto"/>
            <w:bottom w:val="none" w:sz="0" w:space="0" w:color="auto"/>
            <w:right w:val="none" w:sz="0" w:space="0" w:color="auto"/>
          </w:divBdr>
        </w:div>
        <w:div w:id="153105207">
          <w:marLeft w:val="0"/>
          <w:marRight w:val="0"/>
          <w:marTop w:val="0"/>
          <w:marBottom w:val="0"/>
          <w:divBdr>
            <w:top w:val="none" w:sz="0" w:space="0" w:color="auto"/>
            <w:left w:val="none" w:sz="0" w:space="0" w:color="auto"/>
            <w:bottom w:val="none" w:sz="0" w:space="0" w:color="auto"/>
            <w:right w:val="none" w:sz="0" w:space="0" w:color="auto"/>
          </w:divBdr>
        </w:div>
        <w:div w:id="1731072241">
          <w:marLeft w:val="0"/>
          <w:marRight w:val="0"/>
          <w:marTop w:val="0"/>
          <w:marBottom w:val="0"/>
          <w:divBdr>
            <w:top w:val="none" w:sz="0" w:space="0" w:color="auto"/>
            <w:left w:val="none" w:sz="0" w:space="0" w:color="auto"/>
            <w:bottom w:val="none" w:sz="0" w:space="0" w:color="auto"/>
            <w:right w:val="none" w:sz="0" w:space="0" w:color="auto"/>
          </w:divBdr>
        </w:div>
      </w:divsChild>
    </w:div>
    <w:div w:id="1979144747">
      <w:bodyDiv w:val="1"/>
      <w:marLeft w:val="0"/>
      <w:marRight w:val="0"/>
      <w:marTop w:val="0"/>
      <w:marBottom w:val="0"/>
      <w:divBdr>
        <w:top w:val="none" w:sz="0" w:space="0" w:color="auto"/>
        <w:left w:val="none" w:sz="0" w:space="0" w:color="auto"/>
        <w:bottom w:val="none" w:sz="0" w:space="0" w:color="auto"/>
        <w:right w:val="none" w:sz="0" w:space="0" w:color="auto"/>
      </w:divBdr>
      <w:divsChild>
        <w:div w:id="1845436654">
          <w:marLeft w:val="0"/>
          <w:marRight w:val="0"/>
          <w:marTop w:val="0"/>
          <w:marBottom w:val="0"/>
          <w:divBdr>
            <w:top w:val="none" w:sz="0" w:space="0" w:color="auto"/>
            <w:left w:val="none" w:sz="0" w:space="0" w:color="auto"/>
            <w:bottom w:val="none" w:sz="0" w:space="0" w:color="auto"/>
            <w:right w:val="none" w:sz="0" w:space="0" w:color="auto"/>
          </w:divBdr>
        </w:div>
        <w:div w:id="1240948601">
          <w:marLeft w:val="0"/>
          <w:marRight w:val="0"/>
          <w:marTop w:val="0"/>
          <w:marBottom w:val="0"/>
          <w:divBdr>
            <w:top w:val="none" w:sz="0" w:space="0" w:color="auto"/>
            <w:left w:val="none" w:sz="0" w:space="0" w:color="auto"/>
            <w:bottom w:val="none" w:sz="0" w:space="0" w:color="auto"/>
            <w:right w:val="none" w:sz="0" w:space="0" w:color="auto"/>
          </w:divBdr>
        </w:div>
        <w:div w:id="1489710177">
          <w:marLeft w:val="0"/>
          <w:marRight w:val="0"/>
          <w:marTop w:val="0"/>
          <w:marBottom w:val="0"/>
          <w:divBdr>
            <w:top w:val="none" w:sz="0" w:space="0" w:color="auto"/>
            <w:left w:val="none" w:sz="0" w:space="0" w:color="auto"/>
            <w:bottom w:val="none" w:sz="0" w:space="0" w:color="auto"/>
            <w:right w:val="none" w:sz="0" w:space="0" w:color="auto"/>
          </w:divBdr>
        </w:div>
        <w:div w:id="45922621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hart" Target="charts/chart1.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ahsanzafru:Documents:Samiha:Loeffler%20Lab%20Work:Thesis%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2400"/>
            </a:pPr>
            <a:r>
              <a:rPr lang="en-US" sz="2400"/>
              <a:t>Time</a:t>
            </a:r>
            <a:r>
              <a:rPr lang="en-US" sz="2400" baseline="0"/>
              <a:t> vs. mmoles Nitrate </a:t>
            </a:r>
            <a:endParaRPr lang="en-US" sz="2400"/>
          </a:p>
        </c:rich>
      </c:tx>
      <c:layout/>
      <c:overlay val="0"/>
    </c:title>
    <c:autoTitleDeleted val="0"/>
    <c:plotArea>
      <c:layout/>
      <c:scatterChart>
        <c:scatterStyle val="lineMarker"/>
        <c:varyColors val="0"/>
        <c:ser>
          <c:idx val="2"/>
          <c:order val="0"/>
          <c:tx>
            <c:v>Transfer 2</c:v>
          </c:tx>
          <c:xVal>
            <c:numRef>
              <c:f>Sheet1!$C$11:$C$13</c:f>
              <c:numCache>
                <c:formatCode>General</c:formatCode>
                <c:ptCount val="3"/>
                <c:pt idx="0">
                  <c:v>0.0</c:v>
                </c:pt>
                <c:pt idx="1">
                  <c:v>5.0</c:v>
                </c:pt>
                <c:pt idx="2">
                  <c:v>27.0</c:v>
                </c:pt>
              </c:numCache>
            </c:numRef>
          </c:xVal>
          <c:yVal>
            <c:numRef>
              <c:f>Sheet1!$E$11:$E$13</c:f>
              <c:numCache>
                <c:formatCode>General</c:formatCode>
                <c:ptCount val="3"/>
                <c:pt idx="0">
                  <c:v>3.3</c:v>
                </c:pt>
                <c:pt idx="1">
                  <c:v>3.3</c:v>
                </c:pt>
                <c:pt idx="2">
                  <c:v>0.0</c:v>
                </c:pt>
              </c:numCache>
            </c:numRef>
          </c:yVal>
          <c:smooth val="0"/>
        </c:ser>
        <c:ser>
          <c:idx val="3"/>
          <c:order val="1"/>
          <c:tx>
            <c:v>Transfer 5</c:v>
          </c:tx>
          <c:xVal>
            <c:numRef>
              <c:f>Sheet1!$C$16:$C$18</c:f>
              <c:numCache>
                <c:formatCode>0.00</c:formatCode>
                <c:ptCount val="3"/>
                <c:pt idx="0">
                  <c:v>0.0</c:v>
                </c:pt>
                <c:pt idx="1">
                  <c:v>2.0</c:v>
                </c:pt>
                <c:pt idx="2">
                  <c:v>4.0</c:v>
                </c:pt>
              </c:numCache>
            </c:numRef>
          </c:xVal>
          <c:yVal>
            <c:numRef>
              <c:f>Sheet1!$E$16:$E$18</c:f>
              <c:numCache>
                <c:formatCode>General</c:formatCode>
                <c:ptCount val="3"/>
                <c:pt idx="0">
                  <c:v>3.3</c:v>
                </c:pt>
                <c:pt idx="1">
                  <c:v>3.3</c:v>
                </c:pt>
                <c:pt idx="2">
                  <c:v>0.0</c:v>
                </c:pt>
              </c:numCache>
            </c:numRef>
          </c:yVal>
          <c:smooth val="0"/>
        </c:ser>
        <c:ser>
          <c:idx val="4"/>
          <c:order val="2"/>
          <c:tx>
            <c:v>Transfer 7</c:v>
          </c:tx>
          <c:xVal>
            <c:numRef>
              <c:f>Sheet1!$C$22:$C$26</c:f>
              <c:numCache>
                <c:formatCode>General</c:formatCode>
                <c:ptCount val="5"/>
                <c:pt idx="0">
                  <c:v>0.0</c:v>
                </c:pt>
                <c:pt idx="1">
                  <c:v>1.0625</c:v>
                </c:pt>
                <c:pt idx="2">
                  <c:v>1.9375</c:v>
                </c:pt>
                <c:pt idx="3">
                  <c:v>2.3125</c:v>
                </c:pt>
                <c:pt idx="4">
                  <c:v>3.916666666664241</c:v>
                </c:pt>
              </c:numCache>
            </c:numRef>
          </c:xVal>
          <c:yVal>
            <c:numRef>
              <c:f>Sheet1!$E$22:$E$26</c:f>
              <c:numCache>
                <c:formatCode>General</c:formatCode>
                <c:ptCount val="5"/>
                <c:pt idx="0">
                  <c:v>3.3</c:v>
                </c:pt>
                <c:pt idx="1">
                  <c:v>3.3</c:v>
                </c:pt>
                <c:pt idx="2">
                  <c:v>3.3</c:v>
                </c:pt>
                <c:pt idx="3">
                  <c:v>1.32</c:v>
                </c:pt>
                <c:pt idx="4">
                  <c:v>0.0</c:v>
                </c:pt>
              </c:numCache>
            </c:numRef>
          </c:yVal>
          <c:smooth val="0"/>
        </c:ser>
        <c:dLbls>
          <c:showLegendKey val="0"/>
          <c:showVal val="0"/>
          <c:showCatName val="0"/>
          <c:showSerName val="0"/>
          <c:showPercent val="0"/>
          <c:showBubbleSize val="0"/>
        </c:dLbls>
        <c:axId val="2124360328"/>
        <c:axId val="2134386104"/>
      </c:scatterChart>
      <c:valAx>
        <c:axId val="2124360328"/>
        <c:scaling>
          <c:orientation val="minMax"/>
        </c:scaling>
        <c:delete val="0"/>
        <c:axPos val="b"/>
        <c:title>
          <c:tx>
            <c:rich>
              <a:bodyPr/>
              <a:lstStyle/>
              <a:p>
                <a:pPr>
                  <a:defRPr sz="2000"/>
                </a:pPr>
                <a:r>
                  <a:rPr lang="en-US" sz="2000"/>
                  <a:t>Time</a:t>
                </a:r>
                <a:r>
                  <a:rPr lang="en-US" sz="2000" baseline="0"/>
                  <a:t> (Days)</a:t>
                </a:r>
                <a:endParaRPr lang="en-US" sz="2000"/>
              </a:p>
            </c:rich>
          </c:tx>
          <c:layout/>
          <c:overlay val="0"/>
        </c:title>
        <c:numFmt formatCode="General" sourceLinked="1"/>
        <c:majorTickMark val="in"/>
        <c:minorTickMark val="none"/>
        <c:tickLblPos val="nextTo"/>
        <c:spPr>
          <a:ln>
            <a:solidFill>
              <a:schemeClr val="tx1"/>
            </a:solidFill>
          </a:ln>
        </c:spPr>
        <c:txPr>
          <a:bodyPr/>
          <a:lstStyle/>
          <a:p>
            <a:pPr>
              <a:defRPr b="1"/>
            </a:pPr>
            <a:endParaRPr lang="en-US"/>
          </a:p>
        </c:txPr>
        <c:crossAx val="2134386104"/>
        <c:crosses val="autoZero"/>
        <c:crossBetween val="midCat"/>
      </c:valAx>
      <c:valAx>
        <c:axId val="2134386104"/>
        <c:scaling>
          <c:orientation val="minMax"/>
          <c:min val="0.0"/>
        </c:scaling>
        <c:delete val="0"/>
        <c:axPos val="l"/>
        <c:majorGridlines/>
        <c:title>
          <c:tx>
            <c:rich>
              <a:bodyPr rot="-5400000" vert="horz"/>
              <a:lstStyle/>
              <a:p>
                <a:pPr>
                  <a:defRPr sz="2000"/>
                </a:pPr>
                <a:r>
                  <a:rPr lang="en-US" sz="2000" baseline="0"/>
                  <a:t>Nitrate Concentration (mM)</a:t>
                </a:r>
                <a:endParaRPr lang="en-US" sz="2000"/>
              </a:p>
            </c:rich>
          </c:tx>
          <c:layout/>
          <c:overlay val="0"/>
        </c:title>
        <c:numFmt formatCode="General" sourceLinked="1"/>
        <c:majorTickMark val="in"/>
        <c:minorTickMark val="none"/>
        <c:tickLblPos val="nextTo"/>
        <c:spPr>
          <a:ln>
            <a:solidFill>
              <a:schemeClr val="tx1"/>
            </a:solidFill>
          </a:ln>
        </c:spPr>
        <c:txPr>
          <a:bodyPr/>
          <a:lstStyle/>
          <a:p>
            <a:pPr>
              <a:defRPr b="1"/>
            </a:pPr>
            <a:endParaRPr lang="en-US"/>
          </a:p>
        </c:txPr>
        <c:crossAx val="2124360328"/>
        <c:crosses val="autoZero"/>
        <c:crossBetween val="midCat"/>
      </c:valAx>
    </c:plotArea>
    <c:legend>
      <c:legendPos val="r"/>
      <c:layout/>
      <c:overlay val="0"/>
      <c:txPr>
        <a:bodyPr/>
        <a:lstStyle/>
        <a:p>
          <a:pPr>
            <a:defRPr sz="1400" b="1"/>
          </a:pPr>
          <a:endParaRPr lang="en-US"/>
        </a:p>
      </c:txPr>
    </c:legend>
    <c:plotVisOnly val="1"/>
    <c:dispBlanksAs val="span"/>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366</TotalTime>
  <Pages>22</Pages>
  <Words>2766</Words>
  <Characters>15769</Characters>
  <Application>Microsoft Macintosh Word</Application>
  <DocSecurity>0</DocSecurity>
  <Lines>131</Lines>
  <Paragraphs>36</Paragraphs>
  <ScaleCrop>false</ScaleCrop>
  <Company/>
  <LinksUpToDate>false</LinksUpToDate>
  <CharactersWithSpaces>18499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Zafrul Ahsan</dc:creator>
  <cp:keywords/>
  <dc:description/>
  <cp:lastModifiedBy>Zafrul Ahsan</cp:lastModifiedBy>
  <cp:revision>132</cp:revision>
  <dcterms:created xsi:type="dcterms:W3CDTF">2016-12-07T00:23:00Z</dcterms:created>
  <dcterms:modified xsi:type="dcterms:W3CDTF">2016-12-08T19:38:00Z</dcterms:modified>
</cp:coreProperties>
</file>