
<file path=[Content_Types].xml><?xml version="1.0" encoding="utf-8"?>
<Types xmlns="http://schemas.openxmlformats.org/package/2006/content-types">
  <Default Extension="png" ContentType="image/png"/>
  <Default Extension="emf" ContentType="image/x-emf"/>
  <Default Extension="jpeg" ContentType="image/jpeg"/>
  <Default Extension="wmf" ContentType="image/x-w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drawings/drawing1.xml" ContentType="application/vnd.openxmlformats-officedocument.drawingml.chartshapes+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charts/chart13.xml" ContentType="application/vnd.openxmlformats-officedocument.drawingml.chart+xml"/>
  <Override PartName="/word/theme/themeOverride1.xml" ContentType="application/vnd.openxmlformats-officedocument.themeOverride+xml"/>
  <Override PartName="/word/charts/chart14.xml" ContentType="application/vnd.openxmlformats-officedocument.drawingml.chart+xml"/>
  <Override PartName="/word/charts/chart15.xml" ContentType="application/vnd.openxmlformats-officedocument.drawingml.chart+xml"/>
  <Override PartName="/word/charts/chart16.xml" ContentType="application/vnd.openxmlformats-officedocument.drawingml.chart+xml"/>
  <Override PartName="/word/charts/chart17.xml" ContentType="application/vnd.openxmlformats-officedocument.drawingml.chart+xml"/>
  <Override PartName="/word/charts/chart18.xml" ContentType="application/vnd.openxmlformats-officedocument.drawingml.chart+xml"/>
  <Override PartName="/word/charts/chart19.xml" ContentType="application/vnd.openxmlformats-officedocument.drawingml.chart+xml"/>
  <Override PartName="/word/charts/chart20.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0ED4B0" w14:textId="1DAC44FA" w:rsidR="004621FC" w:rsidRDefault="004621FC" w:rsidP="004621FC">
      <w:pPr>
        <w:rPr>
          <w:rFonts w:cs="Times New Roman"/>
          <w:sz w:val="36"/>
        </w:rPr>
      </w:pPr>
      <w:r>
        <w:rPr>
          <w:rFonts w:cs="Times New Roman"/>
          <w:sz w:val="36"/>
        </w:rPr>
        <w:t xml:space="preserve">Assessment of Reactivity </w:t>
      </w:r>
      <w:r w:rsidR="003E2292">
        <w:rPr>
          <w:rFonts w:cs="Times New Roman"/>
          <w:sz w:val="36"/>
        </w:rPr>
        <w:t>Equivalence</w:t>
      </w:r>
      <w:r>
        <w:rPr>
          <w:rFonts w:cs="Times New Roman"/>
          <w:sz w:val="36"/>
        </w:rPr>
        <w:t xml:space="preserve"> for</w:t>
      </w:r>
      <w:r w:rsidR="003E2292">
        <w:rPr>
          <w:rFonts w:cs="Times New Roman"/>
          <w:sz w:val="36"/>
        </w:rPr>
        <w:t xml:space="preserve"> Enhanced</w:t>
      </w:r>
    </w:p>
    <w:p w14:paraId="7C024424" w14:textId="77777777" w:rsidR="004621FC" w:rsidRPr="00930141" w:rsidRDefault="004621FC" w:rsidP="004621FC">
      <w:pPr>
        <w:rPr>
          <w:rFonts w:cs="Times New Roman"/>
          <w:sz w:val="36"/>
        </w:rPr>
      </w:pPr>
      <w:r w:rsidRPr="00930141">
        <w:rPr>
          <w:rFonts w:cs="Times New Roman"/>
          <w:sz w:val="36"/>
        </w:rPr>
        <w:t>Accident Tolerant Fuel</w:t>
      </w:r>
      <w:r>
        <w:rPr>
          <w:rFonts w:cs="Times New Roman"/>
          <w:sz w:val="36"/>
        </w:rPr>
        <w:t>s</w:t>
      </w:r>
      <w:r w:rsidRPr="00930141">
        <w:rPr>
          <w:rFonts w:cs="Times New Roman"/>
          <w:sz w:val="36"/>
        </w:rPr>
        <w:t xml:space="preserve"> </w:t>
      </w:r>
      <w:r>
        <w:rPr>
          <w:rFonts w:cs="Times New Roman"/>
          <w:sz w:val="36"/>
        </w:rPr>
        <w:t xml:space="preserve">in </w:t>
      </w:r>
      <w:r w:rsidRPr="00930141">
        <w:rPr>
          <w:rFonts w:cs="Times New Roman"/>
          <w:sz w:val="36"/>
        </w:rPr>
        <w:t>Light Water Reactor</w:t>
      </w:r>
      <w:r>
        <w:rPr>
          <w:rFonts w:cs="Times New Roman"/>
          <w:sz w:val="36"/>
        </w:rPr>
        <w:t>s</w:t>
      </w:r>
    </w:p>
    <w:p w14:paraId="7DFD21F8" w14:textId="77777777" w:rsidR="004621FC" w:rsidRPr="00930141" w:rsidRDefault="004621FC" w:rsidP="004621FC">
      <w:pPr>
        <w:rPr>
          <w:rFonts w:cs="Times New Roman"/>
        </w:rPr>
      </w:pPr>
    </w:p>
    <w:p w14:paraId="730D21E6" w14:textId="77777777" w:rsidR="004621FC" w:rsidRPr="00930141" w:rsidRDefault="004621FC" w:rsidP="004621FC">
      <w:pPr>
        <w:rPr>
          <w:rFonts w:cs="Times New Roman"/>
        </w:rPr>
      </w:pPr>
    </w:p>
    <w:p w14:paraId="59DA69AB" w14:textId="77777777" w:rsidR="004621FC" w:rsidRDefault="004621FC" w:rsidP="004621FC">
      <w:pPr>
        <w:rPr>
          <w:rFonts w:cs="Times New Roman"/>
        </w:rPr>
      </w:pPr>
    </w:p>
    <w:p w14:paraId="0DD2AD72" w14:textId="77777777" w:rsidR="00D64BBA" w:rsidRDefault="00D64BBA" w:rsidP="004621FC">
      <w:pPr>
        <w:rPr>
          <w:rFonts w:cs="Times New Roman"/>
        </w:rPr>
      </w:pPr>
    </w:p>
    <w:p w14:paraId="6654A303" w14:textId="77777777" w:rsidR="00D64BBA" w:rsidRDefault="00D64BBA" w:rsidP="004621FC">
      <w:pPr>
        <w:rPr>
          <w:rFonts w:cs="Times New Roman"/>
        </w:rPr>
      </w:pPr>
    </w:p>
    <w:p w14:paraId="57FE978F" w14:textId="77777777" w:rsidR="00D64BBA" w:rsidRDefault="00D64BBA" w:rsidP="004621FC">
      <w:pPr>
        <w:rPr>
          <w:rFonts w:cs="Times New Roman"/>
        </w:rPr>
      </w:pPr>
    </w:p>
    <w:p w14:paraId="5D09313F" w14:textId="77777777" w:rsidR="00D64BBA" w:rsidRPr="00930141" w:rsidRDefault="00D64BBA" w:rsidP="004621FC">
      <w:pPr>
        <w:rPr>
          <w:rFonts w:cs="Times New Roman"/>
        </w:rPr>
      </w:pPr>
    </w:p>
    <w:p w14:paraId="2B149B5D" w14:textId="77777777" w:rsidR="004621FC" w:rsidRPr="008944AB" w:rsidRDefault="004621FC" w:rsidP="004621FC">
      <w:pPr>
        <w:rPr>
          <w:rFonts w:cs="Times New Roman"/>
        </w:rPr>
      </w:pPr>
    </w:p>
    <w:p w14:paraId="50991B3F" w14:textId="7C3DDF6F" w:rsidR="004621FC" w:rsidRDefault="00D64BBA" w:rsidP="004621FC">
      <w:pPr>
        <w:pStyle w:val="NoSpacing"/>
        <w:rPr>
          <w:rFonts w:cs="Times New Roman"/>
        </w:rPr>
      </w:pPr>
      <w:r>
        <w:rPr>
          <w:rFonts w:cs="Times New Roman"/>
        </w:rPr>
        <w:t xml:space="preserve">A </w:t>
      </w:r>
      <w:r w:rsidR="004621FC" w:rsidRPr="008944AB">
        <w:rPr>
          <w:rFonts w:cs="Times New Roman"/>
        </w:rPr>
        <w:t>Dissertation</w:t>
      </w:r>
      <w:r w:rsidR="004621FC">
        <w:rPr>
          <w:rFonts w:cs="Times New Roman"/>
        </w:rPr>
        <w:t xml:space="preserve"> Presented for </w:t>
      </w:r>
      <w:r>
        <w:rPr>
          <w:rFonts w:cs="Times New Roman"/>
        </w:rPr>
        <w:t xml:space="preserve">the </w:t>
      </w:r>
    </w:p>
    <w:p w14:paraId="1CB71F46" w14:textId="24193464" w:rsidR="004621FC" w:rsidRDefault="009D58C1" w:rsidP="004621FC">
      <w:pPr>
        <w:pStyle w:val="NoSpacing"/>
        <w:rPr>
          <w:rFonts w:cs="Times New Roman"/>
        </w:rPr>
      </w:pPr>
      <w:r>
        <w:rPr>
          <w:rFonts w:cs="Times New Roman"/>
        </w:rPr>
        <w:t>Doctor</w:t>
      </w:r>
      <w:r w:rsidR="004621FC">
        <w:rPr>
          <w:rFonts w:cs="Times New Roman"/>
        </w:rPr>
        <w:t xml:space="preserve"> of Philosophy</w:t>
      </w:r>
    </w:p>
    <w:p w14:paraId="75FBAE7A" w14:textId="53616978" w:rsidR="00D64BBA" w:rsidRDefault="00D64BBA" w:rsidP="004621FC">
      <w:pPr>
        <w:pStyle w:val="NoSpacing"/>
        <w:rPr>
          <w:rFonts w:cs="Times New Roman"/>
        </w:rPr>
      </w:pPr>
      <w:r>
        <w:rPr>
          <w:rFonts w:cs="Times New Roman"/>
        </w:rPr>
        <w:t>Degree</w:t>
      </w:r>
    </w:p>
    <w:p w14:paraId="38377CAC" w14:textId="5B17F0B1" w:rsidR="004621FC" w:rsidRPr="008944AB" w:rsidRDefault="00D64BBA" w:rsidP="004621FC">
      <w:pPr>
        <w:pStyle w:val="NoSpacing"/>
        <w:rPr>
          <w:rFonts w:cs="Times New Roman"/>
        </w:rPr>
      </w:pPr>
      <w:r>
        <w:rPr>
          <w:rFonts w:cs="Times New Roman"/>
        </w:rPr>
        <w:t xml:space="preserve">The </w:t>
      </w:r>
      <w:r w:rsidR="004621FC">
        <w:rPr>
          <w:rFonts w:cs="Times New Roman"/>
        </w:rPr>
        <w:t>University of Tennessee, Knoxville</w:t>
      </w:r>
      <w:r w:rsidR="004621FC" w:rsidRPr="008944AB">
        <w:rPr>
          <w:rFonts w:cs="Times New Roman"/>
        </w:rPr>
        <w:t xml:space="preserve"> </w:t>
      </w:r>
    </w:p>
    <w:p w14:paraId="43B6ADD2" w14:textId="77777777" w:rsidR="004621FC" w:rsidRPr="008944AB" w:rsidRDefault="004621FC" w:rsidP="004621FC">
      <w:pPr>
        <w:pStyle w:val="NoSpacing"/>
        <w:rPr>
          <w:rFonts w:cs="Times New Roman"/>
        </w:rPr>
      </w:pPr>
    </w:p>
    <w:p w14:paraId="52373B3D" w14:textId="77777777" w:rsidR="004621FC" w:rsidRPr="008944AB" w:rsidRDefault="004621FC" w:rsidP="004621FC">
      <w:pPr>
        <w:pStyle w:val="NoSpacing"/>
        <w:rPr>
          <w:rFonts w:cs="Times New Roman"/>
        </w:rPr>
      </w:pPr>
    </w:p>
    <w:p w14:paraId="139B5B3E" w14:textId="77777777" w:rsidR="00D64BBA" w:rsidRDefault="00D64BBA" w:rsidP="00D64BBA">
      <w:pPr>
        <w:pStyle w:val="NoSpacing"/>
        <w:jc w:val="both"/>
        <w:rPr>
          <w:rFonts w:cs="Times New Roman"/>
        </w:rPr>
      </w:pPr>
    </w:p>
    <w:p w14:paraId="44B33818" w14:textId="77777777" w:rsidR="00D64BBA" w:rsidRDefault="00D64BBA" w:rsidP="00D64BBA">
      <w:pPr>
        <w:pStyle w:val="NoSpacing"/>
        <w:jc w:val="both"/>
        <w:rPr>
          <w:rFonts w:cs="Times New Roman"/>
        </w:rPr>
      </w:pPr>
    </w:p>
    <w:p w14:paraId="19BA2996" w14:textId="77777777" w:rsidR="00D64BBA" w:rsidRDefault="00D64BBA" w:rsidP="004621FC">
      <w:pPr>
        <w:pStyle w:val="NoSpacing"/>
        <w:rPr>
          <w:rFonts w:cs="Times New Roman"/>
        </w:rPr>
      </w:pPr>
    </w:p>
    <w:p w14:paraId="15DA1A64" w14:textId="77777777" w:rsidR="00D64BBA" w:rsidRDefault="00D64BBA" w:rsidP="004621FC">
      <w:pPr>
        <w:pStyle w:val="NoSpacing"/>
        <w:rPr>
          <w:rFonts w:cs="Times New Roman"/>
        </w:rPr>
      </w:pPr>
    </w:p>
    <w:p w14:paraId="6B3318F6" w14:textId="77777777" w:rsidR="00D64BBA" w:rsidRDefault="00D64BBA" w:rsidP="004621FC">
      <w:pPr>
        <w:pStyle w:val="NoSpacing"/>
        <w:rPr>
          <w:rFonts w:cs="Times New Roman"/>
        </w:rPr>
      </w:pPr>
    </w:p>
    <w:p w14:paraId="22517CC5" w14:textId="77777777" w:rsidR="00D64BBA" w:rsidRDefault="00D64BBA" w:rsidP="004621FC">
      <w:pPr>
        <w:pStyle w:val="NoSpacing"/>
        <w:rPr>
          <w:rFonts w:cs="Times New Roman"/>
        </w:rPr>
      </w:pPr>
    </w:p>
    <w:p w14:paraId="2B2C5E85" w14:textId="77777777" w:rsidR="00D64BBA" w:rsidRDefault="00D64BBA" w:rsidP="004621FC">
      <w:pPr>
        <w:pStyle w:val="NoSpacing"/>
        <w:rPr>
          <w:rFonts w:cs="Times New Roman"/>
        </w:rPr>
      </w:pPr>
    </w:p>
    <w:p w14:paraId="6032DCB2" w14:textId="77777777" w:rsidR="00D64BBA" w:rsidRDefault="00D64BBA" w:rsidP="004621FC">
      <w:pPr>
        <w:pStyle w:val="NoSpacing"/>
        <w:rPr>
          <w:rFonts w:cs="Times New Roman"/>
        </w:rPr>
      </w:pPr>
    </w:p>
    <w:p w14:paraId="1A498457" w14:textId="77777777" w:rsidR="00D64BBA" w:rsidRDefault="00D64BBA" w:rsidP="004621FC">
      <w:pPr>
        <w:pStyle w:val="NoSpacing"/>
        <w:rPr>
          <w:rFonts w:cs="Times New Roman"/>
        </w:rPr>
      </w:pPr>
    </w:p>
    <w:p w14:paraId="1166B1C2" w14:textId="77777777" w:rsidR="00D64BBA" w:rsidRDefault="00D64BBA" w:rsidP="004621FC">
      <w:pPr>
        <w:pStyle w:val="NoSpacing"/>
        <w:rPr>
          <w:rFonts w:cs="Times New Roman"/>
        </w:rPr>
      </w:pPr>
    </w:p>
    <w:p w14:paraId="2BBE2323" w14:textId="77777777" w:rsidR="00D64BBA" w:rsidRDefault="00D64BBA" w:rsidP="004621FC">
      <w:pPr>
        <w:pStyle w:val="NoSpacing"/>
        <w:rPr>
          <w:rFonts w:cs="Times New Roman"/>
        </w:rPr>
      </w:pPr>
    </w:p>
    <w:p w14:paraId="3856D061" w14:textId="77777777" w:rsidR="00D64BBA" w:rsidRDefault="00D64BBA" w:rsidP="004621FC">
      <w:pPr>
        <w:pStyle w:val="NoSpacing"/>
        <w:rPr>
          <w:rFonts w:cs="Times New Roman"/>
        </w:rPr>
      </w:pPr>
    </w:p>
    <w:p w14:paraId="7584EAD5" w14:textId="77777777" w:rsidR="00D64BBA" w:rsidRDefault="00D64BBA" w:rsidP="004621FC">
      <w:pPr>
        <w:pStyle w:val="NoSpacing"/>
        <w:rPr>
          <w:rFonts w:cs="Times New Roman"/>
        </w:rPr>
      </w:pPr>
    </w:p>
    <w:p w14:paraId="0731E62B" w14:textId="77777777" w:rsidR="00D64BBA" w:rsidRDefault="00D64BBA" w:rsidP="004621FC">
      <w:pPr>
        <w:pStyle w:val="NoSpacing"/>
        <w:rPr>
          <w:rFonts w:cs="Times New Roman"/>
        </w:rPr>
      </w:pPr>
    </w:p>
    <w:p w14:paraId="2057AB9B" w14:textId="77777777" w:rsidR="00D64BBA" w:rsidRDefault="00D64BBA" w:rsidP="004621FC">
      <w:pPr>
        <w:pStyle w:val="NoSpacing"/>
        <w:rPr>
          <w:rFonts w:cs="Times New Roman"/>
        </w:rPr>
      </w:pPr>
    </w:p>
    <w:p w14:paraId="5E5F24AF" w14:textId="77777777" w:rsidR="00D64BBA" w:rsidRDefault="00D64BBA" w:rsidP="004621FC">
      <w:pPr>
        <w:pStyle w:val="NoSpacing"/>
        <w:rPr>
          <w:rFonts w:cs="Times New Roman"/>
        </w:rPr>
      </w:pPr>
    </w:p>
    <w:p w14:paraId="021F1383" w14:textId="77777777" w:rsidR="00D64BBA" w:rsidRPr="008944AB" w:rsidRDefault="00D64BBA" w:rsidP="004621FC">
      <w:pPr>
        <w:pStyle w:val="NoSpacing"/>
        <w:rPr>
          <w:rFonts w:cs="Times New Roman"/>
        </w:rPr>
      </w:pPr>
    </w:p>
    <w:p w14:paraId="683D36D6" w14:textId="6F4B59D3" w:rsidR="004621FC" w:rsidRPr="008944AB" w:rsidRDefault="00D64BBA" w:rsidP="00D64BBA">
      <w:pPr>
        <w:pStyle w:val="NoSpacing"/>
        <w:rPr>
          <w:rFonts w:cs="Times New Roman"/>
        </w:rPr>
      </w:pPr>
      <w:r>
        <w:rPr>
          <w:rFonts w:cs="Times New Roman"/>
        </w:rPr>
        <w:t>Nathan Michael</w:t>
      </w:r>
      <w:r w:rsidR="004621FC" w:rsidRPr="008944AB">
        <w:rPr>
          <w:rFonts w:cs="Times New Roman"/>
        </w:rPr>
        <w:t xml:space="preserve"> George</w:t>
      </w:r>
    </w:p>
    <w:p w14:paraId="7D6B4F70" w14:textId="28BFE8BA" w:rsidR="004621FC" w:rsidRPr="00930141" w:rsidRDefault="00D64BBA" w:rsidP="001D553C">
      <w:pPr>
        <w:pStyle w:val="NoSpacing"/>
        <w:rPr>
          <w:rFonts w:cs="Times New Roman"/>
        </w:rPr>
      </w:pPr>
      <w:r>
        <w:rPr>
          <w:rFonts w:cs="Times New Roman"/>
        </w:rPr>
        <w:t>May</w:t>
      </w:r>
      <w:r w:rsidR="004621FC">
        <w:rPr>
          <w:rFonts w:cs="Times New Roman"/>
        </w:rPr>
        <w:t xml:space="preserve"> 2015</w:t>
      </w:r>
    </w:p>
    <w:p w14:paraId="18D36FAE" w14:textId="77777777" w:rsidR="003F7C50" w:rsidRDefault="003F7C50" w:rsidP="004621FC">
      <w:pPr>
        <w:jc w:val="both"/>
        <w:rPr>
          <w:rFonts w:cs="Times New Roman"/>
          <w:sz w:val="36"/>
        </w:rPr>
        <w:sectPr w:rsidR="003F7C50" w:rsidSect="00E304CE">
          <w:footerReference w:type="default" r:id="rId9"/>
          <w:footerReference w:type="first" r:id="rId10"/>
          <w:pgSz w:w="12240" w:h="15840" w:code="1"/>
          <w:pgMar w:top="1440" w:right="1440" w:bottom="1440" w:left="1440" w:header="720" w:footer="1440" w:gutter="0"/>
          <w:pgNumType w:fmt="lowerRoman" w:start="2"/>
          <w:cols w:space="720"/>
          <w:docGrid w:linePitch="360"/>
        </w:sectPr>
      </w:pPr>
    </w:p>
    <w:p w14:paraId="02702096" w14:textId="77777777" w:rsidR="003759CF" w:rsidRDefault="003759CF" w:rsidP="00977094">
      <w:pPr>
        <w:jc w:val="both"/>
        <w:rPr>
          <w:rFonts w:cs="Times New Roman"/>
        </w:rPr>
      </w:pPr>
    </w:p>
    <w:p w14:paraId="229EBAB7" w14:textId="77777777" w:rsidR="008D356E" w:rsidRDefault="008D356E" w:rsidP="008D356E">
      <w:pPr>
        <w:jc w:val="both"/>
        <w:rPr>
          <w:rFonts w:cs="Times New Roman"/>
        </w:rPr>
      </w:pPr>
    </w:p>
    <w:p w14:paraId="3E6DB601" w14:textId="77777777" w:rsidR="008D356E" w:rsidRDefault="008D356E" w:rsidP="008D356E">
      <w:pPr>
        <w:jc w:val="both"/>
        <w:rPr>
          <w:rFonts w:cs="Times New Roman"/>
        </w:rPr>
      </w:pPr>
    </w:p>
    <w:p w14:paraId="11EC25B3" w14:textId="77777777" w:rsidR="008D356E" w:rsidRDefault="008D356E">
      <w:pPr>
        <w:rPr>
          <w:rFonts w:cs="Times New Roman"/>
        </w:rPr>
      </w:pPr>
    </w:p>
    <w:p w14:paraId="2B6EF5A2" w14:textId="77777777" w:rsidR="008D356E" w:rsidRPr="00930141" w:rsidRDefault="008D356E">
      <w:pPr>
        <w:rPr>
          <w:rFonts w:cs="Times New Roman"/>
        </w:rPr>
      </w:pPr>
    </w:p>
    <w:p w14:paraId="5AD204C4" w14:textId="77777777" w:rsidR="008D356E" w:rsidRPr="008D356E" w:rsidRDefault="008D356E" w:rsidP="008D356E">
      <w:pPr>
        <w:autoSpaceDE w:val="0"/>
        <w:autoSpaceDN w:val="0"/>
        <w:adjustRightInd w:val="0"/>
        <w:spacing w:after="0" w:line="240" w:lineRule="auto"/>
        <w:rPr>
          <w:rFonts w:cs="Times New Roman"/>
          <w:szCs w:val="24"/>
        </w:rPr>
      </w:pPr>
      <w:r>
        <w:rPr>
          <w:rFonts w:cs="Times New Roman"/>
          <w:szCs w:val="24"/>
        </w:rPr>
        <w:t>Copyright © 2015</w:t>
      </w:r>
      <w:r w:rsidRPr="008D356E">
        <w:rPr>
          <w:rFonts w:cs="Times New Roman"/>
          <w:szCs w:val="24"/>
        </w:rPr>
        <w:t xml:space="preserve"> by </w:t>
      </w:r>
      <w:r>
        <w:rPr>
          <w:rFonts w:cs="Times New Roman"/>
          <w:szCs w:val="24"/>
        </w:rPr>
        <w:t>Nathan Michael George</w:t>
      </w:r>
    </w:p>
    <w:p w14:paraId="460DC6E4" w14:textId="77777777" w:rsidR="00FF59C0" w:rsidRPr="008D356E" w:rsidRDefault="008D356E" w:rsidP="008D356E">
      <w:pPr>
        <w:rPr>
          <w:rFonts w:cs="Times New Roman"/>
        </w:rPr>
      </w:pPr>
      <w:r w:rsidRPr="008D356E">
        <w:rPr>
          <w:rFonts w:cs="Times New Roman"/>
          <w:szCs w:val="24"/>
        </w:rPr>
        <w:t>All rights reserved.</w:t>
      </w:r>
    </w:p>
    <w:p w14:paraId="1994040E" w14:textId="77777777" w:rsidR="00F03945" w:rsidRDefault="00F03945" w:rsidP="00CB4940">
      <w:pPr>
        <w:jc w:val="both"/>
        <w:rPr>
          <w:rFonts w:cs="Times New Roman"/>
          <w:b/>
          <w:color w:val="FF0000"/>
          <w:sz w:val="32"/>
          <w:szCs w:val="24"/>
        </w:rPr>
      </w:pPr>
    </w:p>
    <w:p w14:paraId="5E6C3DCA" w14:textId="77777777" w:rsidR="00F03945" w:rsidRDefault="00F03945" w:rsidP="00CB4940">
      <w:pPr>
        <w:jc w:val="both"/>
        <w:rPr>
          <w:rFonts w:cs="Times New Roman"/>
          <w:b/>
          <w:color w:val="FF0000"/>
          <w:sz w:val="32"/>
          <w:szCs w:val="24"/>
        </w:rPr>
      </w:pPr>
    </w:p>
    <w:p w14:paraId="798B4AC4" w14:textId="77777777" w:rsidR="00F03945" w:rsidRDefault="00F03945" w:rsidP="00CB4940">
      <w:pPr>
        <w:jc w:val="both"/>
        <w:rPr>
          <w:rFonts w:cs="Times New Roman"/>
          <w:b/>
          <w:color w:val="FF0000"/>
          <w:sz w:val="32"/>
          <w:szCs w:val="24"/>
        </w:rPr>
      </w:pPr>
    </w:p>
    <w:p w14:paraId="6FC03FFB" w14:textId="77777777" w:rsidR="00F03945" w:rsidRDefault="00F03945" w:rsidP="00CB4940">
      <w:pPr>
        <w:jc w:val="both"/>
        <w:rPr>
          <w:rFonts w:cs="Times New Roman"/>
          <w:b/>
          <w:color w:val="FF0000"/>
          <w:sz w:val="32"/>
          <w:szCs w:val="24"/>
        </w:rPr>
      </w:pPr>
    </w:p>
    <w:p w14:paraId="3D6366E9" w14:textId="77777777" w:rsidR="00F03945" w:rsidRDefault="00F03945" w:rsidP="00CB4940">
      <w:pPr>
        <w:jc w:val="both"/>
        <w:rPr>
          <w:rFonts w:cs="Times New Roman"/>
          <w:b/>
          <w:color w:val="FF0000"/>
          <w:sz w:val="32"/>
          <w:szCs w:val="24"/>
        </w:rPr>
      </w:pPr>
    </w:p>
    <w:p w14:paraId="296FD3AF" w14:textId="77777777" w:rsidR="00F03945" w:rsidRDefault="00F03945" w:rsidP="00CB4940">
      <w:pPr>
        <w:jc w:val="both"/>
        <w:rPr>
          <w:rFonts w:cs="Times New Roman"/>
          <w:b/>
          <w:color w:val="FF0000"/>
          <w:sz w:val="32"/>
          <w:szCs w:val="24"/>
        </w:rPr>
      </w:pPr>
    </w:p>
    <w:p w14:paraId="4218AEA6" w14:textId="77777777" w:rsidR="00F03945" w:rsidRDefault="00F03945" w:rsidP="00CB4940">
      <w:pPr>
        <w:jc w:val="both"/>
        <w:rPr>
          <w:rFonts w:cs="Times New Roman"/>
          <w:b/>
          <w:color w:val="FF0000"/>
          <w:sz w:val="32"/>
          <w:szCs w:val="24"/>
        </w:rPr>
      </w:pPr>
    </w:p>
    <w:p w14:paraId="47F0FA7C" w14:textId="77777777" w:rsidR="00F03945" w:rsidRDefault="00F03945" w:rsidP="00CB4940">
      <w:pPr>
        <w:jc w:val="both"/>
        <w:rPr>
          <w:rFonts w:cs="Times New Roman"/>
          <w:b/>
          <w:color w:val="FF0000"/>
          <w:sz w:val="32"/>
          <w:szCs w:val="24"/>
        </w:rPr>
      </w:pPr>
    </w:p>
    <w:p w14:paraId="02C63B45" w14:textId="77777777" w:rsidR="00F03945" w:rsidRDefault="00F03945" w:rsidP="00CB4940">
      <w:pPr>
        <w:jc w:val="both"/>
        <w:rPr>
          <w:rFonts w:cs="Times New Roman"/>
          <w:b/>
          <w:color w:val="FF0000"/>
          <w:sz w:val="32"/>
          <w:szCs w:val="24"/>
        </w:rPr>
      </w:pPr>
    </w:p>
    <w:p w14:paraId="09DC7FD7" w14:textId="77777777" w:rsidR="00F03945" w:rsidRDefault="00F03945" w:rsidP="00CB4940">
      <w:pPr>
        <w:jc w:val="both"/>
        <w:rPr>
          <w:rFonts w:cs="Times New Roman"/>
          <w:b/>
          <w:color w:val="FF0000"/>
          <w:sz w:val="32"/>
          <w:szCs w:val="24"/>
        </w:rPr>
      </w:pPr>
    </w:p>
    <w:p w14:paraId="6B21104E" w14:textId="77777777" w:rsidR="00F03945" w:rsidRDefault="00F03945" w:rsidP="00CB4940">
      <w:pPr>
        <w:jc w:val="both"/>
        <w:rPr>
          <w:rFonts w:cs="Times New Roman"/>
          <w:b/>
          <w:color w:val="FF0000"/>
          <w:sz w:val="32"/>
          <w:szCs w:val="24"/>
        </w:rPr>
      </w:pPr>
    </w:p>
    <w:p w14:paraId="6E7B6FD1" w14:textId="77777777" w:rsidR="00F03945" w:rsidRDefault="00F03945" w:rsidP="00CB4940">
      <w:pPr>
        <w:jc w:val="both"/>
        <w:rPr>
          <w:rFonts w:cs="Times New Roman"/>
          <w:b/>
          <w:color w:val="FF0000"/>
          <w:sz w:val="32"/>
          <w:szCs w:val="24"/>
        </w:rPr>
      </w:pPr>
    </w:p>
    <w:p w14:paraId="107DA0C9" w14:textId="77777777" w:rsidR="00F03945" w:rsidRDefault="00F03945" w:rsidP="00CB4940">
      <w:pPr>
        <w:jc w:val="both"/>
        <w:rPr>
          <w:rFonts w:cs="Times New Roman"/>
          <w:b/>
          <w:color w:val="FF0000"/>
          <w:sz w:val="32"/>
          <w:szCs w:val="24"/>
        </w:rPr>
      </w:pPr>
    </w:p>
    <w:p w14:paraId="14FEF59D" w14:textId="77777777" w:rsidR="00841991" w:rsidRDefault="00841991" w:rsidP="00CB4940">
      <w:pPr>
        <w:jc w:val="both"/>
        <w:rPr>
          <w:rFonts w:cs="Times New Roman"/>
          <w:b/>
          <w:color w:val="FF0000"/>
          <w:sz w:val="32"/>
          <w:szCs w:val="24"/>
        </w:rPr>
      </w:pPr>
    </w:p>
    <w:p w14:paraId="681272FE" w14:textId="3261D7D5" w:rsidR="0067301C" w:rsidRPr="005032C0" w:rsidRDefault="003D6D4C" w:rsidP="00CB4940">
      <w:pPr>
        <w:jc w:val="both"/>
        <w:rPr>
          <w:rFonts w:cs="Times New Roman"/>
          <w:b/>
          <w:sz w:val="32"/>
          <w:szCs w:val="24"/>
        </w:rPr>
      </w:pPr>
      <w:r>
        <w:rPr>
          <w:rFonts w:cs="Times New Roman"/>
          <w:b/>
          <w:sz w:val="32"/>
          <w:szCs w:val="24"/>
        </w:rPr>
        <w:lastRenderedPageBreak/>
        <w:t>ABSTRACT</w:t>
      </w:r>
    </w:p>
    <w:p w14:paraId="26D27B60" w14:textId="627439AD" w:rsidR="00216D18" w:rsidRPr="009E206D" w:rsidRDefault="008D40DD" w:rsidP="002515C4">
      <w:pPr>
        <w:spacing w:line="240" w:lineRule="auto"/>
        <w:jc w:val="both"/>
        <w:rPr>
          <w:rFonts w:cs="Times New Roman"/>
          <w:szCs w:val="24"/>
        </w:rPr>
      </w:pPr>
      <w:r w:rsidRPr="009E206D">
        <w:rPr>
          <w:rFonts w:cs="Times New Roman"/>
          <w:szCs w:val="24"/>
        </w:rPr>
        <w:t>The neutronic behavior of a</w:t>
      </w:r>
      <w:r w:rsidR="00E032C7" w:rsidRPr="009E206D">
        <w:rPr>
          <w:rFonts w:cs="Times New Roman"/>
          <w:szCs w:val="24"/>
        </w:rPr>
        <w:t xml:space="preserve">ccident tolerant fuel </w:t>
      </w:r>
      <w:r w:rsidR="002515C4" w:rsidRPr="009E206D">
        <w:rPr>
          <w:rFonts w:cs="Times New Roman"/>
          <w:szCs w:val="24"/>
        </w:rPr>
        <w:t xml:space="preserve">(ATF) </w:t>
      </w:r>
      <w:r w:rsidR="00E032C7" w:rsidRPr="009E206D">
        <w:rPr>
          <w:rFonts w:cs="Times New Roman"/>
          <w:szCs w:val="24"/>
        </w:rPr>
        <w:t xml:space="preserve">concepts </w:t>
      </w:r>
      <w:r w:rsidRPr="009E206D">
        <w:rPr>
          <w:rFonts w:cs="Times New Roman"/>
          <w:szCs w:val="24"/>
        </w:rPr>
        <w:t>was</w:t>
      </w:r>
      <w:r w:rsidR="00E032C7" w:rsidRPr="009E206D">
        <w:rPr>
          <w:rFonts w:cs="Times New Roman"/>
          <w:szCs w:val="24"/>
        </w:rPr>
        <w:t xml:space="preserve"> </w:t>
      </w:r>
      <w:r w:rsidR="00216D18" w:rsidRPr="009E206D">
        <w:rPr>
          <w:rFonts w:cs="Times New Roman"/>
          <w:szCs w:val="24"/>
        </w:rPr>
        <w:t xml:space="preserve">simulated </w:t>
      </w:r>
      <w:r w:rsidR="00E032C7" w:rsidRPr="009E206D">
        <w:rPr>
          <w:rFonts w:cs="Times New Roman"/>
          <w:szCs w:val="24"/>
        </w:rPr>
        <w:t>in light water reactors (LWR</w:t>
      </w:r>
      <w:r w:rsidR="00F26E81" w:rsidRPr="009E206D">
        <w:rPr>
          <w:rFonts w:cs="Times New Roman"/>
          <w:szCs w:val="24"/>
        </w:rPr>
        <w:t>s</w:t>
      </w:r>
      <w:r w:rsidR="00E032C7" w:rsidRPr="009E206D">
        <w:rPr>
          <w:rFonts w:cs="Times New Roman"/>
          <w:szCs w:val="24"/>
        </w:rPr>
        <w:t>) to esta</w:t>
      </w:r>
      <w:r w:rsidR="00CB4940" w:rsidRPr="009E206D">
        <w:rPr>
          <w:rFonts w:cs="Times New Roman"/>
          <w:szCs w:val="24"/>
        </w:rPr>
        <w:t>blis</w:t>
      </w:r>
      <w:r w:rsidR="00F26E81" w:rsidRPr="009E206D">
        <w:rPr>
          <w:rFonts w:cs="Times New Roman"/>
          <w:szCs w:val="24"/>
        </w:rPr>
        <w:t>h</w:t>
      </w:r>
      <w:r w:rsidR="00CB4940" w:rsidRPr="009E206D">
        <w:rPr>
          <w:rFonts w:cs="Times New Roman"/>
          <w:szCs w:val="24"/>
        </w:rPr>
        <w:t xml:space="preserve"> design parameters t</w:t>
      </w:r>
      <w:r w:rsidR="00F26E81" w:rsidRPr="009E206D">
        <w:rPr>
          <w:rFonts w:cs="Times New Roman"/>
          <w:szCs w:val="24"/>
        </w:rPr>
        <w:t>o</w:t>
      </w:r>
      <w:r w:rsidR="00CB4940" w:rsidRPr="009E206D">
        <w:rPr>
          <w:rFonts w:cs="Times New Roman"/>
          <w:szCs w:val="24"/>
        </w:rPr>
        <w:t xml:space="preserve"> match reactivity lifetime requirements </w:t>
      </w:r>
      <w:r w:rsidR="00AA6134" w:rsidRPr="009E206D">
        <w:rPr>
          <w:rFonts w:cs="Times New Roman"/>
          <w:szCs w:val="24"/>
        </w:rPr>
        <w:t>of</w:t>
      </w:r>
      <w:r w:rsidR="00CB4940" w:rsidRPr="009E206D">
        <w:rPr>
          <w:rFonts w:cs="Times New Roman"/>
          <w:szCs w:val="24"/>
        </w:rPr>
        <w:t xml:space="preserve"> standard </w:t>
      </w:r>
      <w:r w:rsidRPr="009E206D">
        <w:rPr>
          <w:rFonts w:cs="Times New Roman"/>
          <w:szCs w:val="24"/>
        </w:rPr>
        <w:t>UO</w:t>
      </w:r>
      <w:r w:rsidRPr="009E206D">
        <w:rPr>
          <w:rFonts w:cs="Times New Roman"/>
          <w:szCs w:val="24"/>
          <w:vertAlign w:val="subscript"/>
        </w:rPr>
        <w:t>2</w:t>
      </w:r>
      <w:r w:rsidR="00922340" w:rsidRPr="009E206D">
        <w:rPr>
          <w:rFonts w:cs="Times New Roman"/>
          <w:szCs w:val="24"/>
          <w:vertAlign w:val="subscript"/>
        </w:rPr>
        <w:t xml:space="preserve"> </w:t>
      </w:r>
      <w:r w:rsidR="00922340" w:rsidRPr="009E206D">
        <w:rPr>
          <w:rFonts w:cs="Times New Roman"/>
          <w:szCs w:val="24"/>
        </w:rPr>
        <w:t>[uranium dioxide]/</w:t>
      </w:r>
      <w:r w:rsidRPr="009E206D">
        <w:rPr>
          <w:rFonts w:cs="Times New Roman"/>
          <w:szCs w:val="24"/>
        </w:rPr>
        <w:t xml:space="preserve">Zircaloy </w:t>
      </w:r>
      <w:r w:rsidR="00CB4940" w:rsidRPr="009E206D">
        <w:rPr>
          <w:rFonts w:cs="Times New Roman"/>
          <w:szCs w:val="24"/>
        </w:rPr>
        <w:t xml:space="preserve">fuel. </w:t>
      </w:r>
      <w:r w:rsidR="002515C4" w:rsidRPr="009E206D">
        <w:rPr>
          <w:rFonts w:cs="Times New Roman"/>
          <w:szCs w:val="24"/>
        </w:rPr>
        <w:t xml:space="preserve">The two </w:t>
      </w:r>
      <w:r w:rsidR="00E032C7" w:rsidRPr="009E206D">
        <w:rPr>
          <w:rFonts w:cs="Times New Roman"/>
          <w:szCs w:val="24"/>
        </w:rPr>
        <w:t>concepts discussed</w:t>
      </w:r>
      <w:r w:rsidR="00043FE7" w:rsidRPr="009E206D">
        <w:rPr>
          <w:rFonts w:cs="Times New Roman"/>
          <w:szCs w:val="24"/>
        </w:rPr>
        <w:t xml:space="preserve"> in this dissertation are fully </w:t>
      </w:r>
      <w:r w:rsidR="00E032C7" w:rsidRPr="009E206D">
        <w:rPr>
          <w:rFonts w:cs="Times New Roman"/>
          <w:szCs w:val="24"/>
        </w:rPr>
        <w:t>ceramic micro</w:t>
      </w:r>
      <w:r w:rsidR="00043FE7" w:rsidRPr="009E206D">
        <w:rPr>
          <w:rFonts w:cs="Times New Roman"/>
          <w:szCs w:val="24"/>
        </w:rPr>
        <w:t>-</w:t>
      </w:r>
      <w:r w:rsidR="00E032C7" w:rsidRPr="009E206D">
        <w:rPr>
          <w:rFonts w:cs="Times New Roman"/>
          <w:szCs w:val="24"/>
        </w:rPr>
        <w:t xml:space="preserve">encapsulated (FCM) </w:t>
      </w:r>
      <w:r w:rsidRPr="009E206D">
        <w:rPr>
          <w:rFonts w:cs="Times New Roman"/>
          <w:szCs w:val="24"/>
        </w:rPr>
        <w:t xml:space="preserve">fuel </w:t>
      </w:r>
      <w:r w:rsidR="00E032C7" w:rsidRPr="009E206D">
        <w:rPr>
          <w:rFonts w:cs="Times New Roman"/>
          <w:szCs w:val="24"/>
        </w:rPr>
        <w:t xml:space="preserve">and alternate cladding concepts. </w:t>
      </w:r>
      <w:r w:rsidR="0002696F" w:rsidRPr="009E206D">
        <w:rPr>
          <w:rFonts w:cs="Times New Roman"/>
          <w:szCs w:val="24"/>
        </w:rPr>
        <w:t xml:space="preserve">To compare the required fuel alterations </w:t>
      </w:r>
      <w:r w:rsidR="009D13E6" w:rsidRPr="009E206D">
        <w:rPr>
          <w:rFonts w:cs="Times New Roman"/>
          <w:szCs w:val="24"/>
        </w:rPr>
        <w:t>against</w:t>
      </w:r>
      <w:r w:rsidR="0002696F" w:rsidRPr="009E206D">
        <w:rPr>
          <w:rFonts w:cs="Times New Roman"/>
          <w:szCs w:val="24"/>
        </w:rPr>
        <w:t xml:space="preserve"> standard UO</w:t>
      </w:r>
      <w:r w:rsidR="0002696F" w:rsidRPr="009E206D">
        <w:rPr>
          <w:rFonts w:cs="Times New Roman"/>
          <w:szCs w:val="24"/>
          <w:vertAlign w:val="subscript"/>
        </w:rPr>
        <w:t>2</w:t>
      </w:r>
      <w:r w:rsidR="0002696F" w:rsidRPr="009E206D">
        <w:rPr>
          <w:rFonts w:cs="Times New Roman"/>
          <w:szCs w:val="24"/>
        </w:rPr>
        <w:t xml:space="preserve">/Zircaloy fuel, a </w:t>
      </w:r>
      <w:r w:rsidR="00F26E81" w:rsidRPr="009E206D">
        <w:rPr>
          <w:rFonts w:cs="Times New Roman"/>
          <w:szCs w:val="24"/>
        </w:rPr>
        <w:t xml:space="preserve">2D </w:t>
      </w:r>
      <w:r w:rsidR="009D13E6" w:rsidRPr="009E206D">
        <w:rPr>
          <w:rFonts w:cs="Times New Roman"/>
          <w:szCs w:val="24"/>
        </w:rPr>
        <w:t>lattice-physic</w:t>
      </w:r>
      <w:r w:rsidR="00F26E81" w:rsidRPr="009E206D">
        <w:rPr>
          <w:rFonts w:cs="Times New Roman"/>
          <w:szCs w:val="24"/>
        </w:rPr>
        <w:t>s</w:t>
      </w:r>
      <w:r w:rsidR="00C1327A" w:rsidRPr="009E206D">
        <w:rPr>
          <w:rFonts w:cs="Times New Roman"/>
          <w:szCs w:val="24"/>
        </w:rPr>
        <w:t xml:space="preserve"> </w:t>
      </w:r>
      <w:r w:rsidR="009D13E6" w:rsidRPr="009E206D">
        <w:rPr>
          <w:rFonts w:cs="Times New Roman"/>
          <w:szCs w:val="24"/>
        </w:rPr>
        <w:t xml:space="preserve">based </w:t>
      </w:r>
      <w:r w:rsidR="0002696F" w:rsidRPr="009E206D">
        <w:rPr>
          <w:rFonts w:cs="Times New Roman"/>
          <w:szCs w:val="24"/>
        </w:rPr>
        <w:t xml:space="preserve">reactivity equivalence method was established to </w:t>
      </w:r>
      <w:r w:rsidR="00F26E81" w:rsidRPr="009E206D">
        <w:rPr>
          <w:rFonts w:cs="Times New Roman"/>
          <w:szCs w:val="24"/>
        </w:rPr>
        <w:t xml:space="preserve">estimate excess </w:t>
      </w:r>
      <w:r w:rsidR="0002696F" w:rsidRPr="009E206D">
        <w:rPr>
          <w:rFonts w:cs="Times New Roman"/>
          <w:szCs w:val="24"/>
        </w:rPr>
        <w:t>reactivity at the completion of each weighted batch cycle.</w:t>
      </w:r>
    </w:p>
    <w:p w14:paraId="73D3EA70" w14:textId="302BE8F2" w:rsidR="00E032C7" w:rsidRPr="009E206D" w:rsidRDefault="00CB4940" w:rsidP="002515C4">
      <w:pPr>
        <w:spacing w:line="240" w:lineRule="auto"/>
        <w:jc w:val="both"/>
        <w:rPr>
          <w:rFonts w:cs="Times New Roman"/>
          <w:szCs w:val="24"/>
        </w:rPr>
      </w:pPr>
      <w:r w:rsidRPr="009E206D">
        <w:rPr>
          <w:rFonts w:cs="Times New Roman"/>
          <w:szCs w:val="24"/>
        </w:rPr>
        <w:t xml:space="preserve">In the case of FCM fuel, the uranium-based </w:t>
      </w:r>
      <w:r w:rsidR="00A9279C">
        <w:rPr>
          <w:rFonts w:cs="Times New Roman"/>
          <w:szCs w:val="24"/>
        </w:rPr>
        <w:t>tristructural isotropic (</w:t>
      </w:r>
      <w:r w:rsidR="007B1F01" w:rsidRPr="009E206D">
        <w:rPr>
          <w:rFonts w:cs="Times New Roman"/>
          <w:szCs w:val="24"/>
        </w:rPr>
        <w:t>TRISO</w:t>
      </w:r>
      <w:r w:rsidR="00A9279C">
        <w:rPr>
          <w:rFonts w:cs="Times New Roman"/>
          <w:szCs w:val="24"/>
        </w:rPr>
        <w:t>)</w:t>
      </w:r>
      <w:r w:rsidR="007B1F01" w:rsidRPr="009E206D">
        <w:rPr>
          <w:rFonts w:cs="Times New Roman"/>
          <w:szCs w:val="24"/>
        </w:rPr>
        <w:t xml:space="preserve"> </w:t>
      </w:r>
      <w:r w:rsidRPr="009E206D">
        <w:rPr>
          <w:rFonts w:cs="Times New Roman"/>
          <w:szCs w:val="24"/>
        </w:rPr>
        <w:t xml:space="preserve">kernel and the surrounding particle layers/matrix material were altered to increase fissile loading. </w:t>
      </w:r>
      <w:r w:rsidR="00E032C7" w:rsidRPr="009E206D">
        <w:t xml:space="preserve">To match the lifetime of an 18-month </w:t>
      </w:r>
      <w:r w:rsidR="00CF6E1B" w:rsidRPr="009E206D">
        <w:t>pressurized water reactor (</w:t>
      </w:r>
      <w:r w:rsidR="00E032C7" w:rsidRPr="009E206D">
        <w:t>PWR</w:t>
      </w:r>
      <w:r w:rsidR="00CF6E1B" w:rsidRPr="009E206D">
        <w:t>)</w:t>
      </w:r>
      <w:r w:rsidR="00E032C7" w:rsidRPr="009E206D">
        <w:t xml:space="preserve"> cycle</w:t>
      </w:r>
      <w:r w:rsidR="002C5284" w:rsidRPr="009E206D">
        <w:t>,</w:t>
      </w:r>
      <w:r w:rsidR="00E032C7" w:rsidRPr="009E206D">
        <w:t xml:space="preserve"> the FCM particle fuel design required roughly 10% additional fissile material at beginning of life </w:t>
      </w:r>
      <w:r w:rsidR="006224E8" w:rsidRPr="009E206D">
        <w:t xml:space="preserve">(BOL) </w:t>
      </w:r>
      <w:r w:rsidR="00E032C7" w:rsidRPr="009E206D">
        <w:t>compared with that of a standard UO</w:t>
      </w:r>
      <w:r w:rsidR="00E032C7" w:rsidRPr="009E206D">
        <w:rPr>
          <w:vertAlign w:val="subscript"/>
        </w:rPr>
        <w:t>2</w:t>
      </w:r>
      <w:r w:rsidR="009E206D" w:rsidRPr="009E206D">
        <w:t xml:space="preserve"> </w:t>
      </w:r>
      <w:r w:rsidR="00E032C7" w:rsidRPr="009E206D">
        <w:t xml:space="preserve">rod. </w:t>
      </w:r>
    </w:p>
    <w:p w14:paraId="23D5BF5A" w14:textId="52ECBFD0" w:rsidR="00216D18" w:rsidRPr="009E206D" w:rsidRDefault="00CB4940" w:rsidP="002515C4">
      <w:pPr>
        <w:spacing w:line="240" w:lineRule="auto"/>
        <w:jc w:val="both"/>
        <w:rPr>
          <w:rFonts w:cs="Times New Roman"/>
          <w:szCs w:val="24"/>
        </w:rPr>
      </w:pPr>
      <w:r w:rsidRPr="009E206D">
        <w:rPr>
          <w:rFonts w:cs="Times New Roman"/>
          <w:szCs w:val="24"/>
        </w:rPr>
        <w:t>When investiga</w:t>
      </w:r>
      <w:r w:rsidR="00216D18" w:rsidRPr="009E206D">
        <w:rPr>
          <w:rFonts w:cs="Times New Roman"/>
          <w:szCs w:val="24"/>
        </w:rPr>
        <w:t>ting alternate cladding concepts</w:t>
      </w:r>
      <w:r w:rsidRPr="009E206D">
        <w:rPr>
          <w:rFonts w:cs="Times New Roman"/>
          <w:szCs w:val="24"/>
        </w:rPr>
        <w:t>, cladding walls were thinned</w:t>
      </w:r>
      <w:r w:rsidR="00C1327A" w:rsidRPr="009E206D">
        <w:rPr>
          <w:rFonts w:cs="Times New Roman"/>
          <w:szCs w:val="24"/>
        </w:rPr>
        <w:t xml:space="preserve"> </w:t>
      </w:r>
      <w:r w:rsidR="00817F88" w:rsidRPr="009E206D">
        <w:rPr>
          <w:rFonts w:cs="Times New Roman"/>
          <w:szCs w:val="24"/>
        </w:rPr>
        <w:t>with</w:t>
      </w:r>
      <w:r w:rsidR="00C1327A" w:rsidRPr="009E206D">
        <w:rPr>
          <w:rFonts w:cs="Times New Roman"/>
          <w:szCs w:val="24"/>
        </w:rPr>
        <w:t xml:space="preserve"> the outer diamete</w:t>
      </w:r>
      <w:r w:rsidR="00817F88" w:rsidRPr="009E206D">
        <w:rPr>
          <w:rFonts w:cs="Times New Roman"/>
          <w:szCs w:val="24"/>
        </w:rPr>
        <w:t>r unchanged, so</w:t>
      </w:r>
      <w:r w:rsidR="00C1327A" w:rsidRPr="009E206D">
        <w:rPr>
          <w:rFonts w:cs="Times New Roman"/>
          <w:szCs w:val="24"/>
        </w:rPr>
        <w:t xml:space="preserve"> the </w:t>
      </w:r>
      <w:r w:rsidR="00817F88" w:rsidRPr="009E206D">
        <w:rPr>
          <w:rFonts w:cs="Times New Roman"/>
          <w:szCs w:val="24"/>
        </w:rPr>
        <w:t>pellet volume</w:t>
      </w:r>
      <w:r w:rsidRPr="009E206D">
        <w:rPr>
          <w:rFonts w:cs="Times New Roman"/>
          <w:szCs w:val="24"/>
        </w:rPr>
        <w:t xml:space="preserve"> and enrichment of UO</w:t>
      </w:r>
      <w:r w:rsidRPr="009E206D">
        <w:rPr>
          <w:rFonts w:cs="Times New Roman"/>
          <w:szCs w:val="24"/>
          <w:vertAlign w:val="subscript"/>
        </w:rPr>
        <w:t>2</w:t>
      </w:r>
      <w:r w:rsidRPr="009E206D">
        <w:rPr>
          <w:rFonts w:cs="Times New Roman"/>
          <w:szCs w:val="24"/>
        </w:rPr>
        <w:t xml:space="preserve"> fuel </w:t>
      </w:r>
      <w:r w:rsidR="00C1327A" w:rsidRPr="009E206D">
        <w:rPr>
          <w:rFonts w:cs="Times New Roman"/>
          <w:szCs w:val="24"/>
        </w:rPr>
        <w:t>were</w:t>
      </w:r>
      <w:r w:rsidRPr="009E206D">
        <w:rPr>
          <w:rFonts w:cs="Times New Roman"/>
          <w:szCs w:val="24"/>
        </w:rPr>
        <w:t xml:space="preserve"> increased. </w:t>
      </w:r>
      <w:r w:rsidR="00216D18" w:rsidRPr="009E206D">
        <w:rPr>
          <w:rFonts w:cs="Times New Roman"/>
          <w:szCs w:val="24"/>
        </w:rPr>
        <w:t xml:space="preserve">In the PWR study, </w:t>
      </w:r>
      <w:r w:rsidR="00216D18" w:rsidRPr="009E206D">
        <w:rPr>
          <w:szCs w:val="24"/>
        </w:rPr>
        <w:t xml:space="preserve">a </w:t>
      </w:r>
      <w:r w:rsidR="0002696F" w:rsidRPr="009E206D">
        <w:rPr>
          <w:szCs w:val="24"/>
        </w:rPr>
        <w:t>cladding thickness of</w:t>
      </w:r>
      <w:r w:rsidR="00216D18" w:rsidRPr="009E206D">
        <w:rPr>
          <w:szCs w:val="24"/>
        </w:rPr>
        <w:t xml:space="preserve"> 350 μm</w:t>
      </w:r>
      <w:r w:rsidR="00216D18" w:rsidRPr="009E206D" w:rsidDel="0048786A">
        <w:rPr>
          <w:szCs w:val="24"/>
        </w:rPr>
        <w:t xml:space="preserve"> </w:t>
      </w:r>
      <w:r w:rsidR="00922340" w:rsidRPr="009E206D">
        <w:rPr>
          <w:szCs w:val="24"/>
        </w:rPr>
        <w:t xml:space="preserve">[micrometer] </w:t>
      </w:r>
      <w:r w:rsidR="009E206D">
        <w:rPr>
          <w:szCs w:val="24"/>
        </w:rPr>
        <w:t>was simulated</w:t>
      </w:r>
      <w:r w:rsidR="00216D18" w:rsidRPr="009E206D">
        <w:rPr>
          <w:szCs w:val="24"/>
        </w:rPr>
        <w:t>. Austenitic stainless steels require</w:t>
      </w:r>
      <w:r w:rsidR="00BF56A0" w:rsidRPr="009E206D">
        <w:rPr>
          <w:szCs w:val="24"/>
        </w:rPr>
        <w:t>d</w:t>
      </w:r>
      <w:r w:rsidR="00216D18" w:rsidRPr="009E206D">
        <w:rPr>
          <w:szCs w:val="24"/>
        </w:rPr>
        <w:t xml:space="preserve"> an increase of </w:t>
      </w:r>
      <w:r w:rsidR="00A42FE9" w:rsidRPr="009E206D">
        <w:rPr>
          <w:szCs w:val="24"/>
        </w:rPr>
        <w:t xml:space="preserve">about </w:t>
      </w:r>
      <w:r w:rsidR="00216D18" w:rsidRPr="009E206D">
        <w:rPr>
          <w:szCs w:val="24"/>
        </w:rPr>
        <w:t>0.5 wt % enrich</w:t>
      </w:r>
      <w:r w:rsidR="00A42FE9" w:rsidRPr="009E206D">
        <w:rPr>
          <w:szCs w:val="24"/>
        </w:rPr>
        <w:t>ment</w:t>
      </w:r>
      <w:r w:rsidR="00216D18" w:rsidRPr="009E206D">
        <w:rPr>
          <w:szCs w:val="24"/>
        </w:rPr>
        <w:t xml:space="preserve"> to match fuel cycle requirements, while the required increase</w:t>
      </w:r>
      <w:r w:rsidR="005E641B" w:rsidRPr="009E206D">
        <w:rPr>
          <w:szCs w:val="24"/>
        </w:rPr>
        <w:t xml:space="preserve"> in enrichment</w:t>
      </w:r>
      <w:r w:rsidR="00216D18" w:rsidRPr="009E206D">
        <w:rPr>
          <w:szCs w:val="24"/>
        </w:rPr>
        <w:t xml:space="preserve"> for FeCrAl was about 0.1%. Due to the </w:t>
      </w:r>
      <w:r w:rsidR="00291D31" w:rsidRPr="009E206D">
        <w:rPr>
          <w:szCs w:val="24"/>
        </w:rPr>
        <w:t>presence</w:t>
      </w:r>
      <w:r w:rsidR="00216D18" w:rsidRPr="009E206D">
        <w:rPr>
          <w:szCs w:val="24"/>
        </w:rPr>
        <w:t xml:space="preserve"> of the </w:t>
      </w:r>
      <w:r w:rsidR="00BC325F" w:rsidRPr="009E206D">
        <w:rPr>
          <w:szCs w:val="24"/>
        </w:rPr>
        <w:t>channel box</w:t>
      </w:r>
      <w:r w:rsidR="00216D18" w:rsidRPr="009E206D">
        <w:rPr>
          <w:szCs w:val="24"/>
        </w:rPr>
        <w:t xml:space="preserve">, the </w:t>
      </w:r>
      <w:r w:rsidR="00AA6134" w:rsidRPr="009E206D">
        <w:rPr>
          <w:szCs w:val="24"/>
        </w:rPr>
        <w:t>boiling water reactor (</w:t>
      </w:r>
      <w:r w:rsidR="00216D18" w:rsidRPr="009E206D">
        <w:rPr>
          <w:szCs w:val="24"/>
        </w:rPr>
        <w:t>BWR</w:t>
      </w:r>
      <w:r w:rsidR="00AA6134" w:rsidRPr="009E206D">
        <w:rPr>
          <w:szCs w:val="24"/>
        </w:rPr>
        <w:t>)</w:t>
      </w:r>
      <w:r w:rsidR="00216D18" w:rsidRPr="009E206D">
        <w:rPr>
          <w:szCs w:val="24"/>
        </w:rPr>
        <w:t xml:space="preserve"> </w:t>
      </w:r>
      <w:r w:rsidR="00CF6E1B" w:rsidRPr="009E206D">
        <w:rPr>
          <w:szCs w:val="24"/>
        </w:rPr>
        <w:t>ATF designs</w:t>
      </w:r>
      <w:r w:rsidR="00216D18" w:rsidRPr="009E206D">
        <w:rPr>
          <w:szCs w:val="24"/>
        </w:rPr>
        <w:t xml:space="preserve"> required additional fissile material. </w:t>
      </w:r>
      <w:r w:rsidR="00291D31" w:rsidRPr="009E206D">
        <w:rPr>
          <w:rFonts w:cs="Times New Roman"/>
          <w:szCs w:val="24"/>
        </w:rPr>
        <w:t>With the</w:t>
      </w:r>
      <w:r w:rsidR="00A42FE9" w:rsidRPr="009E206D">
        <w:rPr>
          <w:rFonts w:cs="Times New Roman"/>
          <w:szCs w:val="24"/>
        </w:rPr>
        <w:t xml:space="preserve"> FeCrAl</w:t>
      </w:r>
      <w:r w:rsidR="00291D31" w:rsidRPr="009E206D">
        <w:rPr>
          <w:rFonts w:cs="Times New Roman"/>
          <w:szCs w:val="24"/>
        </w:rPr>
        <w:t xml:space="preserve"> cladding</w:t>
      </w:r>
      <w:r w:rsidR="00216D18" w:rsidRPr="009E206D">
        <w:rPr>
          <w:rFonts w:cs="Times New Roman"/>
          <w:szCs w:val="24"/>
        </w:rPr>
        <w:t xml:space="preserve"> and </w:t>
      </w:r>
      <w:r w:rsidR="00BC325F" w:rsidRPr="009E206D">
        <w:rPr>
          <w:rFonts w:cs="Times New Roman"/>
          <w:szCs w:val="24"/>
        </w:rPr>
        <w:t xml:space="preserve">channel box </w:t>
      </w:r>
      <w:r w:rsidR="00216D18" w:rsidRPr="009E206D">
        <w:rPr>
          <w:rFonts w:cs="Times New Roman"/>
          <w:szCs w:val="24"/>
        </w:rPr>
        <w:t>thicknesses halved, it was estimated that an average</w:t>
      </w:r>
      <w:r w:rsidR="002C5284" w:rsidRPr="009E206D">
        <w:rPr>
          <w:rFonts w:cs="Times New Roman"/>
          <w:szCs w:val="24"/>
        </w:rPr>
        <w:t xml:space="preserve"> enrichment</w:t>
      </w:r>
      <w:r w:rsidR="00216D18" w:rsidRPr="009E206D">
        <w:rPr>
          <w:rFonts w:cs="Times New Roman"/>
          <w:szCs w:val="24"/>
        </w:rPr>
        <w:t xml:space="preserve"> increase of 0.6% would be required. Verification</w:t>
      </w:r>
      <w:r w:rsidR="00514B8B" w:rsidRPr="009E206D">
        <w:rPr>
          <w:rFonts w:cs="Times New Roman"/>
          <w:szCs w:val="24"/>
        </w:rPr>
        <w:t xml:space="preserve"> of the</w:t>
      </w:r>
      <w:r w:rsidR="00216D18" w:rsidRPr="009E206D">
        <w:rPr>
          <w:rFonts w:cs="Times New Roman"/>
          <w:szCs w:val="24"/>
        </w:rPr>
        <w:t xml:space="preserve"> 2D reactivity </w:t>
      </w:r>
      <w:r w:rsidR="00A9279C">
        <w:rPr>
          <w:rFonts w:cs="Times New Roman"/>
          <w:szCs w:val="24"/>
        </w:rPr>
        <w:t>results</w:t>
      </w:r>
      <w:r w:rsidR="00A9279C" w:rsidRPr="009E206D">
        <w:rPr>
          <w:rFonts w:cs="Times New Roman"/>
          <w:szCs w:val="24"/>
        </w:rPr>
        <w:t xml:space="preserve"> </w:t>
      </w:r>
      <w:r w:rsidR="00216D18" w:rsidRPr="009E206D">
        <w:rPr>
          <w:rFonts w:cs="Times New Roman"/>
          <w:szCs w:val="24"/>
        </w:rPr>
        <w:t>was performed with a 3D full-core parametric study</w:t>
      </w:r>
      <w:r w:rsidR="00291D31" w:rsidRPr="009E206D">
        <w:rPr>
          <w:rFonts w:cs="Times New Roman"/>
          <w:szCs w:val="24"/>
        </w:rPr>
        <w:t xml:space="preserve"> </w:t>
      </w:r>
      <w:r w:rsidR="00F26E81" w:rsidRPr="009E206D">
        <w:rPr>
          <w:rFonts w:cs="Times New Roman"/>
          <w:szCs w:val="24"/>
        </w:rPr>
        <w:t xml:space="preserve">of a representative </w:t>
      </w:r>
      <w:r w:rsidR="00291D31" w:rsidRPr="009E206D">
        <w:rPr>
          <w:rFonts w:cs="Times New Roman"/>
          <w:szCs w:val="24"/>
        </w:rPr>
        <w:t>BWR</w:t>
      </w:r>
      <w:r w:rsidR="00216D18" w:rsidRPr="009E206D">
        <w:rPr>
          <w:rFonts w:cs="Times New Roman"/>
          <w:szCs w:val="24"/>
        </w:rPr>
        <w:t xml:space="preserve"> demonstrating the </w:t>
      </w:r>
      <w:r w:rsidR="00F26E81" w:rsidRPr="009E206D">
        <w:rPr>
          <w:rFonts w:cs="Times New Roman"/>
          <w:szCs w:val="24"/>
        </w:rPr>
        <w:t xml:space="preserve">applicability </w:t>
      </w:r>
      <w:r w:rsidR="00216D18" w:rsidRPr="009E206D">
        <w:rPr>
          <w:rFonts w:cs="Times New Roman"/>
          <w:szCs w:val="24"/>
        </w:rPr>
        <w:t xml:space="preserve">of the </w:t>
      </w:r>
      <w:r w:rsidR="00F26E81" w:rsidRPr="009E206D">
        <w:rPr>
          <w:rFonts w:cs="Times New Roman"/>
          <w:szCs w:val="24"/>
        </w:rPr>
        <w:t xml:space="preserve">2D </w:t>
      </w:r>
      <w:r w:rsidR="00216D18" w:rsidRPr="009E206D">
        <w:rPr>
          <w:rFonts w:cs="Times New Roman"/>
          <w:szCs w:val="24"/>
        </w:rPr>
        <w:t xml:space="preserve">reactivity </w:t>
      </w:r>
      <w:r w:rsidR="00F26E81" w:rsidRPr="009E206D">
        <w:rPr>
          <w:rFonts w:cs="Times New Roman"/>
          <w:szCs w:val="24"/>
        </w:rPr>
        <w:t xml:space="preserve">equivalence </w:t>
      </w:r>
      <w:r w:rsidR="00216D18" w:rsidRPr="009E206D">
        <w:rPr>
          <w:rFonts w:cs="Times New Roman"/>
          <w:szCs w:val="24"/>
        </w:rPr>
        <w:t>method</w:t>
      </w:r>
      <w:r w:rsidR="00F26E81" w:rsidRPr="009E206D">
        <w:rPr>
          <w:rFonts w:cs="Times New Roman"/>
          <w:szCs w:val="24"/>
        </w:rPr>
        <w:t xml:space="preserve"> for the cases herein studied.</w:t>
      </w:r>
    </w:p>
    <w:p w14:paraId="5A1AB27D" w14:textId="7F09FC35" w:rsidR="008C004F" w:rsidRPr="009E206D" w:rsidRDefault="00A42FE9" w:rsidP="002515C4">
      <w:pPr>
        <w:spacing w:line="240" w:lineRule="auto"/>
        <w:jc w:val="both"/>
        <w:rPr>
          <w:rFonts w:cs="Times New Roman"/>
          <w:szCs w:val="24"/>
        </w:rPr>
      </w:pPr>
      <w:r w:rsidRPr="009E206D">
        <w:rPr>
          <w:rFonts w:cs="Times New Roman"/>
          <w:szCs w:val="24"/>
        </w:rPr>
        <w:t>A</w:t>
      </w:r>
      <w:r w:rsidR="004F1E71" w:rsidRPr="009E206D">
        <w:rPr>
          <w:rFonts w:cs="Times New Roman"/>
          <w:szCs w:val="24"/>
        </w:rPr>
        <w:t xml:space="preserve"> LWR </w:t>
      </w:r>
      <w:r w:rsidR="00F8098D" w:rsidRPr="009E206D">
        <w:rPr>
          <w:rFonts w:cs="Times New Roman"/>
          <w:szCs w:val="24"/>
        </w:rPr>
        <w:t>optimization code (LWROpt)</w:t>
      </w:r>
      <w:r w:rsidRPr="009E206D">
        <w:rPr>
          <w:rFonts w:cs="Times New Roman"/>
          <w:szCs w:val="24"/>
        </w:rPr>
        <w:t xml:space="preserve"> was used to determine</w:t>
      </w:r>
      <w:r w:rsidR="00CB4940" w:rsidRPr="009E206D">
        <w:rPr>
          <w:rFonts w:cs="Times New Roman"/>
          <w:szCs w:val="24"/>
        </w:rPr>
        <w:t xml:space="preserve"> loading </w:t>
      </w:r>
      <w:r w:rsidR="00F155F8" w:rsidRPr="009E206D">
        <w:rPr>
          <w:rFonts w:cs="Times New Roman"/>
          <w:szCs w:val="24"/>
        </w:rPr>
        <w:t xml:space="preserve">(LP) </w:t>
      </w:r>
      <w:r w:rsidR="00CB4940" w:rsidRPr="009E206D">
        <w:rPr>
          <w:rFonts w:cs="Times New Roman"/>
          <w:szCs w:val="24"/>
        </w:rPr>
        <w:t>and control blade</w:t>
      </w:r>
      <w:r w:rsidR="005B2634" w:rsidRPr="009E206D">
        <w:rPr>
          <w:rFonts w:cs="Times New Roman"/>
          <w:szCs w:val="24"/>
        </w:rPr>
        <w:t xml:space="preserve"> </w:t>
      </w:r>
      <w:r w:rsidR="00F155F8" w:rsidRPr="009E206D">
        <w:rPr>
          <w:rFonts w:cs="Times New Roman"/>
          <w:szCs w:val="24"/>
        </w:rPr>
        <w:t xml:space="preserve">(CB) </w:t>
      </w:r>
      <w:r w:rsidR="00CB4940" w:rsidRPr="009E206D">
        <w:rPr>
          <w:rFonts w:cs="Times New Roman"/>
          <w:szCs w:val="24"/>
        </w:rPr>
        <w:t xml:space="preserve">patterns for the </w:t>
      </w:r>
      <w:r w:rsidR="004F1E71" w:rsidRPr="009E206D">
        <w:rPr>
          <w:rFonts w:cs="Times New Roman"/>
          <w:szCs w:val="24"/>
        </w:rPr>
        <w:t>ATF</w:t>
      </w:r>
      <w:r w:rsidRPr="009E206D">
        <w:rPr>
          <w:rFonts w:cs="Times New Roman"/>
          <w:szCs w:val="24"/>
        </w:rPr>
        <w:t xml:space="preserve"> </w:t>
      </w:r>
      <w:r w:rsidR="00CB4940" w:rsidRPr="009E206D">
        <w:rPr>
          <w:rFonts w:cs="Times New Roman"/>
          <w:szCs w:val="24"/>
        </w:rPr>
        <w:t>BWR</w:t>
      </w:r>
      <w:r w:rsidRPr="009E206D">
        <w:rPr>
          <w:rFonts w:cs="Times New Roman"/>
          <w:szCs w:val="24"/>
        </w:rPr>
        <w:t xml:space="preserve"> concepts, so to help regain thermal and reactivity margins.</w:t>
      </w:r>
      <w:r w:rsidR="00216D18" w:rsidRPr="009E206D">
        <w:rPr>
          <w:rFonts w:cs="Times New Roman"/>
          <w:szCs w:val="24"/>
        </w:rPr>
        <w:t xml:space="preserve"> </w:t>
      </w:r>
      <w:r w:rsidRPr="009E206D">
        <w:rPr>
          <w:rFonts w:cs="Times New Roman"/>
          <w:szCs w:val="24"/>
        </w:rPr>
        <w:t>Fuel</w:t>
      </w:r>
      <w:r w:rsidR="00CB4940" w:rsidRPr="009E206D">
        <w:rPr>
          <w:rFonts w:cs="Times New Roman"/>
          <w:szCs w:val="24"/>
        </w:rPr>
        <w:t xml:space="preserve"> performance was investigated with </w:t>
      </w:r>
      <w:r w:rsidR="00954382" w:rsidRPr="009E206D">
        <w:rPr>
          <w:rFonts w:cs="Times New Roman"/>
          <w:szCs w:val="24"/>
        </w:rPr>
        <w:t xml:space="preserve">the </w:t>
      </w:r>
      <w:r w:rsidR="00007C03" w:rsidRPr="009E206D">
        <w:rPr>
          <w:rFonts w:cs="Times New Roman"/>
          <w:szCs w:val="24"/>
        </w:rPr>
        <w:t>BISON-CASL</w:t>
      </w:r>
      <w:r w:rsidR="00605807" w:rsidRPr="009E206D">
        <w:rPr>
          <w:rFonts w:cs="Times New Roman"/>
          <w:szCs w:val="24"/>
        </w:rPr>
        <w:t xml:space="preserve"> code</w:t>
      </w:r>
      <w:r w:rsidR="00003F5F">
        <w:rPr>
          <w:rFonts w:cs="Times New Roman"/>
          <w:szCs w:val="24"/>
        </w:rPr>
        <w:t xml:space="preserve"> using linear heat rate data from the </w:t>
      </w:r>
      <w:r w:rsidR="009E449E">
        <w:rPr>
          <w:rFonts w:cs="Times New Roman"/>
          <w:szCs w:val="24"/>
        </w:rPr>
        <w:t>optimized full-core results</w:t>
      </w:r>
      <w:r w:rsidR="00003F5F">
        <w:rPr>
          <w:rFonts w:cs="Times New Roman"/>
          <w:szCs w:val="24"/>
        </w:rPr>
        <w:t xml:space="preserve">. The analysis </w:t>
      </w:r>
      <w:r w:rsidR="009E449E">
        <w:rPr>
          <w:rFonts w:cs="Times New Roman"/>
          <w:szCs w:val="24"/>
        </w:rPr>
        <w:t>demonstrated</w:t>
      </w:r>
      <w:r w:rsidR="00003F5F">
        <w:rPr>
          <w:rFonts w:cs="Times New Roman"/>
          <w:szCs w:val="24"/>
        </w:rPr>
        <w:t xml:space="preserve"> that </w:t>
      </w:r>
      <w:r w:rsidR="009E449E">
        <w:rPr>
          <w:rFonts w:cs="Times New Roman"/>
          <w:szCs w:val="24"/>
        </w:rPr>
        <w:t>varying</w:t>
      </w:r>
      <w:r w:rsidR="00003F5F">
        <w:rPr>
          <w:rFonts w:cs="Times New Roman"/>
          <w:szCs w:val="24"/>
        </w:rPr>
        <w:t xml:space="preserve"> power histories between FeCrAl and Zircaloy cladding</w:t>
      </w:r>
      <w:r w:rsidR="009E449E">
        <w:rPr>
          <w:rFonts w:cs="Times New Roman"/>
          <w:szCs w:val="24"/>
        </w:rPr>
        <w:t xml:space="preserve"> </w:t>
      </w:r>
      <w:r w:rsidR="0092701C">
        <w:rPr>
          <w:rFonts w:cs="Times New Roman"/>
          <w:szCs w:val="24"/>
        </w:rPr>
        <w:t>significantly</w:t>
      </w:r>
      <w:r w:rsidR="00003F5F">
        <w:rPr>
          <w:rFonts w:cs="Times New Roman"/>
          <w:szCs w:val="24"/>
        </w:rPr>
        <w:t xml:space="preserve"> affect thermal expansion and centerline temperatures of the fuel rod</w:t>
      </w:r>
      <w:r w:rsidR="009E449E">
        <w:rPr>
          <w:rFonts w:cs="Times New Roman"/>
          <w:szCs w:val="24"/>
        </w:rPr>
        <w:t>s</w:t>
      </w:r>
      <w:r w:rsidR="00003F5F">
        <w:rPr>
          <w:rFonts w:cs="Times New Roman"/>
          <w:szCs w:val="24"/>
        </w:rPr>
        <w:t xml:space="preserve">. </w:t>
      </w:r>
    </w:p>
    <w:p w14:paraId="2D5DC97B" w14:textId="77777777" w:rsidR="00DE69D0" w:rsidRDefault="00DE69D0">
      <w:pPr>
        <w:jc w:val="left"/>
        <w:rPr>
          <w:rFonts w:eastAsiaTheme="majorEastAsia" w:cs="Times New Roman"/>
          <w:b/>
          <w:bCs/>
          <w:sz w:val="32"/>
          <w:szCs w:val="24"/>
          <w:lang w:eastAsia="ja-JP"/>
        </w:rPr>
      </w:pPr>
      <w:r>
        <w:rPr>
          <w:rFonts w:cs="Times New Roman"/>
          <w:sz w:val="32"/>
          <w:szCs w:val="24"/>
        </w:rPr>
        <w:br w:type="page"/>
      </w:r>
    </w:p>
    <w:p w14:paraId="679DFDCE" w14:textId="77777777" w:rsidR="00274225" w:rsidRPr="00107A70" w:rsidRDefault="00274225" w:rsidP="00274225">
      <w:pPr>
        <w:pStyle w:val="TOCHeading"/>
        <w:jc w:val="left"/>
        <w:rPr>
          <w:rFonts w:ascii="Times New Roman" w:hAnsi="Times New Roman" w:cs="Times New Roman"/>
          <w:color w:val="auto"/>
          <w:sz w:val="36"/>
          <w:szCs w:val="24"/>
        </w:rPr>
      </w:pPr>
      <w:r>
        <w:rPr>
          <w:rFonts w:ascii="Times New Roman" w:hAnsi="Times New Roman" w:cs="Times New Roman"/>
          <w:color w:val="auto"/>
          <w:sz w:val="32"/>
          <w:szCs w:val="24"/>
        </w:rPr>
        <w:lastRenderedPageBreak/>
        <w:t>TABLE OF CONTENTS</w:t>
      </w:r>
      <w:r>
        <w:rPr>
          <w:rFonts w:ascii="Times New Roman" w:hAnsi="Times New Roman" w:cs="Times New Roman"/>
          <w:color w:val="auto"/>
          <w:sz w:val="36"/>
          <w:szCs w:val="24"/>
        </w:rPr>
        <w:tab/>
      </w:r>
    </w:p>
    <w:p w14:paraId="331EAA85" w14:textId="77777777" w:rsidR="00274225" w:rsidRDefault="00274225" w:rsidP="00274225">
      <w:pPr>
        <w:pStyle w:val="TOC2"/>
      </w:pPr>
      <w:r w:rsidRPr="001D7497">
        <w:t>Introduction</w:t>
      </w:r>
      <w:r w:rsidRPr="001D7497">
        <w:ptab w:relativeTo="margin" w:alignment="right" w:leader="dot"/>
      </w:r>
      <w:r>
        <w:t>1</w:t>
      </w:r>
    </w:p>
    <w:p w14:paraId="3A806C42" w14:textId="77777777" w:rsidR="00274225" w:rsidRPr="00095C12" w:rsidRDefault="00274225" w:rsidP="00274225">
      <w:pPr>
        <w:pStyle w:val="TOC2"/>
        <w:numPr>
          <w:ilvl w:val="0"/>
          <w:numId w:val="0"/>
        </w:numPr>
        <w:ind w:left="1080"/>
        <w:jc w:val="both"/>
        <w:rPr>
          <w:b w:val="0"/>
        </w:rPr>
      </w:pPr>
      <w:r w:rsidRPr="00095C12">
        <w:rPr>
          <w:b w:val="0"/>
        </w:rPr>
        <w:t>Fully Ceramic Micro-encapsulated Fuel</w:t>
      </w:r>
      <w:r w:rsidRPr="00095C12">
        <w:rPr>
          <w:b w:val="0"/>
        </w:rPr>
        <w:ptab w:relativeTo="margin" w:alignment="right" w:leader="dot"/>
      </w:r>
      <w:r>
        <w:rPr>
          <w:b w:val="0"/>
        </w:rPr>
        <w:t>1</w:t>
      </w:r>
    </w:p>
    <w:p w14:paraId="6BC605CD" w14:textId="77777777" w:rsidR="00274225" w:rsidRPr="00095C12" w:rsidRDefault="00274225" w:rsidP="00274225">
      <w:pPr>
        <w:pStyle w:val="TOC2"/>
        <w:numPr>
          <w:ilvl w:val="0"/>
          <w:numId w:val="0"/>
        </w:numPr>
        <w:ind w:left="1080"/>
        <w:jc w:val="both"/>
        <w:rPr>
          <w:b w:val="0"/>
        </w:rPr>
      </w:pPr>
      <w:r w:rsidRPr="00095C12">
        <w:rPr>
          <w:b w:val="0"/>
        </w:rPr>
        <w:t>Alternate Cladding Concepts in PWRs</w:t>
      </w:r>
      <w:r w:rsidRPr="00095C12">
        <w:rPr>
          <w:b w:val="0"/>
        </w:rPr>
        <w:ptab w:relativeTo="margin" w:alignment="right" w:leader="dot"/>
      </w:r>
      <w:r>
        <w:rPr>
          <w:b w:val="0"/>
        </w:rPr>
        <w:t>2</w:t>
      </w:r>
    </w:p>
    <w:p w14:paraId="26D983E8" w14:textId="77777777" w:rsidR="00274225" w:rsidRPr="00095C12" w:rsidRDefault="00274225" w:rsidP="00274225">
      <w:pPr>
        <w:pStyle w:val="TOC2"/>
        <w:numPr>
          <w:ilvl w:val="0"/>
          <w:numId w:val="0"/>
        </w:numPr>
        <w:ind w:left="1080"/>
        <w:jc w:val="both"/>
        <w:rPr>
          <w:b w:val="0"/>
        </w:rPr>
      </w:pPr>
      <w:r w:rsidRPr="00095C12">
        <w:rPr>
          <w:b w:val="0"/>
        </w:rPr>
        <w:t>Alternate Cladding Concepts in BWRs</w:t>
      </w:r>
      <w:r w:rsidRPr="00095C12">
        <w:rPr>
          <w:b w:val="0"/>
        </w:rPr>
        <w:ptab w:relativeTo="margin" w:alignment="right" w:leader="dot"/>
      </w:r>
      <w:r>
        <w:rPr>
          <w:b w:val="0"/>
        </w:rPr>
        <w:t>3</w:t>
      </w:r>
    </w:p>
    <w:p w14:paraId="01A62D7B" w14:textId="77777777" w:rsidR="00274225" w:rsidRPr="00095C12" w:rsidRDefault="00274225" w:rsidP="00274225">
      <w:pPr>
        <w:pStyle w:val="TOC2"/>
      </w:pPr>
      <w:r w:rsidRPr="00095C12">
        <w:t>Literature Review</w:t>
      </w:r>
      <w:r w:rsidRPr="00095C12">
        <w:ptab w:relativeTo="margin" w:alignment="right" w:leader="dot"/>
      </w:r>
      <w:r>
        <w:rPr>
          <w:bCs/>
        </w:rPr>
        <w:t>6</w:t>
      </w:r>
    </w:p>
    <w:p w14:paraId="5F2B8520" w14:textId="77777777" w:rsidR="00274225" w:rsidRPr="00EB013A" w:rsidRDefault="00274225" w:rsidP="00274225">
      <w:pPr>
        <w:pStyle w:val="TOC3"/>
        <w:ind w:left="800" w:firstLine="280"/>
        <w:rPr>
          <w:rFonts w:cs="Times New Roman"/>
          <w:szCs w:val="24"/>
        </w:rPr>
      </w:pPr>
      <w:r w:rsidRPr="00EB013A">
        <w:rPr>
          <w:rFonts w:cs="Times New Roman"/>
          <w:szCs w:val="24"/>
        </w:rPr>
        <w:t>History of Light Water Reactor Cladding</w:t>
      </w:r>
      <w:r w:rsidRPr="00EB013A">
        <w:rPr>
          <w:rFonts w:cs="Times New Roman"/>
          <w:szCs w:val="24"/>
        </w:rPr>
        <w:ptab w:relativeTo="margin" w:alignment="right" w:leader="dot"/>
      </w:r>
      <w:r>
        <w:rPr>
          <w:rFonts w:cs="Times New Roman"/>
          <w:szCs w:val="24"/>
        </w:rPr>
        <w:t>6</w:t>
      </w:r>
    </w:p>
    <w:p w14:paraId="239EF45F" w14:textId="77777777" w:rsidR="00274225" w:rsidRDefault="00274225" w:rsidP="00274225">
      <w:pPr>
        <w:pStyle w:val="TOC3"/>
        <w:ind w:left="800" w:firstLine="280"/>
        <w:rPr>
          <w:rFonts w:cs="Times New Roman"/>
          <w:szCs w:val="24"/>
        </w:rPr>
      </w:pPr>
      <w:r w:rsidRPr="00EB013A">
        <w:rPr>
          <w:rFonts w:cs="Times New Roman"/>
          <w:szCs w:val="24"/>
        </w:rPr>
        <w:t>Fully Ceramic Micro-Encapsulated Fuel</w:t>
      </w:r>
      <w:r w:rsidRPr="00EB013A">
        <w:rPr>
          <w:rFonts w:cs="Times New Roman"/>
          <w:szCs w:val="24"/>
        </w:rPr>
        <w:ptab w:relativeTo="margin" w:alignment="right" w:leader="dot"/>
      </w:r>
      <w:r>
        <w:rPr>
          <w:rFonts w:cs="Times New Roman"/>
          <w:szCs w:val="24"/>
        </w:rPr>
        <w:t>7</w:t>
      </w:r>
    </w:p>
    <w:p w14:paraId="241193FD" w14:textId="77777777" w:rsidR="00274225" w:rsidRDefault="00274225" w:rsidP="00274225">
      <w:pPr>
        <w:pStyle w:val="TOC3"/>
        <w:ind w:left="880" w:firstLine="560"/>
        <w:rPr>
          <w:rFonts w:cs="Times New Roman"/>
          <w:szCs w:val="24"/>
        </w:rPr>
      </w:pPr>
      <w:r w:rsidRPr="00EB013A">
        <w:rPr>
          <w:rFonts w:cs="Times New Roman"/>
          <w:szCs w:val="24"/>
        </w:rPr>
        <w:t>Particle Layer Interaction</w:t>
      </w:r>
      <w:r w:rsidRPr="00EB013A">
        <w:rPr>
          <w:rFonts w:cs="Times New Roman"/>
          <w:szCs w:val="24"/>
        </w:rPr>
        <w:ptab w:relativeTo="margin" w:alignment="right" w:leader="dot"/>
      </w:r>
      <w:r>
        <w:rPr>
          <w:rFonts w:cs="Times New Roman"/>
          <w:szCs w:val="24"/>
        </w:rPr>
        <w:t>8</w:t>
      </w:r>
    </w:p>
    <w:p w14:paraId="51672295" w14:textId="77777777" w:rsidR="00274225" w:rsidRDefault="00274225" w:rsidP="00274225">
      <w:pPr>
        <w:pStyle w:val="TOC3"/>
        <w:ind w:left="1160" w:firstLine="280"/>
        <w:rPr>
          <w:rFonts w:cs="Times New Roman"/>
          <w:szCs w:val="24"/>
        </w:rPr>
      </w:pPr>
      <w:r w:rsidRPr="00EB013A">
        <w:rPr>
          <w:rFonts w:cs="Times New Roman"/>
          <w:szCs w:val="24"/>
        </w:rPr>
        <w:t>Thermal Conductivity</w:t>
      </w:r>
      <w:r w:rsidRPr="00EB013A">
        <w:rPr>
          <w:rFonts w:cs="Times New Roman"/>
          <w:szCs w:val="24"/>
        </w:rPr>
        <w:ptab w:relativeTo="margin" w:alignment="right" w:leader="dot"/>
      </w:r>
      <w:r>
        <w:rPr>
          <w:rFonts w:cs="Times New Roman"/>
          <w:szCs w:val="24"/>
        </w:rPr>
        <w:t>10</w:t>
      </w:r>
    </w:p>
    <w:p w14:paraId="7CA68784" w14:textId="77777777" w:rsidR="00274225" w:rsidRPr="00095C12" w:rsidRDefault="00274225" w:rsidP="00274225">
      <w:pPr>
        <w:pStyle w:val="TOC3"/>
        <w:ind w:left="800" w:firstLine="280"/>
        <w:rPr>
          <w:rFonts w:cs="Times New Roman"/>
          <w:szCs w:val="24"/>
        </w:rPr>
      </w:pPr>
      <w:r>
        <w:rPr>
          <w:rFonts w:cs="Times New Roman"/>
          <w:szCs w:val="24"/>
        </w:rPr>
        <w:t>Alternate Cladding Concepts</w:t>
      </w:r>
      <w:r w:rsidRPr="00EB013A">
        <w:rPr>
          <w:rFonts w:cs="Times New Roman"/>
          <w:szCs w:val="24"/>
        </w:rPr>
        <w:ptab w:relativeTo="margin" w:alignment="right" w:leader="dot"/>
      </w:r>
      <w:r>
        <w:rPr>
          <w:rFonts w:cs="Times New Roman"/>
          <w:szCs w:val="24"/>
        </w:rPr>
        <w:t>12</w:t>
      </w:r>
    </w:p>
    <w:p w14:paraId="1BA9C78B" w14:textId="77777777" w:rsidR="00274225" w:rsidRPr="00EB013A" w:rsidRDefault="00274225" w:rsidP="00274225">
      <w:pPr>
        <w:pStyle w:val="TOC3"/>
        <w:ind w:left="1160" w:firstLine="280"/>
        <w:jc w:val="both"/>
        <w:rPr>
          <w:rFonts w:cs="Times New Roman"/>
          <w:szCs w:val="24"/>
        </w:rPr>
      </w:pPr>
      <w:r w:rsidRPr="00EB013A">
        <w:rPr>
          <w:rFonts w:cs="Times New Roman"/>
          <w:szCs w:val="24"/>
        </w:rPr>
        <w:t>Austenitic Alloys</w:t>
      </w:r>
      <w:r w:rsidRPr="00EB013A">
        <w:rPr>
          <w:rFonts w:cs="Times New Roman"/>
          <w:szCs w:val="24"/>
        </w:rPr>
        <w:ptab w:relativeTo="margin" w:alignment="right" w:leader="dot"/>
      </w:r>
      <w:r>
        <w:rPr>
          <w:rFonts w:cs="Times New Roman"/>
          <w:szCs w:val="24"/>
        </w:rPr>
        <w:t>12</w:t>
      </w:r>
    </w:p>
    <w:p w14:paraId="5B58EB3F" w14:textId="77777777" w:rsidR="00274225" w:rsidRPr="00EB013A" w:rsidRDefault="00274225" w:rsidP="00274225">
      <w:pPr>
        <w:pStyle w:val="TOC3"/>
        <w:ind w:left="880" w:firstLine="560"/>
        <w:rPr>
          <w:rFonts w:cs="Times New Roman"/>
          <w:szCs w:val="24"/>
        </w:rPr>
      </w:pPr>
      <w:r w:rsidRPr="00EB013A">
        <w:rPr>
          <w:rFonts w:cs="Times New Roman"/>
          <w:szCs w:val="24"/>
        </w:rPr>
        <w:t>Ferritic Alloys</w:t>
      </w:r>
      <w:r w:rsidRPr="00EB013A">
        <w:rPr>
          <w:rFonts w:cs="Times New Roman"/>
          <w:szCs w:val="24"/>
        </w:rPr>
        <w:ptab w:relativeTo="margin" w:alignment="right" w:leader="dot"/>
      </w:r>
      <w:r>
        <w:rPr>
          <w:rFonts w:cs="Times New Roman"/>
          <w:szCs w:val="24"/>
        </w:rPr>
        <w:t>13</w:t>
      </w:r>
    </w:p>
    <w:p w14:paraId="7D45C239" w14:textId="77777777" w:rsidR="00274225" w:rsidRDefault="00274225" w:rsidP="00274225">
      <w:pPr>
        <w:pStyle w:val="TOC3"/>
        <w:ind w:left="1160" w:firstLine="280"/>
        <w:rPr>
          <w:rFonts w:cs="Times New Roman"/>
          <w:szCs w:val="24"/>
        </w:rPr>
      </w:pPr>
      <w:r w:rsidRPr="00EB013A">
        <w:rPr>
          <w:rFonts w:cs="Times New Roman"/>
          <w:szCs w:val="24"/>
        </w:rPr>
        <w:t>Silicon Carbide</w:t>
      </w:r>
      <w:r w:rsidRPr="00EB013A">
        <w:rPr>
          <w:rFonts w:cs="Times New Roman"/>
          <w:szCs w:val="24"/>
        </w:rPr>
        <w:ptab w:relativeTo="margin" w:alignment="right" w:leader="dot"/>
      </w:r>
      <w:r>
        <w:rPr>
          <w:rFonts w:cs="Times New Roman"/>
          <w:szCs w:val="24"/>
        </w:rPr>
        <w:t>15</w:t>
      </w:r>
    </w:p>
    <w:p w14:paraId="78390BF3" w14:textId="77777777" w:rsidR="00274225" w:rsidRPr="00095C12" w:rsidRDefault="00274225" w:rsidP="00274225">
      <w:pPr>
        <w:pStyle w:val="TOC3"/>
        <w:ind w:left="800" w:firstLine="280"/>
        <w:rPr>
          <w:rFonts w:cs="Times New Roman"/>
          <w:szCs w:val="24"/>
        </w:rPr>
      </w:pPr>
      <w:r>
        <w:rPr>
          <w:rFonts w:cs="Times New Roman"/>
          <w:szCs w:val="24"/>
        </w:rPr>
        <w:t>Fuel Performance Modeling</w:t>
      </w:r>
      <w:r w:rsidRPr="00EB013A">
        <w:rPr>
          <w:rFonts w:cs="Times New Roman"/>
          <w:szCs w:val="24"/>
        </w:rPr>
        <w:ptab w:relativeTo="margin" w:alignment="right" w:leader="dot"/>
      </w:r>
      <w:r>
        <w:rPr>
          <w:rFonts w:cs="Times New Roman"/>
          <w:szCs w:val="24"/>
        </w:rPr>
        <w:t>16</w:t>
      </w:r>
    </w:p>
    <w:p w14:paraId="3F8C643C" w14:textId="77777777" w:rsidR="00274225" w:rsidRPr="00095C12" w:rsidRDefault="00274225" w:rsidP="00274225">
      <w:pPr>
        <w:pStyle w:val="TOC3"/>
        <w:ind w:left="800" w:firstLine="280"/>
        <w:rPr>
          <w:rFonts w:cs="Times New Roman"/>
          <w:szCs w:val="24"/>
        </w:rPr>
      </w:pPr>
      <w:r>
        <w:rPr>
          <w:rFonts w:cs="Times New Roman"/>
          <w:szCs w:val="24"/>
        </w:rPr>
        <w:t>Reactor Physics Modeling and Simulation</w:t>
      </w:r>
      <w:r w:rsidRPr="00EB013A">
        <w:rPr>
          <w:rFonts w:cs="Times New Roman"/>
          <w:szCs w:val="24"/>
        </w:rPr>
        <w:ptab w:relativeTo="margin" w:alignment="right" w:leader="dot"/>
      </w:r>
      <w:r>
        <w:rPr>
          <w:rFonts w:cs="Times New Roman"/>
          <w:szCs w:val="24"/>
        </w:rPr>
        <w:t>17</w:t>
      </w:r>
    </w:p>
    <w:p w14:paraId="07EE2E7D" w14:textId="77777777" w:rsidR="00274225" w:rsidRPr="00EB013A" w:rsidRDefault="00274225" w:rsidP="00274225">
      <w:pPr>
        <w:pStyle w:val="TOC3"/>
        <w:ind w:left="720" w:firstLine="720"/>
        <w:jc w:val="both"/>
        <w:rPr>
          <w:rFonts w:cs="Times New Roman"/>
          <w:szCs w:val="24"/>
        </w:rPr>
      </w:pPr>
      <w:r w:rsidRPr="00EB013A">
        <w:rPr>
          <w:rFonts w:cs="Times New Roman"/>
          <w:szCs w:val="24"/>
        </w:rPr>
        <w:t>Lattice Physics</w:t>
      </w:r>
      <w:r w:rsidRPr="00EB013A">
        <w:rPr>
          <w:rFonts w:cs="Times New Roman"/>
          <w:szCs w:val="24"/>
        </w:rPr>
        <w:ptab w:relativeTo="margin" w:alignment="right" w:leader="dot"/>
      </w:r>
      <w:r>
        <w:rPr>
          <w:rFonts w:cs="Times New Roman"/>
          <w:szCs w:val="24"/>
        </w:rPr>
        <w:t>18</w:t>
      </w:r>
    </w:p>
    <w:p w14:paraId="577A18F9" w14:textId="77777777" w:rsidR="00274225" w:rsidRPr="00EB013A" w:rsidRDefault="00274225" w:rsidP="00274225">
      <w:pPr>
        <w:pStyle w:val="TOC3"/>
        <w:ind w:left="720" w:firstLine="720"/>
        <w:rPr>
          <w:rFonts w:cs="Times New Roman"/>
          <w:szCs w:val="24"/>
        </w:rPr>
      </w:pPr>
      <w:r w:rsidRPr="00EB013A">
        <w:rPr>
          <w:rFonts w:cs="Times New Roman"/>
          <w:szCs w:val="24"/>
        </w:rPr>
        <w:t>Parametric A</w:t>
      </w:r>
      <w:r>
        <w:rPr>
          <w:rFonts w:cs="Times New Roman"/>
          <w:szCs w:val="24"/>
        </w:rPr>
        <w:t>nalysis</w:t>
      </w:r>
      <w:r w:rsidRPr="00EB013A">
        <w:rPr>
          <w:rFonts w:cs="Times New Roman"/>
          <w:szCs w:val="24"/>
        </w:rPr>
        <w:ptab w:relativeTo="margin" w:alignment="right" w:leader="dot"/>
      </w:r>
      <w:r>
        <w:rPr>
          <w:rFonts w:cs="Times New Roman"/>
          <w:szCs w:val="24"/>
        </w:rPr>
        <w:t>19</w:t>
      </w:r>
    </w:p>
    <w:p w14:paraId="021CDEB4" w14:textId="77777777" w:rsidR="00274225" w:rsidRPr="001D7497" w:rsidRDefault="00274225" w:rsidP="00274225">
      <w:pPr>
        <w:pStyle w:val="TOC3"/>
        <w:ind w:left="720" w:firstLine="720"/>
        <w:rPr>
          <w:rFonts w:cs="Times New Roman"/>
          <w:szCs w:val="24"/>
        </w:rPr>
      </w:pPr>
      <w:r w:rsidRPr="00EB013A">
        <w:rPr>
          <w:rFonts w:cs="Times New Roman"/>
          <w:szCs w:val="24"/>
        </w:rPr>
        <w:t>3D Full Core Simulators</w:t>
      </w:r>
      <w:r w:rsidRPr="00EB013A">
        <w:rPr>
          <w:rFonts w:cs="Times New Roman"/>
          <w:szCs w:val="24"/>
        </w:rPr>
        <w:ptab w:relativeTo="margin" w:alignment="right" w:leader="dot"/>
      </w:r>
      <w:r>
        <w:rPr>
          <w:rFonts w:cs="Times New Roman"/>
          <w:szCs w:val="24"/>
        </w:rPr>
        <w:t>19</w:t>
      </w:r>
    </w:p>
    <w:p w14:paraId="2898557E" w14:textId="77777777" w:rsidR="00274225" w:rsidRPr="003E176D" w:rsidRDefault="00274225" w:rsidP="00274225">
      <w:pPr>
        <w:pStyle w:val="NoSpacing"/>
        <w:numPr>
          <w:ilvl w:val="0"/>
          <w:numId w:val="12"/>
        </w:numPr>
        <w:spacing w:line="360" w:lineRule="auto"/>
        <w:rPr>
          <w:rFonts w:cs="Times New Roman"/>
          <w:b/>
          <w:szCs w:val="24"/>
        </w:rPr>
      </w:pPr>
      <w:r>
        <w:rPr>
          <w:rFonts w:cs="Times New Roman"/>
          <w:b/>
          <w:bCs/>
          <w:szCs w:val="24"/>
        </w:rPr>
        <w:t xml:space="preserve">PWR </w:t>
      </w:r>
      <w:r w:rsidRPr="003E176D">
        <w:rPr>
          <w:rFonts w:cs="Times New Roman"/>
          <w:b/>
          <w:bCs/>
          <w:szCs w:val="24"/>
        </w:rPr>
        <w:t>Methodology</w:t>
      </w:r>
      <w:r>
        <w:rPr>
          <w:rFonts w:cs="Times New Roman"/>
          <w:b/>
          <w:bCs/>
          <w:szCs w:val="24"/>
        </w:rPr>
        <w:t xml:space="preserve"> and Design Parameters</w:t>
      </w:r>
      <w:r w:rsidRPr="003E176D">
        <w:rPr>
          <w:rFonts w:cs="Times New Roman"/>
          <w:b/>
          <w:szCs w:val="24"/>
        </w:rPr>
        <w:ptab w:relativeTo="margin" w:alignment="right" w:leader="dot"/>
      </w:r>
      <w:r>
        <w:rPr>
          <w:rFonts w:cs="Times New Roman"/>
          <w:b/>
          <w:bCs/>
          <w:szCs w:val="24"/>
        </w:rPr>
        <w:t>21</w:t>
      </w:r>
    </w:p>
    <w:p w14:paraId="77147BCB" w14:textId="77777777" w:rsidR="00274225" w:rsidRPr="003E176D" w:rsidRDefault="00274225" w:rsidP="00274225">
      <w:pPr>
        <w:pStyle w:val="TOC3"/>
        <w:ind w:left="800" w:firstLine="280"/>
        <w:jc w:val="both"/>
        <w:rPr>
          <w:rFonts w:cs="Times New Roman"/>
          <w:szCs w:val="24"/>
        </w:rPr>
      </w:pPr>
      <w:r w:rsidRPr="003E176D">
        <w:rPr>
          <w:rFonts w:cs="Times New Roman"/>
          <w:szCs w:val="24"/>
        </w:rPr>
        <w:t>Pin Cell and Lattice Physics Modeling</w:t>
      </w:r>
      <w:r w:rsidRPr="003E176D">
        <w:rPr>
          <w:rFonts w:cs="Times New Roman"/>
          <w:szCs w:val="24"/>
        </w:rPr>
        <w:ptab w:relativeTo="margin" w:alignment="right" w:leader="dot"/>
      </w:r>
      <w:r>
        <w:rPr>
          <w:rFonts w:cs="Times New Roman"/>
          <w:szCs w:val="24"/>
        </w:rPr>
        <w:t>21</w:t>
      </w:r>
    </w:p>
    <w:p w14:paraId="67DE145A" w14:textId="77777777" w:rsidR="00274225" w:rsidRPr="003E176D" w:rsidRDefault="00274225" w:rsidP="00274225">
      <w:pPr>
        <w:pStyle w:val="TOC3"/>
        <w:ind w:left="800" w:firstLine="280"/>
        <w:jc w:val="both"/>
        <w:rPr>
          <w:rFonts w:cs="Times New Roman"/>
          <w:szCs w:val="24"/>
        </w:rPr>
      </w:pPr>
      <w:r w:rsidRPr="003E176D">
        <w:rPr>
          <w:rFonts w:cs="Times New Roman"/>
          <w:szCs w:val="24"/>
        </w:rPr>
        <w:t>Reactivity-Equivalent Physical Transformation for TRISO Fuel</w:t>
      </w:r>
      <w:r w:rsidRPr="003E176D">
        <w:rPr>
          <w:rFonts w:cs="Times New Roman"/>
          <w:szCs w:val="24"/>
        </w:rPr>
        <w:ptab w:relativeTo="margin" w:alignment="right" w:leader="dot"/>
      </w:r>
      <w:r>
        <w:rPr>
          <w:rFonts w:cs="Times New Roman"/>
          <w:szCs w:val="24"/>
        </w:rPr>
        <w:t>23</w:t>
      </w:r>
    </w:p>
    <w:p w14:paraId="4DBFB967" w14:textId="77777777" w:rsidR="00274225" w:rsidRPr="003E176D" w:rsidRDefault="00274225" w:rsidP="00274225">
      <w:pPr>
        <w:pStyle w:val="TOC3"/>
        <w:ind w:left="800" w:firstLine="280"/>
        <w:jc w:val="both"/>
        <w:rPr>
          <w:rFonts w:cs="Times New Roman"/>
          <w:szCs w:val="24"/>
        </w:rPr>
      </w:pPr>
      <w:r w:rsidRPr="003E176D">
        <w:rPr>
          <w:rFonts w:cs="Times New Roman"/>
          <w:szCs w:val="24"/>
        </w:rPr>
        <w:t>Alternate Cladding Input Parameters</w:t>
      </w:r>
      <w:r w:rsidRPr="003E176D">
        <w:rPr>
          <w:rFonts w:cs="Times New Roman"/>
          <w:szCs w:val="24"/>
        </w:rPr>
        <w:ptab w:relativeTo="margin" w:alignment="right" w:leader="dot"/>
      </w:r>
      <w:r>
        <w:rPr>
          <w:rFonts w:cs="Times New Roman"/>
          <w:szCs w:val="24"/>
        </w:rPr>
        <w:t>24</w:t>
      </w:r>
    </w:p>
    <w:p w14:paraId="4F389629" w14:textId="77777777" w:rsidR="00274225" w:rsidRDefault="00274225" w:rsidP="00274225">
      <w:pPr>
        <w:pStyle w:val="TOC3"/>
        <w:ind w:left="800" w:firstLine="280"/>
        <w:jc w:val="both"/>
        <w:rPr>
          <w:rFonts w:cs="Times New Roman"/>
          <w:szCs w:val="24"/>
        </w:rPr>
      </w:pPr>
      <w:r w:rsidRPr="00157FDF">
        <w:rPr>
          <w:rFonts w:eastAsia="Times New Roman" w:cs="Times New Roman"/>
          <w:snapToGrid w:val="0"/>
          <w:szCs w:val="24"/>
        </w:rPr>
        <w:t>Lattice-Physics Based EOC Reactivity Equivalence Methodology</w:t>
      </w:r>
      <w:r w:rsidRPr="003E176D">
        <w:rPr>
          <w:rFonts w:cs="Times New Roman"/>
          <w:szCs w:val="24"/>
        </w:rPr>
        <w:ptab w:relativeTo="margin" w:alignment="right" w:leader="dot"/>
      </w:r>
      <w:r>
        <w:rPr>
          <w:rFonts w:cs="Times New Roman"/>
          <w:szCs w:val="24"/>
        </w:rPr>
        <w:t>26</w:t>
      </w:r>
    </w:p>
    <w:p w14:paraId="48E57265" w14:textId="77777777" w:rsidR="00274225" w:rsidRPr="007A5590" w:rsidRDefault="00274225" w:rsidP="00274225">
      <w:pPr>
        <w:pStyle w:val="NoSpacing"/>
        <w:numPr>
          <w:ilvl w:val="0"/>
          <w:numId w:val="12"/>
        </w:numPr>
        <w:spacing w:line="360" w:lineRule="auto"/>
        <w:rPr>
          <w:rFonts w:cs="Times New Roman"/>
          <w:b/>
          <w:szCs w:val="24"/>
        </w:rPr>
      </w:pPr>
      <w:r>
        <w:rPr>
          <w:rFonts w:cs="Times New Roman"/>
          <w:b/>
          <w:bCs/>
          <w:szCs w:val="24"/>
        </w:rPr>
        <w:t xml:space="preserve">BWR </w:t>
      </w:r>
      <w:r w:rsidRPr="003E176D">
        <w:rPr>
          <w:rFonts w:cs="Times New Roman"/>
          <w:b/>
          <w:bCs/>
          <w:szCs w:val="24"/>
        </w:rPr>
        <w:t>Methodology</w:t>
      </w:r>
      <w:r>
        <w:rPr>
          <w:rFonts w:cs="Times New Roman"/>
          <w:b/>
          <w:bCs/>
          <w:szCs w:val="24"/>
        </w:rPr>
        <w:t xml:space="preserve"> and Design Parameters</w:t>
      </w:r>
      <w:r w:rsidRPr="003E176D">
        <w:rPr>
          <w:rFonts w:cs="Times New Roman"/>
          <w:b/>
          <w:szCs w:val="24"/>
        </w:rPr>
        <w:ptab w:relativeTo="margin" w:alignment="right" w:leader="dot"/>
      </w:r>
      <w:r>
        <w:rPr>
          <w:rFonts w:cs="Times New Roman"/>
          <w:b/>
          <w:bCs/>
          <w:szCs w:val="24"/>
        </w:rPr>
        <w:t>29</w:t>
      </w:r>
    </w:p>
    <w:p w14:paraId="25625BD1" w14:textId="77777777" w:rsidR="00274225" w:rsidRPr="00095C12" w:rsidRDefault="00274225" w:rsidP="00274225">
      <w:pPr>
        <w:pStyle w:val="TOC3"/>
        <w:ind w:left="800" w:firstLine="280"/>
        <w:rPr>
          <w:rFonts w:cs="Times New Roman"/>
          <w:szCs w:val="24"/>
        </w:rPr>
      </w:pPr>
      <w:r>
        <w:rPr>
          <w:rFonts w:cs="Times New Roman"/>
          <w:szCs w:val="24"/>
        </w:rPr>
        <w:t>Lattice Physics Models</w:t>
      </w:r>
      <w:r w:rsidRPr="00EB013A">
        <w:rPr>
          <w:rFonts w:cs="Times New Roman"/>
          <w:szCs w:val="24"/>
        </w:rPr>
        <w:ptab w:relativeTo="margin" w:alignment="right" w:leader="dot"/>
      </w:r>
      <w:r>
        <w:rPr>
          <w:rFonts w:cs="Times New Roman"/>
          <w:szCs w:val="24"/>
        </w:rPr>
        <w:t>29</w:t>
      </w:r>
    </w:p>
    <w:p w14:paraId="49693392" w14:textId="77777777" w:rsidR="00274225" w:rsidRPr="00095C12" w:rsidRDefault="00274225" w:rsidP="00274225">
      <w:pPr>
        <w:pStyle w:val="TOC3"/>
        <w:ind w:left="800" w:firstLine="280"/>
        <w:rPr>
          <w:rFonts w:cs="Times New Roman"/>
          <w:szCs w:val="24"/>
        </w:rPr>
      </w:pPr>
      <w:r>
        <w:rPr>
          <w:rFonts w:cs="Times New Roman"/>
          <w:szCs w:val="24"/>
        </w:rPr>
        <w:t>End of Cycle Reactivity Calculations</w:t>
      </w:r>
      <w:r w:rsidRPr="00EB013A">
        <w:rPr>
          <w:rFonts w:cs="Times New Roman"/>
          <w:szCs w:val="24"/>
        </w:rPr>
        <w:ptab w:relativeTo="margin" w:alignment="right" w:leader="dot"/>
      </w:r>
      <w:r w:rsidRPr="00EB013A">
        <w:rPr>
          <w:rFonts w:cs="Times New Roman"/>
          <w:szCs w:val="24"/>
        </w:rPr>
        <w:t>3</w:t>
      </w:r>
      <w:r>
        <w:rPr>
          <w:rFonts w:cs="Times New Roman"/>
          <w:szCs w:val="24"/>
        </w:rPr>
        <w:t>1</w:t>
      </w:r>
    </w:p>
    <w:p w14:paraId="63EC4F4A" w14:textId="77777777" w:rsidR="00274225" w:rsidRPr="00BA062A" w:rsidRDefault="00274225" w:rsidP="00274225">
      <w:pPr>
        <w:pStyle w:val="TOC3"/>
        <w:ind w:left="800" w:firstLine="280"/>
        <w:rPr>
          <w:rFonts w:cs="Times New Roman"/>
          <w:szCs w:val="24"/>
        </w:rPr>
      </w:pPr>
      <w:r>
        <w:rPr>
          <w:rFonts w:cs="Times New Roman"/>
          <w:szCs w:val="24"/>
        </w:rPr>
        <w:t>Full-Core BWR Simulations</w:t>
      </w:r>
      <w:r w:rsidRPr="00EB013A">
        <w:rPr>
          <w:rFonts w:cs="Times New Roman"/>
          <w:szCs w:val="24"/>
        </w:rPr>
        <w:ptab w:relativeTo="margin" w:alignment="right" w:leader="dot"/>
      </w:r>
      <w:r w:rsidRPr="00EB013A">
        <w:rPr>
          <w:rFonts w:cs="Times New Roman"/>
          <w:szCs w:val="24"/>
        </w:rPr>
        <w:t>3</w:t>
      </w:r>
      <w:r>
        <w:rPr>
          <w:rFonts w:cs="Times New Roman"/>
          <w:szCs w:val="24"/>
        </w:rPr>
        <w:t>5</w:t>
      </w:r>
    </w:p>
    <w:p w14:paraId="7BAAAF42" w14:textId="77777777" w:rsidR="00274225" w:rsidRPr="00EB013A" w:rsidRDefault="00274225" w:rsidP="00274225">
      <w:pPr>
        <w:pStyle w:val="TOC3"/>
        <w:ind w:left="720" w:firstLine="720"/>
        <w:rPr>
          <w:rFonts w:cs="Times New Roman"/>
          <w:szCs w:val="24"/>
        </w:rPr>
      </w:pPr>
      <w:r w:rsidRPr="00EB013A">
        <w:rPr>
          <w:rFonts w:cs="Times New Roman"/>
          <w:szCs w:val="24"/>
        </w:rPr>
        <w:t>Lattice Physics</w:t>
      </w:r>
      <w:r>
        <w:rPr>
          <w:rFonts w:cs="Times New Roman"/>
          <w:szCs w:val="24"/>
        </w:rPr>
        <w:t xml:space="preserve"> Cross-section Generation</w:t>
      </w:r>
      <w:r w:rsidRPr="00EB013A">
        <w:rPr>
          <w:rFonts w:cs="Times New Roman"/>
          <w:szCs w:val="24"/>
        </w:rPr>
        <w:ptab w:relativeTo="margin" w:alignment="right" w:leader="dot"/>
      </w:r>
      <w:r>
        <w:rPr>
          <w:rFonts w:cs="Times New Roman"/>
          <w:szCs w:val="24"/>
        </w:rPr>
        <w:t>35</w:t>
      </w:r>
    </w:p>
    <w:p w14:paraId="5E126DF6" w14:textId="77777777" w:rsidR="00274225" w:rsidRPr="00EB013A" w:rsidRDefault="00274225" w:rsidP="00274225">
      <w:pPr>
        <w:pStyle w:val="TOC3"/>
        <w:ind w:left="720" w:firstLine="720"/>
        <w:rPr>
          <w:rFonts w:cs="Times New Roman"/>
          <w:szCs w:val="24"/>
        </w:rPr>
      </w:pPr>
      <w:r>
        <w:rPr>
          <w:rFonts w:cs="Times New Roman"/>
          <w:szCs w:val="24"/>
        </w:rPr>
        <w:t>NESTLE Neutronics Model</w:t>
      </w:r>
      <w:r w:rsidRPr="00EB013A">
        <w:rPr>
          <w:rFonts w:cs="Times New Roman"/>
          <w:szCs w:val="24"/>
        </w:rPr>
        <w:ptab w:relativeTo="margin" w:alignment="right" w:leader="dot"/>
      </w:r>
      <w:r>
        <w:rPr>
          <w:rFonts w:cs="Times New Roman"/>
          <w:szCs w:val="24"/>
        </w:rPr>
        <w:t>38</w:t>
      </w:r>
    </w:p>
    <w:p w14:paraId="0411614B" w14:textId="77777777" w:rsidR="00274225" w:rsidRDefault="00274225" w:rsidP="00274225">
      <w:pPr>
        <w:pStyle w:val="TOC3"/>
        <w:ind w:left="720" w:firstLine="720"/>
        <w:rPr>
          <w:rFonts w:cs="Times New Roman"/>
          <w:szCs w:val="24"/>
        </w:rPr>
      </w:pPr>
      <w:r>
        <w:rPr>
          <w:rFonts w:cs="Times New Roman"/>
          <w:szCs w:val="24"/>
        </w:rPr>
        <w:t>Alternate Cladding Full-Core Parametric Study</w:t>
      </w:r>
      <w:r w:rsidRPr="00EB013A">
        <w:rPr>
          <w:rFonts w:cs="Times New Roman"/>
          <w:szCs w:val="24"/>
        </w:rPr>
        <w:ptab w:relativeTo="margin" w:alignment="right" w:leader="dot"/>
      </w:r>
      <w:r>
        <w:rPr>
          <w:rFonts w:cs="Times New Roman"/>
          <w:szCs w:val="24"/>
        </w:rPr>
        <w:t>43</w:t>
      </w:r>
    </w:p>
    <w:p w14:paraId="29CE3571" w14:textId="77777777" w:rsidR="00274225" w:rsidRPr="003F297C" w:rsidRDefault="00274225" w:rsidP="00274225">
      <w:pPr>
        <w:pStyle w:val="TOC3"/>
        <w:ind w:left="720" w:firstLine="720"/>
        <w:rPr>
          <w:rFonts w:cs="Times New Roman"/>
          <w:szCs w:val="24"/>
        </w:rPr>
      </w:pPr>
      <w:r>
        <w:rPr>
          <w:rFonts w:cs="Times New Roman"/>
          <w:szCs w:val="24"/>
        </w:rPr>
        <w:t>Loading and Control Blade Pattern Optimization</w:t>
      </w:r>
      <w:r w:rsidRPr="00EB013A">
        <w:rPr>
          <w:rFonts w:cs="Times New Roman"/>
          <w:szCs w:val="24"/>
        </w:rPr>
        <w:ptab w:relativeTo="margin" w:alignment="right" w:leader="dot"/>
      </w:r>
      <w:r>
        <w:rPr>
          <w:rFonts w:cs="Times New Roman"/>
          <w:szCs w:val="24"/>
        </w:rPr>
        <w:t>44</w:t>
      </w:r>
    </w:p>
    <w:p w14:paraId="66E4F68E" w14:textId="77777777" w:rsidR="00274225" w:rsidRPr="00107A70" w:rsidRDefault="00274225" w:rsidP="00274225">
      <w:pPr>
        <w:pStyle w:val="TOC3"/>
        <w:ind w:left="720" w:firstLine="720"/>
        <w:rPr>
          <w:rFonts w:cs="Times New Roman"/>
          <w:szCs w:val="24"/>
        </w:rPr>
      </w:pPr>
      <w:r>
        <w:rPr>
          <w:rFonts w:cs="Times New Roman"/>
          <w:szCs w:val="24"/>
        </w:rPr>
        <w:t>NESTLE Thermal Hydraulics Parameters</w:t>
      </w:r>
      <w:r w:rsidRPr="00EB013A">
        <w:rPr>
          <w:rFonts w:cs="Times New Roman"/>
          <w:szCs w:val="24"/>
        </w:rPr>
        <w:ptab w:relativeTo="margin" w:alignment="right" w:leader="dot"/>
      </w:r>
      <w:r>
        <w:rPr>
          <w:rFonts w:cs="Times New Roman"/>
          <w:szCs w:val="24"/>
        </w:rPr>
        <w:t>48</w:t>
      </w:r>
    </w:p>
    <w:p w14:paraId="78D3A2DD" w14:textId="77777777" w:rsidR="00274225" w:rsidRDefault="00274225" w:rsidP="00274225">
      <w:pPr>
        <w:pStyle w:val="TOC3"/>
        <w:spacing w:line="20" w:lineRule="atLeast"/>
        <w:ind w:left="1080"/>
        <w:jc w:val="left"/>
        <w:rPr>
          <w:rFonts w:cs="Times New Roman"/>
          <w:szCs w:val="24"/>
        </w:rPr>
      </w:pPr>
      <w:r>
        <w:rPr>
          <w:rFonts w:cs="Times New Roman"/>
          <w:szCs w:val="24"/>
        </w:rPr>
        <w:t>Fuel Performance Model</w:t>
      </w:r>
      <w:r w:rsidRPr="00EB013A">
        <w:rPr>
          <w:rFonts w:cs="Times New Roman"/>
          <w:szCs w:val="24"/>
        </w:rPr>
        <w:ptab w:relativeTo="margin" w:alignment="right" w:leader="dot"/>
      </w:r>
      <w:r>
        <w:rPr>
          <w:rFonts w:cs="Times New Roman"/>
          <w:szCs w:val="24"/>
        </w:rPr>
        <w:t>49</w:t>
      </w:r>
    </w:p>
    <w:p w14:paraId="6A1BED19" w14:textId="77777777" w:rsidR="00274225" w:rsidRPr="008B10EC" w:rsidRDefault="00274225" w:rsidP="00274225">
      <w:pPr>
        <w:pStyle w:val="TOC3"/>
        <w:spacing w:line="20" w:lineRule="atLeast"/>
        <w:ind w:left="1080" w:firstLine="360"/>
        <w:jc w:val="left"/>
        <w:rPr>
          <w:rFonts w:cs="Times New Roman"/>
          <w:szCs w:val="24"/>
        </w:rPr>
      </w:pPr>
      <w:r>
        <w:rPr>
          <w:rFonts w:cs="Times New Roman"/>
          <w:szCs w:val="24"/>
        </w:rPr>
        <w:t>Coupling BISON-CASL and NESTLE</w:t>
      </w:r>
      <w:r w:rsidRPr="00EB013A">
        <w:rPr>
          <w:rFonts w:cs="Times New Roman"/>
          <w:szCs w:val="24"/>
        </w:rPr>
        <w:ptab w:relativeTo="margin" w:alignment="right" w:leader="dot"/>
      </w:r>
      <w:r>
        <w:rPr>
          <w:rFonts w:cs="Times New Roman"/>
          <w:szCs w:val="24"/>
        </w:rPr>
        <w:t>50</w:t>
      </w:r>
    </w:p>
    <w:p w14:paraId="4C63B8D0" w14:textId="77777777" w:rsidR="00274225" w:rsidRPr="003F297C" w:rsidRDefault="00274225" w:rsidP="00274225">
      <w:pPr>
        <w:pStyle w:val="TOC3"/>
        <w:spacing w:line="20" w:lineRule="atLeast"/>
        <w:ind w:left="1080" w:firstLine="360"/>
        <w:jc w:val="left"/>
        <w:rPr>
          <w:rFonts w:cs="Times New Roman"/>
          <w:szCs w:val="24"/>
        </w:rPr>
      </w:pPr>
      <w:r>
        <w:rPr>
          <w:rFonts w:cs="Times New Roman"/>
          <w:szCs w:val="24"/>
        </w:rPr>
        <w:t>BISON-CASL Simulations of FeCrAl and Zirconium</w:t>
      </w:r>
      <w:r w:rsidRPr="00EB013A">
        <w:rPr>
          <w:rFonts w:cs="Times New Roman"/>
          <w:szCs w:val="24"/>
        </w:rPr>
        <w:ptab w:relativeTo="margin" w:alignment="right" w:leader="dot"/>
      </w:r>
      <w:r>
        <w:rPr>
          <w:rFonts w:cs="Times New Roman"/>
          <w:szCs w:val="24"/>
        </w:rPr>
        <w:t>50</w:t>
      </w:r>
    </w:p>
    <w:p w14:paraId="28B5F083" w14:textId="77777777" w:rsidR="00274225" w:rsidRPr="003E176D" w:rsidRDefault="00274225" w:rsidP="00274225">
      <w:pPr>
        <w:pStyle w:val="TOC1"/>
        <w:numPr>
          <w:ilvl w:val="0"/>
          <w:numId w:val="12"/>
        </w:numPr>
      </w:pPr>
      <w:r>
        <w:t xml:space="preserve">PWR </w:t>
      </w:r>
      <w:r w:rsidRPr="003E176D">
        <w:t>Results</w:t>
      </w:r>
      <w:r w:rsidRPr="003E176D">
        <w:ptab w:relativeTo="margin" w:alignment="right" w:leader="dot"/>
      </w:r>
      <w:r>
        <w:t>54</w:t>
      </w:r>
    </w:p>
    <w:p w14:paraId="66D8891C" w14:textId="77777777" w:rsidR="00274225" w:rsidRPr="003E176D" w:rsidRDefault="00274225" w:rsidP="00274225">
      <w:pPr>
        <w:pStyle w:val="TOC3"/>
        <w:ind w:left="360" w:firstLine="720"/>
        <w:rPr>
          <w:rFonts w:cs="Times New Roman"/>
          <w:szCs w:val="24"/>
        </w:rPr>
      </w:pPr>
      <w:r w:rsidRPr="003E176D">
        <w:rPr>
          <w:rFonts w:cs="Times New Roman"/>
          <w:szCs w:val="24"/>
        </w:rPr>
        <w:t>Preliminary Pin Cell Calculations</w:t>
      </w:r>
      <w:r w:rsidRPr="003E176D">
        <w:rPr>
          <w:rFonts w:cs="Times New Roman"/>
          <w:szCs w:val="24"/>
        </w:rPr>
        <w:ptab w:relativeTo="margin" w:alignment="right" w:leader="dot"/>
      </w:r>
      <w:r>
        <w:rPr>
          <w:rFonts w:cs="Times New Roman"/>
          <w:szCs w:val="24"/>
        </w:rPr>
        <w:t>54</w:t>
      </w:r>
    </w:p>
    <w:p w14:paraId="1C10E7DE" w14:textId="77777777" w:rsidR="00274225" w:rsidRPr="003E176D" w:rsidRDefault="00274225" w:rsidP="00274225">
      <w:pPr>
        <w:pStyle w:val="NoSpacing"/>
        <w:spacing w:line="360" w:lineRule="auto"/>
        <w:rPr>
          <w:rFonts w:cs="Times New Roman"/>
          <w:szCs w:val="24"/>
        </w:rPr>
      </w:pPr>
      <w:r w:rsidRPr="003E176D">
        <w:rPr>
          <w:rFonts w:cs="Times New Roman"/>
          <w:szCs w:val="24"/>
          <w:lang w:eastAsia="ja-JP"/>
        </w:rPr>
        <w:tab/>
      </w:r>
      <w:r w:rsidRPr="003E176D">
        <w:rPr>
          <w:rFonts w:cs="Times New Roman"/>
          <w:szCs w:val="24"/>
          <w:lang w:eastAsia="ja-JP"/>
        </w:rPr>
        <w:tab/>
        <w:t>Assessment of Insufficient Reactivity in FCM Fuel</w:t>
      </w:r>
      <w:r w:rsidRPr="003E176D">
        <w:rPr>
          <w:rFonts w:cs="Times New Roman"/>
          <w:szCs w:val="24"/>
        </w:rPr>
        <w:ptab w:relativeTo="margin" w:alignment="right" w:leader="dot"/>
      </w:r>
      <w:r>
        <w:rPr>
          <w:rFonts w:cs="Times New Roman"/>
          <w:szCs w:val="24"/>
        </w:rPr>
        <w:t>54</w:t>
      </w:r>
    </w:p>
    <w:p w14:paraId="4F9BEA51" w14:textId="77777777" w:rsidR="00274225" w:rsidRPr="003E176D" w:rsidRDefault="00274225" w:rsidP="00274225">
      <w:pPr>
        <w:pStyle w:val="NoSpacing"/>
        <w:spacing w:line="360" w:lineRule="auto"/>
        <w:ind w:left="720" w:firstLine="720"/>
        <w:rPr>
          <w:rFonts w:cs="Times New Roman"/>
          <w:szCs w:val="24"/>
        </w:rPr>
      </w:pPr>
      <w:r w:rsidRPr="003E176D">
        <w:rPr>
          <w:rFonts w:cs="Times New Roman"/>
          <w:szCs w:val="24"/>
        </w:rPr>
        <w:t>Reactivity Penalty of Alternate Cladding Concepts</w:t>
      </w:r>
      <w:r w:rsidRPr="003E176D">
        <w:rPr>
          <w:rFonts w:cs="Times New Roman"/>
          <w:szCs w:val="24"/>
        </w:rPr>
        <w:ptab w:relativeTo="margin" w:alignment="right" w:leader="dot"/>
      </w:r>
      <w:r>
        <w:rPr>
          <w:rFonts w:cs="Times New Roman"/>
          <w:szCs w:val="24"/>
        </w:rPr>
        <w:t>56</w:t>
      </w:r>
    </w:p>
    <w:p w14:paraId="2B7907E2" w14:textId="77777777" w:rsidR="00274225" w:rsidRPr="003E176D" w:rsidRDefault="00274225" w:rsidP="00274225">
      <w:pPr>
        <w:pStyle w:val="TOC3"/>
        <w:ind w:left="360" w:firstLine="720"/>
        <w:rPr>
          <w:rFonts w:cs="Times New Roman"/>
          <w:szCs w:val="24"/>
        </w:rPr>
      </w:pPr>
      <w:r w:rsidRPr="003E176D">
        <w:rPr>
          <w:rFonts w:cs="Times New Roman"/>
          <w:szCs w:val="24"/>
        </w:rPr>
        <w:t>Parametric Study Matching Reactivity Lifetime Requirements</w:t>
      </w:r>
      <w:r w:rsidRPr="003E176D">
        <w:rPr>
          <w:rFonts w:cs="Times New Roman"/>
          <w:szCs w:val="24"/>
        </w:rPr>
        <w:ptab w:relativeTo="margin" w:alignment="right" w:leader="dot"/>
      </w:r>
      <w:r>
        <w:rPr>
          <w:rFonts w:cs="Times New Roman"/>
          <w:szCs w:val="24"/>
        </w:rPr>
        <w:t>58</w:t>
      </w:r>
    </w:p>
    <w:p w14:paraId="5D303680" w14:textId="77777777" w:rsidR="00274225" w:rsidRPr="003E176D" w:rsidRDefault="00274225" w:rsidP="00274225">
      <w:pPr>
        <w:pStyle w:val="NoSpacing"/>
        <w:spacing w:line="360" w:lineRule="auto"/>
        <w:rPr>
          <w:rFonts w:cs="Times New Roman"/>
          <w:szCs w:val="24"/>
        </w:rPr>
      </w:pPr>
      <w:r w:rsidRPr="003E176D">
        <w:rPr>
          <w:rFonts w:cs="Times New Roman"/>
          <w:szCs w:val="24"/>
          <w:lang w:eastAsia="ja-JP"/>
        </w:rPr>
        <w:tab/>
      </w:r>
      <w:r w:rsidRPr="003E176D">
        <w:rPr>
          <w:rFonts w:cs="Times New Roman"/>
          <w:szCs w:val="24"/>
          <w:lang w:eastAsia="ja-JP"/>
        </w:rPr>
        <w:tab/>
        <w:t>FCM Particle Geometry Manipulation</w:t>
      </w:r>
      <w:r w:rsidRPr="003E176D">
        <w:rPr>
          <w:rFonts w:cs="Times New Roman"/>
          <w:szCs w:val="24"/>
        </w:rPr>
        <w:ptab w:relativeTo="margin" w:alignment="right" w:leader="dot"/>
      </w:r>
      <w:r>
        <w:rPr>
          <w:rFonts w:cs="Times New Roman"/>
          <w:szCs w:val="24"/>
        </w:rPr>
        <w:t>58</w:t>
      </w:r>
    </w:p>
    <w:p w14:paraId="1DA7BEB1" w14:textId="77777777" w:rsidR="00274225" w:rsidRPr="003E176D" w:rsidRDefault="00274225" w:rsidP="00274225">
      <w:pPr>
        <w:pStyle w:val="NoSpacing"/>
        <w:spacing w:line="360" w:lineRule="auto"/>
        <w:ind w:left="720" w:firstLine="720"/>
        <w:rPr>
          <w:rFonts w:cs="Times New Roman"/>
          <w:szCs w:val="24"/>
        </w:rPr>
      </w:pPr>
      <w:r w:rsidRPr="003E176D">
        <w:rPr>
          <w:rFonts w:cs="Times New Roman"/>
          <w:szCs w:val="24"/>
        </w:rPr>
        <w:t>Modifications of Alternate Cladding Thickness and Fuel Enrichment</w:t>
      </w:r>
      <w:r w:rsidRPr="003E176D">
        <w:rPr>
          <w:rFonts w:cs="Times New Roman"/>
          <w:szCs w:val="24"/>
        </w:rPr>
        <w:ptab w:relativeTo="margin" w:alignment="right" w:leader="dot"/>
      </w:r>
      <w:r>
        <w:rPr>
          <w:rFonts w:cs="Times New Roman"/>
          <w:szCs w:val="24"/>
        </w:rPr>
        <w:t>61</w:t>
      </w:r>
    </w:p>
    <w:p w14:paraId="474B5F3F" w14:textId="77777777" w:rsidR="00274225" w:rsidRPr="003E176D" w:rsidRDefault="00274225" w:rsidP="00274225">
      <w:pPr>
        <w:pStyle w:val="TOC3"/>
        <w:ind w:left="360" w:firstLine="720"/>
        <w:rPr>
          <w:rFonts w:cs="Times New Roman"/>
          <w:szCs w:val="24"/>
        </w:rPr>
      </w:pPr>
      <w:r w:rsidRPr="003E176D">
        <w:rPr>
          <w:rFonts w:cs="Times New Roman"/>
          <w:szCs w:val="24"/>
        </w:rPr>
        <w:t>Spectral Results</w:t>
      </w:r>
      <w:r w:rsidRPr="003E176D">
        <w:rPr>
          <w:rFonts w:cs="Times New Roman"/>
          <w:szCs w:val="24"/>
        </w:rPr>
        <w:ptab w:relativeTo="margin" w:alignment="right" w:leader="dot"/>
      </w:r>
      <w:r>
        <w:rPr>
          <w:rFonts w:cs="Times New Roman"/>
          <w:szCs w:val="24"/>
        </w:rPr>
        <w:t>65</w:t>
      </w:r>
    </w:p>
    <w:p w14:paraId="3191D0A6" w14:textId="77777777" w:rsidR="00274225" w:rsidRPr="003E176D" w:rsidRDefault="00274225" w:rsidP="00274225">
      <w:pPr>
        <w:pStyle w:val="NoSpacing"/>
        <w:spacing w:line="360" w:lineRule="auto"/>
        <w:rPr>
          <w:rFonts w:cs="Times New Roman"/>
          <w:szCs w:val="24"/>
        </w:rPr>
      </w:pPr>
      <w:r w:rsidRPr="003E176D">
        <w:rPr>
          <w:rFonts w:cs="Times New Roman"/>
          <w:szCs w:val="24"/>
          <w:lang w:eastAsia="ja-JP"/>
        </w:rPr>
        <w:tab/>
      </w:r>
      <w:r w:rsidRPr="003E176D">
        <w:rPr>
          <w:rFonts w:cs="Times New Roman"/>
          <w:szCs w:val="24"/>
          <w:lang w:eastAsia="ja-JP"/>
        </w:rPr>
        <w:tab/>
        <w:t>FCM Fuel Spectra Evaluation</w:t>
      </w:r>
      <w:r w:rsidRPr="003E176D">
        <w:rPr>
          <w:rFonts w:cs="Times New Roman"/>
          <w:szCs w:val="24"/>
        </w:rPr>
        <w:ptab w:relativeTo="margin" w:alignment="right" w:leader="dot"/>
      </w:r>
      <w:r>
        <w:rPr>
          <w:rFonts w:cs="Times New Roman"/>
          <w:szCs w:val="24"/>
        </w:rPr>
        <w:t>65</w:t>
      </w:r>
    </w:p>
    <w:p w14:paraId="41FE4533" w14:textId="77777777" w:rsidR="00274225" w:rsidRPr="003E176D" w:rsidRDefault="00274225" w:rsidP="00274225">
      <w:pPr>
        <w:pStyle w:val="NoSpacing"/>
        <w:spacing w:line="360" w:lineRule="auto"/>
        <w:ind w:left="720" w:firstLine="720"/>
        <w:rPr>
          <w:rFonts w:cs="Times New Roman"/>
          <w:szCs w:val="24"/>
        </w:rPr>
      </w:pPr>
      <w:r w:rsidRPr="003E176D">
        <w:rPr>
          <w:rFonts w:cs="Times New Roman"/>
          <w:szCs w:val="24"/>
        </w:rPr>
        <w:t>Alternate Cladding Spectral Hardening</w:t>
      </w:r>
      <w:r w:rsidRPr="003E176D">
        <w:rPr>
          <w:rFonts w:cs="Times New Roman"/>
          <w:szCs w:val="24"/>
        </w:rPr>
        <w:ptab w:relativeTo="margin" w:alignment="right" w:leader="dot"/>
      </w:r>
      <w:r>
        <w:rPr>
          <w:rFonts w:cs="Times New Roman"/>
          <w:szCs w:val="24"/>
        </w:rPr>
        <w:t>68</w:t>
      </w:r>
    </w:p>
    <w:p w14:paraId="52B187A6" w14:textId="77777777" w:rsidR="00274225" w:rsidRPr="003E176D" w:rsidRDefault="00274225" w:rsidP="00274225">
      <w:pPr>
        <w:pStyle w:val="TOC3"/>
        <w:ind w:left="360" w:firstLine="720"/>
        <w:rPr>
          <w:rFonts w:cs="Times New Roman"/>
          <w:szCs w:val="24"/>
        </w:rPr>
      </w:pPr>
      <w:r w:rsidRPr="003E176D">
        <w:rPr>
          <w:rFonts w:cs="Times New Roman"/>
          <w:szCs w:val="24"/>
        </w:rPr>
        <w:t>Reactivity Coefficients</w:t>
      </w:r>
      <w:r w:rsidRPr="003E176D">
        <w:rPr>
          <w:rFonts w:cs="Times New Roman"/>
          <w:szCs w:val="24"/>
        </w:rPr>
        <w:ptab w:relativeTo="margin" w:alignment="right" w:leader="dot"/>
      </w:r>
      <w:r>
        <w:rPr>
          <w:rFonts w:cs="Times New Roman"/>
          <w:szCs w:val="24"/>
        </w:rPr>
        <w:t>69</w:t>
      </w:r>
    </w:p>
    <w:p w14:paraId="7FADC823" w14:textId="77777777" w:rsidR="00274225" w:rsidRDefault="00274225" w:rsidP="00274225">
      <w:pPr>
        <w:pStyle w:val="NoSpacing"/>
        <w:spacing w:line="360" w:lineRule="auto"/>
        <w:ind w:left="360" w:firstLine="720"/>
        <w:rPr>
          <w:rFonts w:cs="Times New Roman"/>
          <w:szCs w:val="24"/>
        </w:rPr>
      </w:pPr>
      <w:r w:rsidRPr="003E176D">
        <w:rPr>
          <w:rFonts w:cs="Times New Roman"/>
          <w:szCs w:val="24"/>
        </w:rPr>
        <w:t>FCM Lattice Power Peaking C</w:t>
      </w:r>
      <w:r w:rsidRPr="008860C4">
        <w:rPr>
          <w:rFonts w:cs="Times New Roman"/>
          <w:szCs w:val="24"/>
        </w:rPr>
        <w:t>alculations</w:t>
      </w:r>
      <w:r w:rsidRPr="008860C4">
        <w:rPr>
          <w:rFonts w:cs="Times New Roman"/>
          <w:szCs w:val="24"/>
        </w:rPr>
        <w:ptab w:relativeTo="margin" w:alignment="right" w:leader="dot"/>
      </w:r>
      <w:r>
        <w:rPr>
          <w:rFonts w:cs="Times New Roman"/>
          <w:szCs w:val="24"/>
        </w:rPr>
        <w:t>71</w:t>
      </w:r>
    </w:p>
    <w:p w14:paraId="48E3E8F1" w14:textId="77777777" w:rsidR="00274225" w:rsidRPr="005678BA" w:rsidRDefault="00274225" w:rsidP="00274225">
      <w:pPr>
        <w:pStyle w:val="TOC1"/>
        <w:numPr>
          <w:ilvl w:val="0"/>
          <w:numId w:val="12"/>
        </w:numPr>
      </w:pPr>
      <w:r>
        <w:t xml:space="preserve">BWR </w:t>
      </w:r>
      <w:r w:rsidRPr="003E176D">
        <w:t>Results</w:t>
      </w:r>
      <w:r w:rsidRPr="003E176D">
        <w:ptab w:relativeTo="margin" w:alignment="right" w:leader="dot"/>
      </w:r>
      <w:r>
        <w:t>74</w:t>
      </w:r>
    </w:p>
    <w:p w14:paraId="6A6C338D" w14:textId="77777777" w:rsidR="00274225" w:rsidRPr="003E176D" w:rsidRDefault="00274225" w:rsidP="00274225">
      <w:pPr>
        <w:pStyle w:val="TOC3"/>
        <w:ind w:left="1080"/>
        <w:jc w:val="left"/>
        <w:rPr>
          <w:rFonts w:cs="Times New Roman"/>
          <w:szCs w:val="24"/>
        </w:rPr>
      </w:pPr>
      <w:r>
        <w:rPr>
          <w:rFonts w:cs="Times New Roman"/>
          <w:szCs w:val="24"/>
        </w:rPr>
        <w:t>Preliminary BWR Lattice Physics Results</w:t>
      </w:r>
      <w:r w:rsidRPr="003E176D">
        <w:rPr>
          <w:rFonts w:cs="Times New Roman"/>
          <w:szCs w:val="24"/>
        </w:rPr>
        <w:ptab w:relativeTo="margin" w:alignment="right" w:leader="dot"/>
      </w:r>
      <w:r>
        <w:rPr>
          <w:rFonts w:cs="Times New Roman"/>
          <w:szCs w:val="24"/>
        </w:rPr>
        <w:t>74</w:t>
      </w:r>
    </w:p>
    <w:p w14:paraId="5402856F" w14:textId="77777777" w:rsidR="00274225" w:rsidRPr="003E176D" w:rsidRDefault="00274225" w:rsidP="00274225">
      <w:pPr>
        <w:pStyle w:val="TOC3"/>
        <w:ind w:left="360" w:firstLine="720"/>
        <w:rPr>
          <w:rFonts w:cs="Times New Roman"/>
          <w:szCs w:val="24"/>
        </w:rPr>
      </w:pPr>
      <w:r>
        <w:rPr>
          <w:rFonts w:cs="Times New Roman"/>
          <w:szCs w:val="24"/>
        </w:rPr>
        <w:t>Two-Dimensional Parametric Study</w:t>
      </w:r>
      <w:r w:rsidRPr="003E176D">
        <w:rPr>
          <w:rFonts w:cs="Times New Roman"/>
          <w:szCs w:val="24"/>
        </w:rPr>
        <w:ptab w:relativeTo="margin" w:alignment="right" w:leader="dot"/>
      </w:r>
      <w:r>
        <w:rPr>
          <w:rFonts w:cs="Times New Roman"/>
          <w:szCs w:val="24"/>
        </w:rPr>
        <w:t>77</w:t>
      </w:r>
    </w:p>
    <w:p w14:paraId="7FC5CBA9" w14:textId="77777777" w:rsidR="00274225" w:rsidRPr="003E176D" w:rsidRDefault="00274225" w:rsidP="00274225">
      <w:pPr>
        <w:pStyle w:val="TOC3"/>
        <w:ind w:left="360" w:firstLine="720"/>
        <w:rPr>
          <w:rFonts w:cs="Times New Roman"/>
          <w:szCs w:val="24"/>
        </w:rPr>
      </w:pPr>
      <w:r>
        <w:rPr>
          <w:rFonts w:cs="Times New Roman"/>
          <w:szCs w:val="24"/>
        </w:rPr>
        <w:t>Full-Core BWR Models</w:t>
      </w:r>
      <w:r w:rsidRPr="003E176D">
        <w:rPr>
          <w:rFonts w:cs="Times New Roman"/>
          <w:szCs w:val="24"/>
        </w:rPr>
        <w:ptab w:relativeTo="margin" w:alignment="right" w:leader="dot"/>
      </w:r>
      <w:r>
        <w:rPr>
          <w:rFonts w:cs="Times New Roman"/>
          <w:szCs w:val="24"/>
        </w:rPr>
        <w:t>80</w:t>
      </w:r>
    </w:p>
    <w:p w14:paraId="62231884" w14:textId="77777777" w:rsidR="00274225" w:rsidRDefault="00274225" w:rsidP="00274225">
      <w:pPr>
        <w:pStyle w:val="TOC3"/>
        <w:ind w:left="360" w:firstLine="720"/>
        <w:rPr>
          <w:rFonts w:cs="Times New Roman"/>
          <w:szCs w:val="24"/>
        </w:rPr>
      </w:pPr>
      <w:r>
        <w:rPr>
          <w:rFonts w:cs="Times New Roman"/>
          <w:szCs w:val="24"/>
        </w:rPr>
        <w:t>Shuffle and Control Blade Optimization</w:t>
      </w:r>
      <w:r w:rsidRPr="003E176D">
        <w:rPr>
          <w:rFonts w:cs="Times New Roman"/>
          <w:szCs w:val="24"/>
        </w:rPr>
        <w:ptab w:relativeTo="margin" w:alignment="right" w:leader="dot"/>
      </w:r>
      <w:r>
        <w:rPr>
          <w:rFonts w:cs="Times New Roman"/>
          <w:szCs w:val="24"/>
        </w:rPr>
        <w:t>85</w:t>
      </w:r>
    </w:p>
    <w:p w14:paraId="77705F09" w14:textId="77777777" w:rsidR="00274225" w:rsidRPr="003E176D" w:rsidRDefault="00274225" w:rsidP="00274225">
      <w:pPr>
        <w:pStyle w:val="TOC3"/>
        <w:ind w:left="360" w:firstLine="720"/>
        <w:rPr>
          <w:rFonts w:cs="Times New Roman"/>
          <w:szCs w:val="24"/>
        </w:rPr>
      </w:pPr>
      <w:r>
        <w:rPr>
          <w:rFonts w:cs="Times New Roman"/>
          <w:szCs w:val="24"/>
        </w:rPr>
        <w:t>Hybrid SiC/FeCrAl Core</w:t>
      </w:r>
      <w:r w:rsidRPr="003E176D">
        <w:rPr>
          <w:rFonts w:cs="Times New Roman"/>
          <w:szCs w:val="24"/>
        </w:rPr>
        <w:t xml:space="preserve"> </w:t>
      </w:r>
      <w:r w:rsidRPr="003E176D">
        <w:rPr>
          <w:rFonts w:cs="Times New Roman"/>
          <w:szCs w:val="24"/>
        </w:rPr>
        <w:ptab w:relativeTo="margin" w:alignment="right" w:leader="dot"/>
      </w:r>
      <w:r>
        <w:rPr>
          <w:rFonts w:cs="Times New Roman"/>
          <w:szCs w:val="24"/>
        </w:rPr>
        <w:t>92</w:t>
      </w:r>
    </w:p>
    <w:p w14:paraId="2CFAC95E" w14:textId="77777777" w:rsidR="00274225" w:rsidRPr="00821744" w:rsidRDefault="00274225" w:rsidP="00274225">
      <w:pPr>
        <w:pStyle w:val="NoSpacing"/>
        <w:spacing w:line="360" w:lineRule="auto"/>
        <w:ind w:left="360" w:firstLine="720"/>
        <w:rPr>
          <w:rFonts w:cs="Times New Roman"/>
          <w:szCs w:val="24"/>
        </w:rPr>
      </w:pPr>
      <w:r>
        <w:rPr>
          <w:rFonts w:cs="Times New Roman"/>
          <w:szCs w:val="24"/>
        </w:rPr>
        <w:t xml:space="preserve">Fuel Performance </w:t>
      </w:r>
      <w:r w:rsidRPr="00821744">
        <w:rPr>
          <w:rFonts w:cs="Times New Roman"/>
          <w:szCs w:val="24"/>
        </w:rPr>
        <w:t>Results</w:t>
      </w:r>
      <w:r w:rsidRPr="00821744">
        <w:rPr>
          <w:rFonts w:cs="Times New Roman"/>
          <w:szCs w:val="24"/>
        </w:rPr>
        <w:ptab w:relativeTo="margin" w:alignment="right" w:leader="dot"/>
      </w:r>
      <w:r>
        <w:rPr>
          <w:rFonts w:cs="Times New Roman"/>
          <w:szCs w:val="24"/>
        </w:rPr>
        <w:t>94</w:t>
      </w:r>
    </w:p>
    <w:p w14:paraId="2C0BE09C" w14:textId="77777777" w:rsidR="00274225" w:rsidRPr="00821744" w:rsidRDefault="00274225" w:rsidP="00274225">
      <w:pPr>
        <w:pStyle w:val="NoSpacing"/>
        <w:spacing w:line="360" w:lineRule="auto"/>
        <w:ind w:left="720" w:firstLine="720"/>
        <w:rPr>
          <w:rFonts w:cs="Times New Roman"/>
          <w:szCs w:val="24"/>
        </w:rPr>
      </w:pPr>
      <w:r w:rsidRPr="00821744">
        <w:rPr>
          <w:rFonts w:cs="Times New Roman"/>
          <w:szCs w:val="24"/>
        </w:rPr>
        <w:t>Fuel Rod Power History Calculations</w:t>
      </w:r>
      <w:r w:rsidRPr="00821744">
        <w:rPr>
          <w:rFonts w:cs="Times New Roman"/>
          <w:szCs w:val="24"/>
        </w:rPr>
        <w:ptab w:relativeTo="margin" w:alignment="right" w:leader="dot"/>
      </w:r>
      <w:r>
        <w:rPr>
          <w:rFonts w:cs="Times New Roman"/>
          <w:szCs w:val="24"/>
        </w:rPr>
        <w:t>94</w:t>
      </w:r>
    </w:p>
    <w:p w14:paraId="5EB482C2" w14:textId="77777777" w:rsidR="00274225" w:rsidRPr="00821744" w:rsidRDefault="00274225" w:rsidP="00274225">
      <w:pPr>
        <w:pStyle w:val="NoSpacing"/>
        <w:spacing w:line="360" w:lineRule="auto"/>
        <w:ind w:left="720" w:firstLine="720"/>
        <w:rPr>
          <w:rFonts w:cs="Times New Roman"/>
          <w:szCs w:val="24"/>
        </w:rPr>
      </w:pPr>
      <w:r w:rsidRPr="00821744">
        <w:rPr>
          <w:rFonts w:cs="Times New Roman"/>
          <w:szCs w:val="24"/>
        </w:rPr>
        <w:t>BISSON-CASL Results</w:t>
      </w:r>
      <w:r w:rsidRPr="00821744">
        <w:rPr>
          <w:rFonts w:cs="Times New Roman"/>
          <w:szCs w:val="24"/>
        </w:rPr>
        <w:ptab w:relativeTo="margin" w:alignment="right" w:leader="dot"/>
      </w:r>
      <w:r>
        <w:rPr>
          <w:rFonts w:cs="Times New Roman"/>
          <w:szCs w:val="24"/>
        </w:rPr>
        <w:t>97</w:t>
      </w:r>
    </w:p>
    <w:p w14:paraId="4E092E42" w14:textId="77777777" w:rsidR="00274225" w:rsidRPr="005678BA" w:rsidRDefault="00274225" w:rsidP="00274225">
      <w:pPr>
        <w:pStyle w:val="TOC1"/>
        <w:numPr>
          <w:ilvl w:val="0"/>
          <w:numId w:val="12"/>
        </w:numPr>
      </w:pPr>
      <w:r w:rsidRPr="00821744">
        <w:t>Conclusion/Future Work</w:t>
      </w:r>
      <w:r w:rsidRPr="00821744">
        <w:ptab w:relativeTo="margin" w:alignment="right" w:leader="dot"/>
      </w:r>
      <w:r>
        <w:t>100</w:t>
      </w:r>
    </w:p>
    <w:p w14:paraId="51407563" w14:textId="77777777" w:rsidR="00274225" w:rsidRPr="00460472" w:rsidRDefault="00274225" w:rsidP="00274225">
      <w:pPr>
        <w:pStyle w:val="TOC1"/>
        <w:ind w:left="1080"/>
        <w:jc w:val="both"/>
      </w:pPr>
      <w:r>
        <w:t>References</w:t>
      </w:r>
      <w:r w:rsidRPr="003E176D">
        <w:ptab w:relativeTo="margin" w:alignment="right" w:leader="dot"/>
      </w:r>
      <w:r>
        <w:t>103</w:t>
      </w:r>
    </w:p>
    <w:p w14:paraId="30E447E2" w14:textId="77777777" w:rsidR="00274225" w:rsidRDefault="00274225" w:rsidP="00274225">
      <w:pPr>
        <w:pStyle w:val="TOC1"/>
        <w:ind w:left="1080"/>
        <w:jc w:val="both"/>
      </w:pPr>
      <w:r>
        <w:t>Appendix</w:t>
      </w:r>
      <w:r w:rsidRPr="003E176D">
        <w:ptab w:relativeTo="margin" w:alignment="right" w:leader="dot"/>
      </w:r>
      <w:r>
        <w:t>107</w:t>
      </w:r>
    </w:p>
    <w:p w14:paraId="40A678AD" w14:textId="77777777" w:rsidR="00274225" w:rsidRPr="00821744" w:rsidRDefault="00274225" w:rsidP="00274225">
      <w:pPr>
        <w:pStyle w:val="NoSpacing"/>
        <w:spacing w:line="360" w:lineRule="auto"/>
        <w:ind w:left="360" w:firstLine="720"/>
        <w:jc w:val="both"/>
        <w:rPr>
          <w:rFonts w:cs="Times New Roman"/>
          <w:szCs w:val="24"/>
        </w:rPr>
      </w:pPr>
      <w:r w:rsidRPr="00821744">
        <w:rPr>
          <w:rFonts w:cs="Times New Roman"/>
          <w:szCs w:val="24"/>
        </w:rPr>
        <w:t>Appendix A – Sample 10 × 10 BWR Lattice Physics SCALE Input</w:t>
      </w:r>
      <w:r w:rsidRPr="00821744">
        <w:rPr>
          <w:rFonts w:cs="Times New Roman"/>
          <w:szCs w:val="24"/>
        </w:rPr>
        <w:ptab w:relativeTo="margin" w:alignment="right" w:leader="dot"/>
      </w:r>
      <w:r w:rsidRPr="00821744">
        <w:rPr>
          <w:rFonts w:cs="Times New Roman"/>
          <w:szCs w:val="24"/>
        </w:rPr>
        <w:t>1</w:t>
      </w:r>
      <w:r>
        <w:rPr>
          <w:rFonts w:cs="Times New Roman"/>
          <w:szCs w:val="24"/>
        </w:rPr>
        <w:t>08</w:t>
      </w:r>
    </w:p>
    <w:p w14:paraId="4D705AF1" w14:textId="77777777" w:rsidR="00274225" w:rsidRPr="00821744" w:rsidRDefault="00274225" w:rsidP="00274225">
      <w:pPr>
        <w:pStyle w:val="NoSpacing"/>
        <w:spacing w:line="360" w:lineRule="auto"/>
        <w:ind w:left="360" w:firstLine="720"/>
        <w:jc w:val="both"/>
        <w:rPr>
          <w:rFonts w:cs="Times New Roman"/>
          <w:szCs w:val="24"/>
        </w:rPr>
      </w:pPr>
      <w:r w:rsidRPr="00821744">
        <w:rPr>
          <w:rFonts w:cs="Times New Roman"/>
          <w:szCs w:val="24"/>
        </w:rPr>
        <w:t xml:space="preserve">Appendix B – </w:t>
      </w:r>
      <w:r w:rsidRPr="00821744">
        <w:rPr>
          <w:rFonts w:cs="Times New Roman"/>
          <w:sz w:val="28"/>
          <w:szCs w:val="24"/>
        </w:rPr>
        <w:t>Representative BWR NESTLE Input</w:t>
      </w:r>
      <w:r w:rsidRPr="00821744">
        <w:rPr>
          <w:rFonts w:cs="Times New Roman"/>
          <w:szCs w:val="24"/>
        </w:rPr>
        <w:ptab w:relativeTo="margin" w:alignment="right" w:leader="dot"/>
      </w:r>
      <w:r>
        <w:rPr>
          <w:rFonts w:cs="Times New Roman"/>
          <w:szCs w:val="24"/>
        </w:rPr>
        <w:t>114</w:t>
      </w:r>
    </w:p>
    <w:p w14:paraId="6A5D9E13" w14:textId="77777777" w:rsidR="00274225" w:rsidRPr="00821744" w:rsidRDefault="00274225" w:rsidP="00274225">
      <w:pPr>
        <w:pStyle w:val="NoSpacing"/>
        <w:spacing w:line="360" w:lineRule="auto"/>
        <w:ind w:left="360" w:firstLine="720"/>
        <w:jc w:val="both"/>
        <w:rPr>
          <w:rFonts w:cs="Times New Roman"/>
          <w:szCs w:val="24"/>
        </w:rPr>
      </w:pPr>
      <w:r w:rsidRPr="00821744">
        <w:rPr>
          <w:rFonts w:cs="Times New Roman"/>
          <w:szCs w:val="24"/>
        </w:rPr>
        <w:t>Appendix C – Sample LWROpt Input</w:t>
      </w:r>
      <w:r w:rsidRPr="00821744">
        <w:rPr>
          <w:rFonts w:cs="Times New Roman"/>
          <w:szCs w:val="24"/>
        </w:rPr>
        <w:ptab w:relativeTo="margin" w:alignment="right" w:leader="dot"/>
      </w:r>
      <w:r>
        <w:rPr>
          <w:rFonts w:cs="Times New Roman"/>
          <w:szCs w:val="24"/>
        </w:rPr>
        <w:t>121</w:t>
      </w:r>
    </w:p>
    <w:p w14:paraId="24862688" w14:textId="77777777" w:rsidR="00274225" w:rsidRPr="004C66BE" w:rsidRDefault="00274225" w:rsidP="00274225">
      <w:pPr>
        <w:pStyle w:val="TOC1"/>
        <w:ind w:left="1080"/>
        <w:jc w:val="both"/>
      </w:pPr>
      <w:r>
        <w:t>Vita</w:t>
      </w:r>
      <w:r w:rsidRPr="003E176D">
        <w:ptab w:relativeTo="margin" w:alignment="right" w:leader="dot"/>
      </w:r>
      <w:r>
        <w:t>124</w:t>
      </w:r>
    </w:p>
    <w:p w14:paraId="731306E1" w14:textId="77777777" w:rsidR="00D40074" w:rsidRDefault="00D40074" w:rsidP="00932EB1">
      <w:pPr>
        <w:jc w:val="left"/>
        <w:rPr>
          <w:rFonts w:cs="Times New Roman"/>
          <w:b/>
          <w:sz w:val="32"/>
        </w:rPr>
      </w:pPr>
    </w:p>
    <w:p w14:paraId="3BFBD1DC" w14:textId="77777777" w:rsidR="00D40074" w:rsidRDefault="00D40074" w:rsidP="00932EB1">
      <w:pPr>
        <w:jc w:val="left"/>
        <w:rPr>
          <w:rFonts w:cs="Times New Roman"/>
          <w:b/>
          <w:sz w:val="32"/>
        </w:rPr>
      </w:pPr>
    </w:p>
    <w:p w14:paraId="46AEC2F5" w14:textId="77777777" w:rsidR="00D40074" w:rsidRDefault="00D40074" w:rsidP="00932EB1">
      <w:pPr>
        <w:jc w:val="left"/>
        <w:rPr>
          <w:rFonts w:cs="Times New Roman"/>
          <w:b/>
          <w:sz w:val="32"/>
        </w:rPr>
      </w:pPr>
    </w:p>
    <w:p w14:paraId="397A0945" w14:textId="77777777" w:rsidR="00D40074" w:rsidRDefault="00D40074" w:rsidP="00932EB1">
      <w:pPr>
        <w:jc w:val="left"/>
        <w:rPr>
          <w:rFonts w:cs="Times New Roman"/>
          <w:b/>
          <w:sz w:val="32"/>
        </w:rPr>
      </w:pPr>
    </w:p>
    <w:p w14:paraId="19C274DC" w14:textId="77777777" w:rsidR="00D40074" w:rsidRDefault="00D40074" w:rsidP="00932EB1">
      <w:pPr>
        <w:jc w:val="left"/>
        <w:rPr>
          <w:rFonts w:cs="Times New Roman"/>
          <w:b/>
          <w:sz w:val="32"/>
        </w:rPr>
      </w:pPr>
    </w:p>
    <w:p w14:paraId="5409D8C3" w14:textId="77777777" w:rsidR="00D40074" w:rsidRDefault="00D40074" w:rsidP="00932EB1">
      <w:pPr>
        <w:jc w:val="left"/>
        <w:rPr>
          <w:rFonts w:cs="Times New Roman"/>
          <w:b/>
          <w:sz w:val="32"/>
        </w:rPr>
      </w:pPr>
    </w:p>
    <w:p w14:paraId="18CD9D90" w14:textId="77777777" w:rsidR="00D40074" w:rsidRDefault="00D40074" w:rsidP="00932EB1">
      <w:pPr>
        <w:jc w:val="left"/>
        <w:rPr>
          <w:rFonts w:cs="Times New Roman"/>
          <w:b/>
          <w:sz w:val="32"/>
        </w:rPr>
      </w:pPr>
    </w:p>
    <w:p w14:paraId="2322664B" w14:textId="77777777" w:rsidR="00D40074" w:rsidRDefault="00D40074" w:rsidP="00932EB1">
      <w:pPr>
        <w:jc w:val="left"/>
        <w:rPr>
          <w:rFonts w:cs="Times New Roman"/>
          <w:b/>
          <w:sz w:val="32"/>
        </w:rPr>
      </w:pPr>
    </w:p>
    <w:p w14:paraId="79BB21EF" w14:textId="77777777" w:rsidR="00D40074" w:rsidRDefault="00D40074" w:rsidP="00932EB1">
      <w:pPr>
        <w:jc w:val="left"/>
        <w:rPr>
          <w:rFonts w:cs="Times New Roman"/>
          <w:b/>
          <w:sz w:val="32"/>
        </w:rPr>
      </w:pPr>
    </w:p>
    <w:p w14:paraId="1B11D419" w14:textId="77777777" w:rsidR="00D40074" w:rsidRDefault="00D40074" w:rsidP="00932EB1">
      <w:pPr>
        <w:jc w:val="left"/>
        <w:rPr>
          <w:rFonts w:cs="Times New Roman"/>
          <w:b/>
          <w:sz w:val="32"/>
        </w:rPr>
      </w:pPr>
    </w:p>
    <w:p w14:paraId="160289BE" w14:textId="77777777" w:rsidR="00D40074" w:rsidRDefault="00D40074" w:rsidP="00932EB1">
      <w:pPr>
        <w:jc w:val="left"/>
        <w:rPr>
          <w:rFonts w:cs="Times New Roman"/>
          <w:b/>
          <w:sz w:val="32"/>
        </w:rPr>
      </w:pPr>
    </w:p>
    <w:p w14:paraId="7A6AFC83" w14:textId="77777777" w:rsidR="00D40074" w:rsidRDefault="00D40074" w:rsidP="00932EB1">
      <w:pPr>
        <w:jc w:val="left"/>
        <w:rPr>
          <w:rFonts w:cs="Times New Roman"/>
          <w:b/>
          <w:sz w:val="32"/>
        </w:rPr>
      </w:pPr>
    </w:p>
    <w:p w14:paraId="75661A28" w14:textId="77777777" w:rsidR="00D40074" w:rsidRDefault="00D40074" w:rsidP="00932EB1">
      <w:pPr>
        <w:jc w:val="left"/>
        <w:rPr>
          <w:rFonts w:cs="Times New Roman"/>
          <w:b/>
          <w:sz w:val="32"/>
        </w:rPr>
      </w:pPr>
    </w:p>
    <w:p w14:paraId="69067860" w14:textId="77777777" w:rsidR="00D40074" w:rsidRDefault="00D40074" w:rsidP="00932EB1">
      <w:pPr>
        <w:jc w:val="left"/>
        <w:rPr>
          <w:rFonts w:cs="Times New Roman"/>
          <w:b/>
          <w:sz w:val="32"/>
        </w:rPr>
      </w:pPr>
    </w:p>
    <w:p w14:paraId="44F91EFA" w14:textId="77777777" w:rsidR="00AA38FB" w:rsidRDefault="00AA38FB" w:rsidP="00932EB1">
      <w:pPr>
        <w:jc w:val="left"/>
        <w:rPr>
          <w:rFonts w:cs="Times New Roman"/>
          <w:b/>
          <w:sz w:val="32"/>
        </w:rPr>
      </w:pPr>
    </w:p>
    <w:p w14:paraId="3E474F07" w14:textId="77777777" w:rsidR="003D6D4C" w:rsidRDefault="003D6D4C" w:rsidP="00932EB1">
      <w:pPr>
        <w:jc w:val="left"/>
        <w:rPr>
          <w:rFonts w:cs="Times New Roman"/>
          <w:b/>
          <w:sz w:val="32"/>
        </w:rPr>
      </w:pPr>
    </w:p>
    <w:p w14:paraId="3D53E0E7" w14:textId="77777777" w:rsidR="00124D14" w:rsidRDefault="00124D14" w:rsidP="00932EB1">
      <w:pPr>
        <w:jc w:val="left"/>
        <w:rPr>
          <w:rFonts w:cs="Times New Roman"/>
          <w:b/>
          <w:sz w:val="32"/>
        </w:rPr>
      </w:pPr>
    </w:p>
    <w:p w14:paraId="4A5B31D2" w14:textId="63F912A7" w:rsidR="00E9251E" w:rsidRDefault="003D6D4C" w:rsidP="00E9251E">
      <w:pPr>
        <w:jc w:val="both"/>
        <w:rPr>
          <w:rFonts w:cs="Times New Roman"/>
          <w:b/>
          <w:sz w:val="32"/>
        </w:rPr>
      </w:pPr>
      <w:r>
        <w:rPr>
          <w:rFonts w:cs="Times New Roman"/>
          <w:b/>
          <w:sz w:val="32"/>
        </w:rPr>
        <w:lastRenderedPageBreak/>
        <w:t>LIST OF TABLES</w:t>
      </w:r>
    </w:p>
    <w:p w14:paraId="7D0B1581" w14:textId="77777777" w:rsidR="00274225" w:rsidRDefault="00E9251E">
      <w:pPr>
        <w:pStyle w:val="TableofFigures"/>
        <w:tabs>
          <w:tab w:val="right" w:leader="dot" w:pos="9350"/>
        </w:tabs>
        <w:rPr>
          <w:rFonts w:asciiTheme="minorHAnsi" w:eastAsiaTheme="minorEastAsia" w:hAnsiTheme="minorHAnsi"/>
          <w:noProof/>
          <w:sz w:val="22"/>
        </w:rPr>
      </w:pPr>
      <w:r>
        <w:rPr>
          <w:rFonts w:cs="Times New Roman"/>
          <w:szCs w:val="24"/>
        </w:rPr>
        <w:fldChar w:fldCharType="begin"/>
      </w:r>
      <w:r>
        <w:rPr>
          <w:rFonts w:cs="Times New Roman"/>
          <w:szCs w:val="24"/>
        </w:rPr>
        <w:instrText xml:space="preserve"> TOC \h \z \c "Table" </w:instrText>
      </w:r>
      <w:r>
        <w:rPr>
          <w:rFonts w:cs="Times New Roman"/>
          <w:szCs w:val="24"/>
        </w:rPr>
        <w:fldChar w:fldCharType="separate"/>
      </w:r>
      <w:hyperlink w:anchor="_Toc416993423" w:history="1">
        <w:r w:rsidR="00274225" w:rsidRPr="00E41391">
          <w:rPr>
            <w:rStyle w:val="Hyperlink"/>
            <w:noProof/>
          </w:rPr>
          <w:t>Table I. Density and Microscopic Thermal Neutron Absorption [3]</w:t>
        </w:r>
        <w:r w:rsidR="00274225">
          <w:rPr>
            <w:noProof/>
            <w:webHidden/>
          </w:rPr>
          <w:tab/>
        </w:r>
        <w:r w:rsidR="00274225">
          <w:rPr>
            <w:noProof/>
            <w:webHidden/>
          </w:rPr>
          <w:fldChar w:fldCharType="begin"/>
        </w:r>
        <w:r w:rsidR="00274225">
          <w:rPr>
            <w:noProof/>
            <w:webHidden/>
          </w:rPr>
          <w:instrText xml:space="preserve"> PAGEREF _Toc416993423 \h </w:instrText>
        </w:r>
        <w:r w:rsidR="00274225">
          <w:rPr>
            <w:noProof/>
            <w:webHidden/>
          </w:rPr>
        </w:r>
        <w:r w:rsidR="00274225">
          <w:rPr>
            <w:noProof/>
            <w:webHidden/>
          </w:rPr>
          <w:fldChar w:fldCharType="separate"/>
        </w:r>
        <w:r w:rsidR="00274225">
          <w:rPr>
            <w:noProof/>
            <w:webHidden/>
          </w:rPr>
          <w:t>2</w:t>
        </w:r>
        <w:r w:rsidR="00274225">
          <w:rPr>
            <w:noProof/>
            <w:webHidden/>
          </w:rPr>
          <w:fldChar w:fldCharType="end"/>
        </w:r>
      </w:hyperlink>
    </w:p>
    <w:p w14:paraId="2D44E8A8" w14:textId="77777777" w:rsidR="00274225" w:rsidRDefault="00274225">
      <w:pPr>
        <w:pStyle w:val="TableofFigures"/>
        <w:tabs>
          <w:tab w:val="right" w:leader="dot" w:pos="9350"/>
        </w:tabs>
        <w:rPr>
          <w:rFonts w:asciiTheme="minorHAnsi" w:eastAsiaTheme="minorEastAsia" w:hAnsiTheme="minorHAnsi"/>
          <w:noProof/>
          <w:sz w:val="22"/>
        </w:rPr>
      </w:pPr>
      <w:hyperlink w:anchor="_Toc416993424" w:history="1">
        <w:r w:rsidRPr="00E41391">
          <w:rPr>
            <w:rStyle w:val="Hyperlink"/>
            <w:noProof/>
          </w:rPr>
          <w:t>Table II. Cladding Compositions Used for Fuel Reactivity Calculations</w:t>
        </w:r>
        <w:r>
          <w:rPr>
            <w:noProof/>
            <w:webHidden/>
          </w:rPr>
          <w:tab/>
        </w:r>
        <w:r>
          <w:rPr>
            <w:noProof/>
            <w:webHidden/>
          </w:rPr>
          <w:fldChar w:fldCharType="begin"/>
        </w:r>
        <w:r>
          <w:rPr>
            <w:noProof/>
            <w:webHidden/>
          </w:rPr>
          <w:instrText xml:space="preserve"> PAGEREF _Toc416993424 \h </w:instrText>
        </w:r>
        <w:r>
          <w:rPr>
            <w:noProof/>
            <w:webHidden/>
          </w:rPr>
        </w:r>
        <w:r>
          <w:rPr>
            <w:noProof/>
            <w:webHidden/>
          </w:rPr>
          <w:fldChar w:fldCharType="separate"/>
        </w:r>
        <w:r>
          <w:rPr>
            <w:noProof/>
            <w:webHidden/>
          </w:rPr>
          <w:t>25</w:t>
        </w:r>
        <w:r>
          <w:rPr>
            <w:noProof/>
            <w:webHidden/>
          </w:rPr>
          <w:fldChar w:fldCharType="end"/>
        </w:r>
      </w:hyperlink>
    </w:p>
    <w:p w14:paraId="479E32FF" w14:textId="77777777" w:rsidR="00274225" w:rsidRDefault="00274225">
      <w:pPr>
        <w:pStyle w:val="TableofFigures"/>
        <w:tabs>
          <w:tab w:val="right" w:leader="dot" w:pos="9350"/>
        </w:tabs>
        <w:rPr>
          <w:rFonts w:asciiTheme="minorHAnsi" w:eastAsiaTheme="minorEastAsia" w:hAnsiTheme="minorHAnsi"/>
          <w:noProof/>
          <w:sz w:val="22"/>
        </w:rPr>
      </w:pPr>
      <w:hyperlink w:anchor="_Toc416993425" w:history="1">
        <w:r w:rsidRPr="00E41391">
          <w:rPr>
            <w:rStyle w:val="Hyperlink"/>
            <w:noProof/>
          </w:rPr>
          <w:t>Table III. Various Rod Geometries used for Reactivity Calculations</w:t>
        </w:r>
        <w:r>
          <w:rPr>
            <w:noProof/>
            <w:webHidden/>
          </w:rPr>
          <w:tab/>
        </w:r>
        <w:r>
          <w:rPr>
            <w:noProof/>
            <w:webHidden/>
          </w:rPr>
          <w:fldChar w:fldCharType="begin"/>
        </w:r>
        <w:r>
          <w:rPr>
            <w:noProof/>
            <w:webHidden/>
          </w:rPr>
          <w:instrText xml:space="preserve"> PAGEREF _Toc416993425 \h </w:instrText>
        </w:r>
        <w:r>
          <w:rPr>
            <w:noProof/>
            <w:webHidden/>
          </w:rPr>
        </w:r>
        <w:r>
          <w:rPr>
            <w:noProof/>
            <w:webHidden/>
          </w:rPr>
          <w:fldChar w:fldCharType="separate"/>
        </w:r>
        <w:r>
          <w:rPr>
            <w:noProof/>
            <w:webHidden/>
          </w:rPr>
          <w:t>25</w:t>
        </w:r>
        <w:r>
          <w:rPr>
            <w:noProof/>
            <w:webHidden/>
          </w:rPr>
          <w:fldChar w:fldCharType="end"/>
        </w:r>
      </w:hyperlink>
    </w:p>
    <w:p w14:paraId="1B1742CC" w14:textId="77777777" w:rsidR="00274225" w:rsidRDefault="00274225">
      <w:pPr>
        <w:pStyle w:val="TableofFigures"/>
        <w:tabs>
          <w:tab w:val="right" w:leader="dot" w:pos="9350"/>
        </w:tabs>
        <w:rPr>
          <w:rFonts w:asciiTheme="minorHAnsi" w:eastAsiaTheme="minorEastAsia" w:hAnsiTheme="minorHAnsi"/>
          <w:noProof/>
          <w:sz w:val="22"/>
        </w:rPr>
      </w:pPr>
      <w:hyperlink w:anchor="_Toc416993426" w:history="1">
        <w:r w:rsidRPr="00E41391">
          <w:rPr>
            <w:rStyle w:val="Hyperlink"/>
            <w:noProof/>
          </w:rPr>
          <w:t>Table IV. Assumed Batch-dependent Assembly Counts, Core Volume Fractions, Relative Assembly Powers, and EFPD for a Typical Westinghouse PWR</w:t>
        </w:r>
        <w:r>
          <w:rPr>
            <w:noProof/>
            <w:webHidden/>
          </w:rPr>
          <w:tab/>
        </w:r>
        <w:r>
          <w:rPr>
            <w:noProof/>
            <w:webHidden/>
          </w:rPr>
          <w:fldChar w:fldCharType="begin"/>
        </w:r>
        <w:r>
          <w:rPr>
            <w:noProof/>
            <w:webHidden/>
          </w:rPr>
          <w:instrText xml:space="preserve"> PAGEREF _Toc416993426 \h </w:instrText>
        </w:r>
        <w:r>
          <w:rPr>
            <w:noProof/>
            <w:webHidden/>
          </w:rPr>
        </w:r>
        <w:r>
          <w:rPr>
            <w:noProof/>
            <w:webHidden/>
          </w:rPr>
          <w:fldChar w:fldCharType="separate"/>
        </w:r>
        <w:r>
          <w:rPr>
            <w:noProof/>
            <w:webHidden/>
          </w:rPr>
          <w:t>26</w:t>
        </w:r>
        <w:r>
          <w:rPr>
            <w:noProof/>
            <w:webHidden/>
          </w:rPr>
          <w:fldChar w:fldCharType="end"/>
        </w:r>
      </w:hyperlink>
    </w:p>
    <w:p w14:paraId="666A3DA3" w14:textId="77777777" w:rsidR="00274225" w:rsidRDefault="00274225">
      <w:pPr>
        <w:pStyle w:val="TableofFigures"/>
        <w:tabs>
          <w:tab w:val="right" w:leader="dot" w:pos="9350"/>
        </w:tabs>
        <w:rPr>
          <w:rFonts w:asciiTheme="minorHAnsi" w:eastAsiaTheme="minorEastAsia" w:hAnsiTheme="minorHAnsi"/>
          <w:noProof/>
          <w:sz w:val="22"/>
        </w:rPr>
      </w:pPr>
      <w:hyperlink w:anchor="_Toc416993427" w:history="1">
        <w:r w:rsidRPr="00E41391">
          <w:rPr>
            <w:rStyle w:val="Hyperlink"/>
            <w:noProof/>
          </w:rPr>
          <w:t>Table V. Assumed Batch-dependent Assembly Counts, Core Volume Fractions, Relative Assembly Powers, and EFPD for a Typical General Electric BWR</w:t>
        </w:r>
        <w:r>
          <w:rPr>
            <w:noProof/>
            <w:webHidden/>
          </w:rPr>
          <w:tab/>
        </w:r>
        <w:r>
          <w:rPr>
            <w:noProof/>
            <w:webHidden/>
          </w:rPr>
          <w:fldChar w:fldCharType="begin"/>
        </w:r>
        <w:r>
          <w:rPr>
            <w:noProof/>
            <w:webHidden/>
          </w:rPr>
          <w:instrText xml:space="preserve"> PAGEREF _Toc416993427 \h </w:instrText>
        </w:r>
        <w:r>
          <w:rPr>
            <w:noProof/>
            <w:webHidden/>
          </w:rPr>
        </w:r>
        <w:r>
          <w:rPr>
            <w:noProof/>
            <w:webHidden/>
          </w:rPr>
          <w:fldChar w:fldCharType="separate"/>
        </w:r>
        <w:r>
          <w:rPr>
            <w:noProof/>
            <w:webHidden/>
          </w:rPr>
          <w:t>34</w:t>
        </w:r>
        <w:r>
          <w:rPr>
            <w:noProof/>
            <w:webHidden/>
          </w:rPr>
          <w:fldChar w:fldCharType="end"/>
        </w:r>
      </w:hyperlink>
    </w:p>
    <w:p w14:paraId="14CB7288" w14:textId="77777777" w:rsidR="00274225" w:rsidRDefault="00274225">
      <w:pPr>
        <w:pStyle w:val="TableofFigures"/>
        <w:tabs>
          <w:tab w:val="right" w:leader="dot" w:pos="9350"/>
        </w:tabs>
        <w:rPr>
          <w:rFonts w:asciiTheme="minorHAnsi" w:eastAsiaTheme="minorEastAsia" w:hAnsiTheme="minorHAnsi"/>
          <w:noProof/>
          <w:sz w:val="22"/>
        </w:rPr>
      </w:pPr>
      <w:hyperlink w:anchor="_Toc416993428" w:history="1">
        <w:r w:rsidRPr="00E41391">
          <w:rPr>
            <w:rStyle w:val="Hyperlink"/>
            <w:noProof/>
          </w:rPr>
          <w:t>Table VI. Branch Perturbation Specifications used in CASMO-4</w:t>
        </w:r>
        <w:r>
          <w:rPr>
            <w:noProof/>
            <w:webHidden/>
          </w:rPr>
          <w:tab/>
        </w:r>
        <w:r>
          <w:rPr>
            <w:noProof/>
            <w:webHidden/>
          </w:rPr>
          <w:fldChar w:fldCharType="begin"/>
        </w:r>
        <w:r>
          <w:rPr>
            <w:noProof/>
            <w:webHidden/>
          </w:rPr>
          <w:instrText xml:space="preserve"> PAGEREF _Toc416993428 \h </w:instrText>
        </w:r>
        <w:r>
          <w:rPr>
            <w:noProof/>
            <w:webHidden/>
          </w:rPr>
        </w:r>
        <w:r>
          <w:rPr>
            <w:noProof/>
            <w:webHidden/>
          </w:rPr>
          <w:fldChar w:fldCharType="separate"/>
        </w:r>
        <w:r>
          <w:rPr>
            <w:noProof/>
            <w:webHidden/>
          </w:rPr>
          <w:t>38</w:t>
        </w:r>
        <w:r>
          <w:rPr>
            <w:noProof/>
            <w:webHidden/>
          </w:rPr>
          <w:fldChar w:fldCharType="end"/>
        </w:r>
      </w:hyperlink>
    </w:p>
    <w:p w14:paraId="5BF5767D" w14:textId="77777777" w:rsidR="00274225" w:rsidRDefault="00274225">
      <w:pPr>
        <w:pStyle w:val="TableofFigures"/>
        <w:tabs>
          <w:tab w:val="right" w:leader="dot" w:pos="9350"/>
        </w:tabs>
        <w:rPr>
          <w:rFonts w:asciiTheme="minorHAnsi" w:eastAsiaTheme="minorEastAsia" w:hAnsiTheme="minorHAnsi"/>
          <w:noProof/>
          <w:sz w:val="22"/>
        </w:rPr>
      </w:pPr>
      <w:hyperlink w:anchor="_Toc416993429" w:history="1">
        <w:r w:rsidRPr="00E41391">
          <w:rPr>
            <w:rStyle w:val="Hyperlink"/>
            <w:noProof/>
          </w:rPr>
          <w:t>Table VII: Control Blade Optimization Design Limits</w:t>
        </w:r>
        <w:r>
          <w:rPr>
            <w:noProof/>
            <w:webHidden/>
          </w:rPr>
          <w:tab/>
        </w:r>
        <w:r>
          <w:rPr>
            <w:noProof/>
            <w:webHidden/>
          </w:rPr>
          <w:fldChar w:fldCharType="begin"/>
        </w:r>
        <w:r>
          <w:rPr>
            <w:noProof/>
            <w:webHidden/>
          </w:rPr>
          <w:instrText xml:space="preserve"> PAGEREF _Toc416993429 \h </w:instrText>
        </w:r>
        <w:r>
          <w:rPr>
            <w:noProof/>
            <w:webHidden/>
          </w:rPr>
        </w:r>
        <w:r>
          <w:rPr>
            <w:noProof/>
            <w:webHidden/>
          </w:rPr>
          <w:fldChar w:fldCharType="separate"/>
        </w:r>
        <w:r>
          <w:rPr>
            <w:noProof/>
            <w:webHidden/>
          </w:rPr>
          <w:t>47</w:t>
        </w:r>
        <w:r>
          <w:rPr>
            <w:noProof/>
            <w:webHidden/>
          </w:rPr>
          <w:fldChar w:fldCharType="end"/>
        </w:r>
      </w:hyperlink>
    </w:p>
    <w:p w14:paraId="72CF8441"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0" w:history="1">
        <w:r w:rsidRPr="00E41391">
          <w:rPr>
            <w:rStyle w:val="Hyperlink"/>
            <w:noProof/>
          </w:rPr>
          <w:t>Table VIII. Core properties for NESTLE BWR model</w:t>
        </w:r>
        <w:r>
          <w:rPr>
            <w:noProof/>
            <w:webHidden/>
          </w:rPr>
          <w:tab/>
        </w:r>
        <w:r>
          <w:rPr>
            <w:noProof/>
            <w:webHidden/>
          </w:rPr>
          <w:fldChar w:fldCharType="begin"/>
        </w:r>
        <w:r>
          <w:rPr>
            <w:noProof/>
            <w:webHidden/>
          </w:rPr>
          <w:instrText xml:space="preserve"> PAGEREF _Toc416993430 \h </w:instrText>
        </w:r>
        <w:r>
          <w:rPr>
            <w:noProof/>
            <w:webHidden/>
          </w:rPr>
        </w:r>
        <w:r>
          <w:rPr>
            <w:noProof/>
            <w:webHidden/>
          </w:rPr>
          <w:fldChar w:fldCharType="separate"/>
        </w:r>
        <w:r>
          <w:rPr>
            <w:noProof/>
            <w:webHidden/>
          </w:rPr>
          <w:t>48</w:t>
        </w:r>
        <w:r>
          <w:rPr>
            <w:noProof/>
            <w:webHidden/>
          </w:rPr>
          <w:fldChar w:fldCharType="end"/>
        </w:r>
      </w:hyperlink>
    </w:p>
    <w:p w14:paraId="1E11B291"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1" w:history="1">
        <w:r w:rsidRPr="00E41391">
          <w:rPr>
            <w:rStyle w:val="Hyperlink"/>
            <w:noProof/>
          </w:rPr>
          <w:t>Table IX: Fuel performance geometry specifications</w:t>
        </w:r>
        <w:r>
          <w:rPr>
            <w:noProof/>
            <w:webHidden/>
          </w:rPr>
          <w:tab/>
        </w:r>
        <w:r>
          <w:rPr>
            <w:noProof/>
            <w:webHidden/>
          </w:rPr>
          <w:fldChar w:fldCharType="begin"/>
        </w:r>
        <w:r>
          <w:rPr>
            <w:noProof/>
            <w:webHidden/>
          </w:rPr>
          <w:instrText xml:space="preserve"> PAGEREF _Toc416993431 \h </w:instrText>
        </w:r>
        <w:r>
          <w:rPr>
            <w:noProof/>
            <w:webHidden/>
          </w:rPr>
        </w:r>
        <w:r>
          <w:rPr>
            <w:noProof/>
            <w:webHidden/>
          </w:rPr>
          <w:fldChar w:fldCharType="separate"/>
        </w:r>
        <w:r>
          <w:rPr>
            <w:noProof/>
            <w:webHidden/>
          </w:rPr>
          <w:t>52</w:t>
        </w:r>
        <w:r>
          <w:rPr>
            <w:noProof/>
            <w:webHidden/>
          </w:rPr>
          <w:fldChar w:fldCharType="end"/>
        </w:r>
      </w:hyperlink>
    </w:p>
    <w:p w14:paraId="27FC2F62"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2" w:history="1">
        <w:r w:rsidRPr="00E41391">
          <w:rPr>
            <w:rStyle w:val="Hyperlink"/>
            <w:noProof/>
          </w:rPr>
          <w:t>Table IX. Fuel Cycle Reactivity Models</w:t>
        </w:r>
        <w:r>
          <w:rPr>
            <w:noProof/>
            <w:webHidden/>
          </w:rPr>
          <w:tab/>
        </w:r>
        <w:r>
          <w:rPr>
            <w:noProof/>
            <w:webHidden/>
          </w:rPr>
          <w:fldChar w:fldCharType="begin"/>
        </w:r>
        <w:r>
          <w:rPr>
            <w:noProof/>
            <w:webHidden/>
          </w:rPr>
          <w:instrText xml:space="preserve"> PAGEREF _Toc416993432 \h </w:instrText>
        </w:r>
        <w:r>
          <w:rPr>
            <w:noProof/>
            <w:webHidden/>
          </w:rPr>
        </w:r>
        <w:r>
          <w:rPr>
            <w:noProof/>
            <w:webHidden/>
          </w:rPr>
          <w:fldChar w:fldCharType="separate"/>
        </w:r>
        <w:r>
          <w:rPr>
            <w:noProof/>
            <w:webHidden/>
          </w:rPr>
          <w:t>59</w:t>
        </w:r>
        <w:r>
          <w:rPr>
            <w:noProof/>
            <w:webHidden/>
          </w:rPr>
          <w:fldChar w:fldCharType="end"/>
        </w:r>
      </w:hyperlink>
    </w:p>
    <w:p w14:paraId="10B279C1"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3" w:history="1">
        <w:r w:rsidRPr="00E41391">
          <w:rPr>
            <w:rStyle w:val="Hyperlink"/>
            <w:noProof/>
          </w:rPr>
          <w:t>Table X. Cycle Reactivity Difference [</w:t>
        </w:r>
        <w:r w:rsidRPr="00E41391">
          <w:rPr>
            <w:rStyle w:val="Hyperlink"/>
            <w:rFonts w:ascii="Cambria Math" w:hAnsi="Cambria Math" w:cs="Cambria Math"/>
            <w:noProof/>
          </w:rPr>
          <w:t>𝛥</w:t>
        </w:r>
        <w:r w:rsidRPr="00E41391">
          <w:rPr>
            <w:rStyle w:val="Hyperlink"/>
            <w:noProof/>
          </w:rPr>
          <w:t>k</w:t>
        </w:r>
        <w:r w:rsidRPr="00E41391">
          <w:rPr>
            <w:rStyle w:val="Hyperlink"/>
            <w:noProof/>
            <w:vertAlign w:val="subscript"/>
          </w:rPr>
          <w:t>core</w:t>
        </w:r>
        <w:r w:rsidRPr="00E41391">
          <w:rPr>
            <w:rStyle w:val="Hyperlink"/>
            <w:noProof/>
          </w:rPr>
          <w:t>] for Alternate Fuel Cladding Concepts from the Reference PWR Fuel with Zircaloy-4 Cladding</w:t>
        </w:r>
        <w:r>
          <w:rPr>
            <w:noProof/>
            <w:webHidden/>
          </w:rPr>
          <w:tab/>
        </w:r>
        <w:r>
          <w:rPr>
            <w:noProof/>
            <w:webHidden/>
          </w:rPr>
          <w:fldChar w:fldCharType="begin"/>
        </w:r>
        <w:r>
          <w:rPr>
            <w:noProof/>
            <w:webHidden/>
          </w:rPr>
          <w:instrText xml:space="preserve"> PAGEREF _Toc416993433 \h </w:instrText>
        </w:r>
        <w:r>
          <w:rPr>
            <w:noProof/>
            <w:webHidden/>
          </w:rPr>
        </w:r>
        <w:r>
          <w:rPr>
            <w:noProof/>
            <w:webHidden/>
          </w:rPr>
          <w:fldChar w:fldCharType="separate"/>
        </w:r>
        <w:r>
          <w:rPr>
            <w:noProof/>
            <w:webHidden/>
          </w:rPr>
          <w:t>62</w:t>
        </w:r>
        <w:r>
          <w:rPr>
            <w:noProof/>
            <w:webHidden/>
          </w:rPr>
          <w:fldChar w:fldCharType="end"/>
        </w:r>
      </w:hyperlink>
    </w:p>
    <w:p w14:paraId="29F5889A"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4" w:history="1">
        <w:r w:rsidRPr="00E41391">
          <w:rPr>
            <w:rStyle w:val="Hyperlink"/>
            <w:noProof/>
          </w:rPr>
          <w:t xml:space="preserve">Table XI. </w:t>
        </w:r>
        <w:r w:rsidRPr="00E41391">
          <w:rPr>
            <w:rStyle w:val="Hyperlink"/>
            <w:rFonts w:cs="Times New Roman"/>
            <w:noProof/>
            <w:vertAlign w:val="superscript"/>
          </w:rPr>
          <w:t>235</w:t>
        </w:r>
        <w:r w:rsidRPr="00E41391">
          <w:rPr>
            <w:rStyle w:val="Hyperlink"/>
            <w:rFonts w:cs="Times New Roman"/>
            <w:noProof/>
          </w:rPr>
          <w:t>U</w:t>
        </w:r>
        <w:r w:rsidRPr="00E41391">
          <w:rPr>
            <w:rStyle w:val="Hyperlink"/>
            <w:noProof/>
          </w:rPr>
          <w:t xml:space="preserve"> Enrichment Matching Cycle Length Requirements</w:t>
        </w:r>
        <w:r>
          <w:rPr>
            <w:noProof/>
            <w:webHidden/>
          </w:rPr>
          <w:tab/>
        </w:r>
        <w:r>
          <w:rPr>
            <w:noProof/>
            <w:webHidden/>
          </w:rPr>
          <w:fldChar w:fldCharType="begin"/>
        </w:r>
        <w:r>
          <w:rPr>
            <w:noProof/>
            <w:webHidden/>
          </w:rPr>
          <w:instrText xml:space="preserve"> PAGEREF _Toc416993434 \h </w:instrText>
        </w:r>
        <w:r>
          <w:rPr>
            <w:noProof/>
            <w:webHidden/>
          </w:rPr>
        </w:r>
        <w:r>
          <w:rPr>
            <w:noProof/>
            <w:webHidden/>
          </w:rPr>
          <w:fldChar w:fldCharType="separate"/>
        </w:r>
        <w:r>
          <w:rPr>
            <w:noProof/>
            <w:webHidden/>
          </w:rPr>
          <w:t>63</w:t>
        </w:r>
        <w:r>
          <w:rPr>
            <w:noProof/>
            <w:webHidden/>
          </w:rPr>
          <w:fldChar w:fldCharType="end"/>
        </w:r>
      </w:hyperlink>
    </w:p>
    <w:p w14:paraId="4B864B38"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5" w:history="1">
        <w:r w:rsidRPr="00E41391">
          <w:rPr>
            <w:rStyle w:val="Hyperlink"/>
            <w:noProof/>
          </w:rPr>
          <w:t>Table XII. Cladding Thickness Matching Cycle Length Requirements</w:t>
        </w:r>
        <w:r>
          <w:rPr>
            <w:noProof/>
            <w:webHidden/>
          </w:rPr>
          <w:tab/>
        </w:r>
        <w:r>
          <w:rPr>
            <w:noProof/>
            <w:webHidden/>
          </w:rPr>
          <w:fldChar w:fldCharType="begin"/>
        </w:r>
        <w:r>
          <w:rPr>
            <w:noProof/>
            <w:webHidden/>
          </w:rPr>
          <w:instrText xml:space="preserve"> PAGEREF _Toc416993435 \h </w:instrText>
        </w:r>
        <w:r>
          <w:rPr>
            <w:noProof/>
            <w:webHidden/>
          </w:rPr>
        </w:r>
        <w:r>
          <w:rPr>
            <w:noProof/>
            <w:webHidden/>
          </w:rPr>
          <w:fldChar w:fldCharType="separate"/>
        </w:r>
        <w:r>
          <w:rPr>
            <w:noProof/>
            <w:webHidden/>
          </w:rPr>
          <w:t>64</w:t>
        </w:r>
        <w:r>
          <w:rPr>
            <w:noProof/>
            <w:webHidden/>
          </w:rPr>
          <w:fldChar w:fldCharType="end"/>
        </w:r>
      </w:hyperlink>
    </w:p>
    <w:p w14:paraId="7A0083EC"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6" w:history="1">
        <w:r w:rsidRPr="00E41391">
          <w:rPr>
            <w:rStyle w:val="Hyperlink"/>
            <w:noProof/>
          </w:rPr>
          <w:t>Table XIII. Reactivity Safety Coefficient Perturbations in Moderator</w:t>
        </w:r>
        <w:r>
          <w:rPr>
            <w:noProof/>
            <w:webHidden/>
          </w:rPr>
          <w:tab/>
        </w:r>
        <w:r>
          <w:rPr>
            <w:noProof/>
            <w:webHidden/>
          </w:rPr>
          <w:fldChar w:fldCharType="begin"/>
        </w:r>
        <w:r>
          <w:rPr>
            <w:noProof/>
            <w:webHidden/>
          </w:rPr>
          <w:instrText xml:space="preserve"> PAGEREF _Toc416993436 \h </w:instrText>
        </w:r>
        <w:r>
          <w:rPr>
            <w:noProof/>
            <w:webHidden/>
          </w:rPr>
        </w:r>
        <w:r>
          <w:rPr>
            <w:noProof/>
            <w:webHidden/>
          </w:rPr>
          <w:fldChar w:fldCharType="separate"/>
        </w:r>
        <w:r>
          <w:rPr>
            <w:noProof/>
            <w:webHidden/>
          </w:rPr>
          <w:t>70</w:t>
        </w:r>
        <w:r>
          <w:rPr>
            <w:noProof/>
            <w:webHidden/>
          </w:rPr>
          <w:fldChar w:fldCharType="end"/>
        </w:r>
      </w:hyperlink>
    </w:p>
    <w:p w14:paraId="00D1FA1C"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7" w:history="1">
        <w:r w:rsidRPr="00E41391">
          <w:rPr>
            <w:rStyle w:val="Hyperlink"/>
            <w:noProof/>
          </w:rPr>
          <w:t xml:space="preserve">Table XIV.  Moderator Temperature Coefficient Map Throughout Depletion (pcm </w:t>
        </w:r>
        <w:r w:rsidRPr="00E41391">
          <w:rPr>
            <w:rStyle w:val="Hyperlink"/>
            <w:rFonts w:ascii="Cambria Math" w:hAnsi="Cambria Math" w:cs="Cambria Math"/>
            <w:noProof/>
          </w:rPr>
          <w:t>𝛥</w:t>
        </w:r>
        <w:r w:rsidRPr="00E41391">
          <w:rPr>
            <w:rStyle w:val="Hyperlink"/>
            <w:noProof/>
          </w:rPr>
          <w:t>ρ/°F) with an 18° F Change in Coolant Temperature</w:t>
        </w:r>
        <w:r>
          <w:rPr>
            <w:noProof/>
            <w:webHidden/>
          </w:rPr>
          <w:tab/>
        </w:r>
        <w:r>
          <w:rPr>
            <w:noProof/>
            <w:webHidden/>
          </w:rPr>
          <w:fldChar w:fldCharType="begin"/>
        </w:r>
        <w:r>
          <w:rPr>
            <w:noProof/>
            <w:webHidden/>
          </w:rPr>
          <w:instrText xml:space="preserve"> PAGEREF _Toc416993437 \h </w:instrText>
        </w:r>
        <w:r>
          <w:rPr>
            <w:noProof/>
            <w:webHidden/>
          </w:rPr>
        </w:r>
        <w:r>
          <w:rPr>
            <w:noProof/>
            <w:webHidden/>
          </w:rPr>
          <w:fldChar w:fldCharType="separate"/>
        </w:r>
        <w:r>
          <w:rPr>
            <w:noProof/>
            <w:webHidden/>
          </w:rPr>
          <w:t>70</w:t>
        </w:r>
        <w:r>
          <w:rPr>
            <w:noProof/>
            <w:webHidden/>
          </w:rPr>
          <w:fldChar w:fldCharType="end"/>
        </w:r>
      </w:hyperlink>
    </w:p>
    <w:p w14:paraId="1274C3F0"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8" w:history="1">
        <w:r w:rsidRPr="00E41391">
          <w:rPr>
            <w:rStyle w:val="Hyperlink"/>
            <w:noProof/>
          </w:rPr>
          <w:t>Table XV. Full-core BWR Specifications for Zircaloy Base Case</w:t>
        </w:r>
        <w:r>
          <w:rPr>
            <w:noProof/>
            <w:webHidden/>
          </w:rPr>
          <w:tab/>
        </w:r>
        <w:r>
          <w:rPr>
            <w:noProof/>
            <w:webHidden/>
          </w:rPr>
          <w:fldChar w:fldCharType="begin"/>
        </w:r>
        <w:r>
          <w:rPr>
            <w:noProof/>
            <w:webHidden/>
          </w:rPr>
          <w:instrText xml:space="preserve"> PAGEREF _Toc416993438 \h </w:instrText>
        </w:r>
        <w:r>
          <w:rPr>
            <w:noProof/>
            <w:webHidden/>
          </w:rPr>
        </w:r>
        <w:r>
          <w:rPr>
            <w:noProof/>
            <w:webHidden/>
          </w:rPr>
          <w:fldChar w:fldCharType="separate"/>
        </w:r>
        <w:r>
          <w:rPr>
            <w:noProof/>
            <w:webHidden/>
          </w:rPr>
          <w:t>82</w:t>
        </w:r>
        <w:r>
          <w:rPr>
            <w:noProof/>
            <w:webHidden/>
          </w:rPr>
          <w:fldChar w:fldCharType="end"/>
        </w:r>
      </w:hyperlink>
    </w:p>
    <w:p w14:paraId="248D97C5" w14:textId="77777777" w:rsidR="00274225" w:rsidRDefault="00274225">
      <w:pPr>
        <w:pStyle w:val="TableofFigures"/>
        <w:tabs>
          <w:tab w:val="right" w:leader="dot" w:pos="9350"/>
        </w:tabs>
        <w:rPr>
          <w:rFonts w:asciiTheme="minorHAnsi" w:eastAsiaTheme="minorEastAsia" w:hAnsiTheme="minorHAnsi"/>
          <w:noProof/>
          <w:sz w:val="22"/>
        </w:rPr>
      </w:pPr>
      <w:hyperlink w:anchor="_Toc416993439" w:history="1">
        <w:r w:rsidRPr="00E41391">
          <w:rPr>
            <w:rStyle w:val="Hyperlink"/>
            <w:noProof/>
          </w:rPr>
          <w:t>Table XVI: Enrichment Requirements for Hybrid BWR Design</w:t>
        </w:r>
        <w:r>
          <w:rPr>
            <w:noProof/>
            <w:webHidden/>
          </w:rPr>
          <w:tab/>
        </w:r>
        <w:r>
          <w:rPr>
            <w:noProof/>
            <w:webHidden/>
          </w:rPr>
          <w:fldChar w:fldCharType="begin"/>
        </w:r>
        <w:r>
          <w:rPr>
            <w:noProof/>
            <w:webHidden/>
          </w:rPr>
          <w:instrText xml:space="preserve"> PAGEREF _Toc416993439 \h </w:instrText>
        </w:r>
        <w:r>
          <w:rPr>
            <w:noProof/>
            <w:webHidden/>
          </w:rPr>
        </w:r>
        <w:r>
          <w:rPr>
            <w:noProof/>
            <w:webHidden/>
          </w:rPr>
          <w:fldChar w:fldCharType="separate"/>
        </w:r>
        <w:r>
          <w:rPr>
            <w:noProof/>
            <w:webHidden/>
          </w:rPr>
          <w:t>94</w:t>
        </w:r>
        <w:r>
          <w:rPr>
            <w:noProof/>
            <w:webHidden/>
          </w:rPr>
          <w:fldChar w:fldCharType="end"/>
        </w:r>
      </w:hyperlink>
    </w:p>
    <w:p w14:paraId="24B28A81" w14:textId="551107F5" w:rsidR="00C274C9" w:rsidRDefault="00E9251E" w:rsidP="00E9251E">
      <w:pPr>
        <w:jc w:val="left"/>
        <w:rPr>
          <w:rFonts w:cs="Times New Roman"/>
          <w:szCs w:val="24"/>
        </w:rPr>
      </w:pPr>
      <w:r>
        <w:rPr>
          <w:rFonts w:cs="Times New Roman"/>
          <w:szCs w:val="24"/>
        </w:rPr>
        <w:fldChar w:fldCharType="end"/>
      </w:r>
    </w:p>
    <w:p w14:paraId="096B22F7" w14:textId="77777777" w:rsidR="00E9251E" w:rsidRDefault="00E9251E" w:rsidP="00E9251E">
      <w:pPr>
        <w:jc w:val="left"/>
        <w:rPr>
          <w:rFonts w:cs="Times New Roman"/>
          <w:szCs w:val="24"/>
        </w:rPr>
      </w:pPr>
    </w:p>
    <w:p w14:paraId="6E2912DA" w14:textId="77777777" w:rsidR="00E9251E" w:rsidRDefault="00E9251E" w:rsidP="00E9251E">
      <w:pPr>
        <w:jc w:val="left"/>
        <w:rPr>
          <w:rFonts w:cs="Times New Roman"/>
          <w:szCs w:val="24"/>
        </w:rPr>
      </w:pPr>
    </w:p>
    <w:p w14:paraId="38C52D15" w14:textId="77777777" w:rsidR="00E9251E" w:rsidRDefault="00E9251E" w:rsidP="00E9251E">
      <w:pPr>
        <w:jc w:val="left"/>
        <w:rPr>
          <w:rFonts w:cs="Times New Roman"/>
          <w:szCs w:val="24"/>
        </w:rPr>
      </w:pPr>
    </w:p>
    <w:p w14:paraId="7F5F4A14" w14:textId="77777777" w:rsidR="00E9251E" w:rsidRDefault="00E9251E" w:rsidP="00E9251E">
      <w:pPr>
        <w:jc w:val="left"/>
        <w:rPr>
          <w:rFonts w:cs="Times New Roman"/>
          <w:szCs w:val="24"/>
        </w:rPr>
      </w:pPr>
    </w:p>
    <w:p w14:paraId="05A9DE1A" w14:textId="77777777" w:rsidR="00E9251E" w:rsidRDefault="00E9251E" w:rsidP="00E9251E">
      <w:pPr>
        <w:jc w:val="left"/>
        <w:rPr>
          <w:rFonts w:cs="Times New Roman"/>
          <w:szCs w:val="24"/>
        </w:rPr>
      </w:pPr>
    </w:p>
    <w:p w14:paraId="60BA3015" w14:textId="77777777" w:rsidR="00E9251E" w:rsidRDefault="00E9251E" w:rsidP="00E9251E">
      <w:pPr>
        <w:jc w:val="left"/>
        <w:rPr>
          <w:rFonts w:cs="Times New Roman"/>
          <w:szCs w:val="24"/>
        </w:rPr>
      </w:pPr>
    </w:p>
    <w:p w14:paraId="0C2249D3" w14:textId="77777777" w:rsidR="00E9251E" w:rsidRDefault="00E9251E" w:rsidP="00E9251E">
      <w:pPr>
        <w:jc w:val="left"/>
        <w:rPr>
          <w:rFonts w:cs="Times New Roman"/>
          <w:b/>
          <w:sz w:val="32"/>
        </w:rPr>
      </w:pPr>
    </w:p>
    <w:p w14:paraId="7B8ECC3A" w14:textId="77777777" w:rsidR="00E9251E" w:rsidRDefault="00E9251E" w:rsidP="00AA6BEF">
      <w:pPr>
        <w:spacing w:line="240" w:lineRule="auto"/>
        <w:contextualSpacing/>
        <w:jc w:val="left"/>
        <w:rPr>
          <w:rFonts w:cs="Times New Roman"/>
          <w:b/>
          <w:sz w:val="32"/>
        </w:rPr>
      </w:pPr>
    </w:p>
    <w:p w14:paraId="303DB526" w14:textId="77777777" w:rsidR="00E9251E" w:rsidRDefault="00E9251E" w:rsidP="00AA6BEF">
      <w:pPr>
        <w:spacing w:line="240" w:lineRule="auto"/>
        <w:contextualSpacing/>
        <w:jc w:val="left"/>
        <w:rPr>
          <w:rFonts w:cs="Times New Roman"/>
          <w:b/>
          <w:sz w:val="32"/>
        </w:rPr>
      </w:pPr>
    </w:p>
    <w:p w14:paraId="3FFF041C" w14:textId="52D22A67" w:rsidR="003F459C" w:rsidRPr="00AA6BEF" w:rsidRDefault="003D6D4C" w:rsidP="00AA6BEF">
      <w:pPr>
        <w:spacing w:line="240" w:lineRule="auto"/>
        <w:contextualSpacing/>
        <w:jc w:val="left"/>
        <w:rPr>
          <w:rFonts w:cs="Times New Roman"/>
          <w:b/>
          <w:color w:val="FF0000"/>
          <w:sz w:val="32"/>
        </w:rPr>
      </w:pPr>
      <w:r>
        <w:rPr>
          <w:rFonts w:cs="Times New Roman"/>
          <w:b/>
          <w:sz w:val="32"/>
        </w:rPr>
        <w:lastRenderedPageBreak/>
        <w:t>LIST OF FIGURES</w:t>
      </w:r>
    </w:p>
    <w:p w14:paraId="033C891F" w14:textId="77777777" w:rsidR="00274225" w:rsidRDefault="005953C1">
      <w:pPr>
        <w:pStyle w:val="TableofFigures"/>
        <w:tabs>
          <w:tab w:val="right" w:leader="dot" w:pos="9350"/>
        </w:tabs>
        <w:rPr>
          <w:rFonts w:asciiTheme="minorHAnsi" w:eastAsiaTheme="minorEastAsia" w:hAnsiTheme="minorHAnsi"/>
          <w:noProof/>
          <w:sz w:val="22"/>
        </w:rPr>
      </w:pPr>
      <w:r>
        <w:rPr>
          <w:rFonts w:cs="Times New Roman"/>
          <w:b/>
          <w:color w:val="FF0000"/>
          <w:sz w:val="32"/>
        </w:rPr>
        <w:fldChar w:fldCharType="begin"/>
      </w:r>
      <w:r>
        <w:rPr>
          <w:rFonts w:cs="Times New Roman"/>
          <w:b/>
          <w:color w:val="FF0000"/>
          <w:sz w:val="32"/>
        </w:rPr>
        <w:instrText xml:space="preserve"> TOC \h \z \c "Figure" </w:instrText>
      </w:r>
      <w:r>
        <w:rPr>
          <w:rFonts w:cs="Times New Roman"/>
          <w:b/>
          <w:color w:val="FF0000"/>
          <w:sz w:val="32"/>
        </w:rPr>
        <w:fldChar w:fldCharType="separate"/>
      </w:r>
      <w:hyperlink w:anchor="_Toc416993440" w:history="1">
        <w:r w:rsidR="00274225" w:rsidRPr="00833EE1">
          <w:rPr>
            <w:rStyle w:val="Hyperlink"/>
            <w:noProof/>
          </w:rPr>
          <w:t>Figure 1: Progression of BWR Analysis</w:t>
        </w:r>
        <w:r w:rsidR="00274225">
          <w:rPr>
            <w:noProof/>
            <w:webHidden/>
          </w:rPr>
          <w:tab/>
        </w:r>
        <w:r w:rsidR="00274225">
          <w:rPr>
            <w:noProof/>
            <w:webHidden/>
          </w:rPr>
          <w:fldChar w:fldCharType="begin"/>
        </w:r>
        <w:r w:rsidR="00274225">
          <w:rPr>
            <w:noProof/>
            <w:webHidden/>
          </w:rPr>
          <w:instrText xml:space="preserve"> PAGEREF _Toc416993440 \h </w:instrText>
        </w:r>
        <w:r w:rsidR="00274225">
          <w:rPr>
            <w:noProof/>
            <w:webHidden/>
          </w:rPr>
        </w:r>
        <w:r w:rsidR="00274225">
          <w:rPr>
            <w:noProof/>
            <w:webHidden/>
          </w:rPr>
          <w:fldChar w:fldCharType="separate"/>
        </w:r>
        <w:r w:rsidR="00274225">
          <w:rPr>
            <w:noProof/>
            <w:webHidden/>
          </w:rPr>
          <w:t>5</w:t>
        </w:r>
        <w:r w:rsidR="00274225">
          <w:rPr>
            <w:noProof/>
            <w:webHidden/>
          </w:rPr>
          <w:fldChar w:fldCharType="end"/>
        </w:r>
      </w:hyperlink>
    </w:p>
    <w:p w14:paraId="446513B3" w14:textId="77777777" w:rsidR="00274225" w:rsidRDefault="00274225">
      <w:pPr>
        <w:pStyle w:val="TableofFigures"/>
        <w:tabs>
          <w:tab w:val="right" w:leader="dot" w:pos="9350"/>
        </w:tabs>
        <w:rPr>
          <w:rFonts w:asciiTheme="minorHAnsi" w:eastAsiaTheme="minorEastAsia" w:hAnsiTheme="minorHAnsi"/>
          <w:noProof/>
          <w:sz w:val="22"/>
        </w:rPr>
      </w:pPr>
      <w:hyperlink w:anchor="_Toc416993441" w:history="1">
        <w:r w:rsidRPr="00833EE1">
          <w:rPr>
            <w:rStyle w:val="Hyperlink"/>
            <w:rFonts w:cs="Times New Roman"/>
            <w:noProof/>
          </w:rPr>
          <w:t>Figure 2: TRISO fuel particle geometry [1]</w:t>
        </w:r>
        <w:r>
          <w:rPr>
            <w:noProof/>
            <w:webHidden/>
          </w:rPr>
          <w:tab/>
        </w:r>
        <w:r>
          <w:rPr>
            <w:noProof/>
            <w:webHidden/>
          </w:rPr>
          <w:fldChar w:fldCharType="begin"/>
        </w:r>
        <w:r>
          <w:rPr>
            <w:noProof/>
            <w:webHidden/>
          </w:rPr>
          <w:instrText xml:space="preserve"> PAGEREF _Toc416993441 \h </w:instrText>
        </w:r>
        <w:r>
          <w:rPr>
            <w:noProof/>
            <w:webHidden/>
          </w:rPr>
        </w:r>
        <w:r>
          <w:rPr>
            <w:noProof/>
            <w:webHidden/>
          </w:rPr>
          <w:fldChar w:fldCharType="separate"/>
        </w:r>
        <w:r>
          <w:rPr>
            <w:noProof/>
            <w:webHidden/>
          </w:rPr>
          <w:t>7</w:t>
        </w:r>
        <w:r>
          <w:rPr>
            <w:noProof/>
            <w:webHidden/>
          </w:rPr>
          <w:fldChar w:fldCharType="end"/>
        </w:r>
      </w:hyperlink>
    </w:p>
    <w:p w14:paraId="74B195A8" w14:textId="77777777" w:rsidR="00274225" w:rsidRDefault="00274225">
      <w:pPr>
        <w:pStyle w:val="TableofFigures"/>
        <w:tabs>
          <w:tab w:val="right" w:leader="dot" w:pos="9350"/>
        </w:tabs>
        <w:rPr>
          <w:rFonts w:asciiTheme="minorHAnsi" w:eastAsiaTheme="minorEastAsia" w:hAnsiTheme="minorHAnsi"/>
          <w:noProof/>
          <w:sz w:val="22"/>
        </w:rPr>
      </w:pPr>
      <w:hyperlink w:anchor="_Toc416993442" w:history="1">
        <w:r w:rsidRPr="00833EE1">
          <w:rPr>
            <w:rStyle w:val="Hyperlink"/>
            <w:rFonts w:cs="Times New Roman"/>
            <w:noProof/>
          </w:rPr>
          <w:t>Figure 3: Mechanical stresses induced on PV by surrounding PyC layers [15]</w:t>
        </w:r>
        <w:r>
          <w:rPr>
            <w:noProof/>
            <w:webHidden/>
          </w:rPr>
          <w:tab/>
        </w:r>
        <w:r>
          <w:rPr>
            <w:noProof/>
            <w:webHidden/>
          </w:rPr>
          <w:fldChar w:fldCharType="begin"/>
        </w:r>
        <w:r>
          <w:rPr>
            <w:noProof/>
            <w:webHidden/>
          </w:rPr>
          <w:instrText xml:space="preserve"> PAGEREF _Toc416993442 \h </w:instrText>
        </w:r>
        <w:r>
          <w:rPr>
            <w:noProof/>
            <w:webHidden/>
          </w:rPr>
        </w:r>
        <w:r>
          <w:rPr>
            <w:noProof/>
            <w:webHidden/>
          </w:rPr>
          <w:fldChar w:fldCharType="separate"/>
        </w:r>
        <w:r>
          <w:rPr>
            <w:noProof/>
            <w:webHidden/>
          </w:rPr>
          <w:t>9</w:t>
        </w:r>
        <w:r>
          <w:rPr>
            <w:noProof/>
            <w:webHidden/>
          </w:rPr>
          <w:fldChar w:fldCharType="end"/>
        </w:r>
      </w:hyperlink>
    </w:p>
    <w:p w14:paraId="5BC74C36" w14:textId="77777777" w:rsidR="00274225" w:rsidRDefault="00274225">
      <w:pPr>
        <w:pStyle w:val="TableofFigures"/>
        <w:tabs>
          <w:tab w:val="right" w:leader="dot" w:pos="9350"/>
        </w:tabs>
        <w:rPr>
          <w:rFonts w:asciiTheme="minorHAnsi" w:eastAsiaTheme="minorEastAsia" w:hAnsiTheme="minorHAnsi"/>
          <w:noProof/>
          <w:sz w:val="22"/>
        </w:rPr>
      </w:pPr>
      <w:hyperlink w:anchor="_Toc416993443" w:history="1">
        <w:r w:rsidRPr="00833EE1">
          <w:rPr>
            <w:rStyle w:val="Hyperlink"/>
            <w:noProof/>
          </w:rPr>
          <w:t xml:space="preserve">Figure 4: Irradiation induced failure of TRISO fuel layers </w:t>
        </w:r>
        <w:r w:rsidRPr="00833EE1">
          <w:rPr>
            <w:rStyle w:val="Hyperlink"/>
            <w:rFonts w:cs="Times New Roman"/>
            <w:noProof/>
          </w:rPr>
          <w:t>[15]</w:t>
        </w:r>
        <w:r>
          <w:rPr>
            <w:noProof/>
            <w:webHidden/>
          </w:rPr>
          <w:tab/>
        </w:r>
        <w:r>
          <w:rPr>
            <w:noProof/>
            <w:webHidden/>
          </w:rPr>
          <w:fldChar w:fldCharType="begin"/>
        </w:r>
        <w:r>
          <w:rPr>
            <w:noProof/>
            <w:webHidden/>
          </w:rPr>
          <w:instrText xml:space="preserve"> PAGEREF _Toc416993443 \h </w:instrText>
        </w:r>
        <w:r>
          <w:rPr>
            <w:noProof/>
            <w:webHidden/>
          </w:rPr>
        </w:r>
        <w:r>
          <w:rPr>
            <w:noProof/>
            <w:webHidden/>
          </w:rPr>
          <w:fldChar w:fldCharType="separate"/>
        </w:r>
        <w:r>
          <w:rPr>
            <w:noProof/>
            <w:webHidden/>
          </w:rPr>
          <w:t>10</w:t>
        </w:r>
        <w:r>
          <w:rPr>
            <w:noProof/>
            <w:webHidden/>
          </w:rPr>
          <w:fldChar w:fldCharType="end"/>
        </w:r>
      </w:hyperlink>
    </w:p>
    <w:p w14:paraId="07C388F7" w14:textId="77777777" w:rsidR="00274225" w:rsidRDefault="00274225">
      <w:pPr>
        <w:pStyle w:val="TableofFigures"/>
        <w:tabs>
          <w:tab w:val="right" w:leader="dot" w:pos="9350"/>
        </w:tabs>
        <w:rPr>
          <w:rFonts w:asciiTheme="minorHAnsi" w:eastAsiaTheme="minorEastAsia" w:hAnsiTheme="minorHAnsi"/>
          <w:noProof/>
          <w:sz w:val="22"/>
        </w:rPr>
      </w:pPr>
      <w:hyperlink w:anchor="_Toc416993444" w:history="1">
        <w:r w:rsidRPr="00833EE1">
          <w:rPr>
            <w:rStyle w:val="Hyperlink"/>
            <w:noProof/>
          </w:rPr>
          <w:t xml:space="preserve">Figure 5: Thermal conductivity of NITE-based SiC for FCM fuel matrix </w:t>
        </w:r>
        <w:r w:rsidRPr="00833EE1">
          <w:rPr>
            <w:rStyle w:val="Hyperlink"/>
            <w:rFonts w:cs="Times New Roman"/>
            <w:noProof/>
          </w:rPr>
          <w:t>[12]</w:t>
        </w:r>
        <w:r>
          <w:rPr>
            <w:noProof/>
            <w:webHidden/>
          </w:rPr>
          <w:tab/>
        </w:r>
        <w:r>
          <w:rPr>
            <w:noProof/>
            <w:webHidden/>
          </w:rPr>
          <w:fldChar w:fldCharType="begin"/>
        </w:r>
        <w:r>
          <w:rPr>
            <w:noProof/>
            <w:webHidden/>
          </w:rPr>
          <w:instrText xml:space="preserve"> PAGEREF _Toc416993444 \h </w:instrText>
        </w:r>
        <w:r>
          <w:rPr>
            <w:noProof/>
            <w:webHidden/>
          </w:rPr>
        </w:r>
        <w:r>
          <w:rPr>
            <w:noProof/>
            <w:webHidden/>
          </w:rPr>
          <w:fldChar w:fldCharType="separate"/>
        </w:r>
        <w:r>
          <w:rPr>
            <w:noProof/>
            <w:webHidden/>
          </w:rPr>
          <w:t>11</w:t>
        </w:r>
        <w:r>
          <w:rPr>
            <w:noProof/>
            <w:webHidden/>
          </w:rPr>
          <w:fldChar w:fldCharType="end"/>
        </w:r>
      </w:hyperlink>
    </w:p>
    <w:p w14:paraId="736A1AEF" w14:textId="77777777" w:rsidR="00274225" w:rsidRDefault="00274225">
      <w:pPr>
        <w:pStyle w:val="TableofFigures"/>
        <w:tabs>
          <w:tab w:val="right" w:leader="dot" w:pos="9350"/>
        </w:tabs>
        <w:rPr>
          <w:rFonts w:asciiTheme="minorHAnsi" w:eastAsiaTheme="minorEastAsia" w:hAnsiTheme="minorHAnsi"/>
          <w:noProof/>
          <w:sz w:val="22"/>
        </w:rPr>
      </w:pPr>
      <w:hyperlink w:anchor="_Toc416993445" w:history="1">
        <w:r w:rsidRPr="00833EE1">
          <w:rPr>
            <w:rStyle w:val="Hyperlink"/>
            <w:noProof/>
          </w:rPr>
          <w:t>Figure 6: FCM Fuel rod temperature distribution</w:t>
        </w:r>
        <w:r>
          <w:rPr>
            <w:noProof/>
            <w:webHidden/>
          </w:rPr>
          <w:tab/>
        </w:r>
        <w:r>
          <w:rPr>
            <w:noProof/>
            <w:webHidden/>
          </w:rPr>
          <w:fldChar w:fldCharType="begin"/>
        </w:r>
        <w:r>
          <w:rPr>
            <w:noProof/>
            <w:webHidden/>
          </w:rPr>
          <w:instrText xml:space="preserve"> PAGEREF _Toc416993445 \h </w:instrText>
        </w:r>
        <w:r>
          <w:rPr>
            <w:noProof/>
            <w:webHidden/>
          </w:rPr>
        </w:r>
        <w:r>
          <w:rPr>
            <w:noProof/>
            <w:webHidden/>
          </w:rPr>
          <w:fldChar w:fldCharType="separate"/>
        </w:r>
        <w:r>
          <w:rPr>
            <w:noProof/>
            <w:webHidden/>
          </w:rPr>
          <w:t>12</w:t>
        </w:r>
        <w:r>
          <w:rPr>
            <w:noProof/>
            <w:webHidden/>
          </w:rPr>
          <w:fldChar w:fldCharType="end"/>
        </w:r>
      </w:hyperlink>
    </w:p>
    <w:p w14:paraId="48982D4C" w14:textId="77777777" w:rsidR="00274225" w:rsidRDefault="00274225">
      <w:pPr>
        <w:pStyle w:val="TableofFigures"/>
        <w:tabs>
          <w:tab w:val="right" w:leader="dot" w:pos="9350"/>
        </w:tabs>
        <w:rPr>
          <w:rFonts w:asciiTheme="minorHAnsi" w:eastAsiaTheme="minorEastAsia" w:hAnsiTheme="minorHAnsi"/>
          <w:noProof/>
          <w:sz w:val="22"/>
        </w:rPr>
      </w:pPr>
      <w:hyperlink w:anchor="_Toc416993446" w:history="1">
        <w:r w:rsidRPr="00833EE1">
          <w:rPr>
            <w:rStyle w:val="Hyperlink"/>
            <w:noProof/>
          </w:rPr>
          <w:t>Figure 7: Arrhenius plot of the parabolic rate constants</w:t>
        </w:r>
        <w:r w:rsidRPr="00833EE1">
          <w:rPr>
            <w:rStyle w:val="Hyperlink"/>
            <w:rFonts w:cs="Times New Roman"/>
            <w:noProof/>
          </w:rPr>
          <w:t xml:space="preserve"> [20]</w:t>
        </w:r>
        <w:r>
          <w:rPr>
            <w:noProof/>
            <w:webHidden/>
          </w:rPr>
          <w:tab/>
        </w:r>
        <w:r>
          <w:rPr>
            <w:noProof/>
            <w:webHidden/>
          </w:rPr>
          <w:fldChar w:fldCharType="begin"/>
        </w:r>
        <w:r>
          <w:rPr>
            <w:noProof/>
            <w:webHidden/>
          </w:rPr>
          <w:instrText xml:space="preserve"> PAGEREF _Toc416993446 \h </w:instrText>
        </w:r>
        <w:r>
          <w:rPr>
            <w:noProof/>
            <w:webHidden/>
          </w:rPr>
        </w:r>
        <w:r>
          <w:rPr>
            <w:noProof/>
            <w:webHidden/>
          </w:rPr>
          <w:fldChar w:fldCharType="separate"/>
        </w:r>
        <w:r>
          <w:rPr>
            <w:noProof/>
            <w:webHidden/>
          </w:rPr>
          <w:t>14</w:t>
        </w:r>
        <w:r>
          <w:rPr>
            <w:noProof/>
            <w:webHidden/>
          </w:rPr>
          <w:fldChar w:fldCharType="end"/>
        </w:r>
      </w:hyperlink>
    </w:p>
    <w:p w14:paraId="110E9ACC" w14:textId="77777777" w:rsidR="00274225" w:rsidRDefault="00274225">
      <w:pPr>
        <w:pStyle w:val="TableofFigures"/>
        <w:tabs>
          <w:tab w:val="right" w:leader="dot" w:pos="9350"/>
        </w:tabs>
        <w:rPr>
          <w:rFonts w:asciiTheme="minorHAnsi" w:eastAsiaTheme="minorEastAsia" w:hAnsiTheme="minorHAnsi"/>
          <w:noProof/>
          <w:sz w:val="22"/>
        </w:rPr>
      </w:pPr>
      <w:hyperlink w:anchor="_Toc416993447" w:history="1">
        <w:r w:rsidRPr="00833EE1">
          <w:rPr>
            <w:rStyle w:val="Hyperlink"/>
            <w:noProof/>
          </w:rPr>
          <w:t>Figure 8: Comparison of creep rupture strengths of iron alloys</w:t>
        </w:r>
        <w:r>
          <w:rPr>
            <w:noProof/>
            <w:webHidden/>
          </w:rPr>
          <w:tab/>
        </w:r>
        <w:r>
          <w:rPr>
            <w:noProof/>
            <w:webHidden/>
          </w:rPr>
          <w:fldChar w:fldCharType="begin"/>
        </w:r>
        <w:r>
          <w:rPr>
            <w:noProof/>
            <w:webHidden/>
          </w:rPr>
          <w:instrText xml:space="preserve"> PAGEREF _Toc416993447 \h </w:instrText>
        </w:r>
        <w:r>
          <w:rPr>
            <w:noProof/>
            <w:webHidden/>
          </w:rPr>
        </w:r>
        <w:r>
          <w:rPr>
            <w:noProof/>
            <w:webHidden/>
          </w:rPr>
          <w:fldChar w:fldCharType="separate"/>
        </w:r>
        <w:r>
          <w:rPr>
            <w:noProof/>
            <w:webHidden/>
          </w:rPr>
          <w:t>15</w:t>
        </w:r>
        <w:r>
          <w:rPr>
            <w:noProof/>
            <w:webHidden/>
          </w:rPr>
          <w:fldChar w:fldCharType="end"/>
        </w:r>
      </w:hyperlink>
    </w:p>
    <w:p w14:paraId="785543F2" w14:textId="77777777" w:rsidR="00274225" w:rsidRDefault="00274225">
      <w:pPr>
        <w:pStyle w:val="TableofFigures"/>
        <w:tabs>
          <w:tab w:val="right" w:leader="dot" w:pos="9350"/>
        </w:tabs>
        <w:rPr>
          <w:rFonts w:asciiTheme="minorHAnsi" w:eastAsiaTheme="minorEastAsia" w:hAnsiTheme="minorHAnsi"/>
          <w:noProof/>
          <w:sz w:val="22"/>
        </w:rPr>
      </w:pPr>
      <w:hyperlink w:anchor="_Toc416993448" w:history="1">
        <w:r w:rsidRPr="00833EE1">
          <w:rPr>
            <w:rStyle w:val="Hyperlink"/>
            <w:noProof/>
          </w:rPr>
          <w:t>Figure 9: Westinghouse 17 × 17 PWR pin cell model</w:t>
        </w:r>
        <w:r>
          <w:rPr>
            <w:noProof/>
            <w:webHidden/>
          </w:rPr>
          <w:tab/>
        </w:r>
        <w:r>
          <w:rPr>
            <w:noProof/>
            <w:webHidden/>
          </w:rPr>
          <w:fldChar w:fldCharType="begin"/>
        </w:r>
        <w:r>
          <w:rPr>
            <w:noProof/>
            <w:webHidden/>
          </w:rPr>
          <w:instrText xml:space="preserve"> PAGEREF _Toc416993448 \h </w:instrText>
        </w:r>
        <w:r>
          <w:rPr>
            <w:noProof/>
            <w:webHidden/>
          </w:rPr>
        </w:r>
        <w:r>
          <w:rPr>
            <w:noProof/>
            <w:webHidden/>
          </w:rPr>
          <w:fldChar w:fldCharType="separate"/>
        </w:r>
        <w:r>
          <w:rPr>
            <w:noProof/>
            <w:webHidden/>
          </w:rPr>
          <w:t>21</w:t>
        </w:r>
        <w:r>
          <w:rPr>
            <w:noProof/>
            <w:webHidden/>
          </w:rPr>
          <w:fldChar w:fldCharType="end"/>
        </w:r>
      </w:hyperlink>
    </w:p>
    <w:p w14:paraId="7A1C91D2" w14:textId="77777777" w:rsidR="00274225" w:rsidRDefault="00274225">
      <w:pPr>
        <w:pStyle w:val="TableofFigures"/>
        <w:tabs>
          <w:tab w:val="right" w:leader="dot" w:pos="9350"/>
        </w:tabs>
        <w:rPr>
          <w:rFonts w:asciiTheme="minorHAnsi" w:eastAsiaTheme="minorEastAsia" w:hAnsiTheme="minorHAnsi"/>
          <w:noProof/>
          <w:sz w:val="22"/>
        </w:rPr>
      </w:pPr>
      <w:hyperlink w:anchor="_Toc416993449" w:history="1">
        <w:r w:rsidRPr="00833EE1">
          <w:rPr>
            <w:rStyle w:val="Hyperlink"/>
            <w:noProof/>
          </w:rPr>
          <w:t>Figure 10: Westinghouse 17 × 17 PWR lattice model, with independent depletion mixtures indicated by different colors in the fuel pins</w:t>
        </w:r>
        <w:r>
          <w:rPr>
            <w:noProof/>
            <w:webHidden/>
          </w:rPr>
          <w:tab/>
        </w:r>
        <w:r>
          <w:rPr>
            <w:noProof/>
            <w:webHidden/>
          </w:rPr>
          <w:fldChar w:fldCharType="begin"/>
        </w:r>
        <w:r>
          <w:rPr>
            <w:noProof/>
            <w:webHidden/>
          </w:rPr>
          <w:instrText xml:space="preserve"> PAGEREF _Toc416993449 \h </w:instrText>
        </w:r>
        <w:r>
          <w:rPr>
            <w:noProof/>
            <w:webHidden/>
          </w:rPr>
        </w:r>
        <w:r>
          <w:rPr>
            <w:noProof/>
            <w:webHidden/>
          </w:rPr>
          <w:fldChar w:fldCharType="separate"/>
        </w:r>
        <w:r>
          <w:rPr>
            <w:noProof/>
            <w:webHidden/>
          </w:rPr>
          <w:t>23</w:t>
        </w:r>
        <w:r>
          <w:rPr>
            <w:noProof/>
            <w:webHidden/>
          </w:rPr>
          <w:fldChar w:fldCharType="end"/>
        </w:r>
      </w:hyperlink>
    </w:p>
    <w:p w14:paraId="35132FAF"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0" w:history="1">
        <w:r w:rsidRPr="00833EE1">
          <w:rPr>
            <w:rStyle w:val="Hyperlink"/>
            <w:noProof/>
          </w:rPr>
          <w:t>Figure 11: Reactivity-equivalent physical transformation process</w:t>
        </w:r>
        <w:r>
          <w:rPr>
            <w:noProof/>
            <w:webHidden/>
          </w:rPr>
          <w:tab/>
        </w:r>
        <w:r>
          <w:rPr>
            <w:noProof/>
            <w:webHidden/>
          </w:rPr>
          <w:fldChar w:fldCharType="begin"/>
        </w:r>
        <w:r>
          <w:rPr>
            <w:noProof/>
            <w:webHidden/>
          </w:rPr>
          <w:instrText xml:space="preserve"> PAGEREF _Toc416993450 \h </w:instrText>
        </w:r>
        <w:r>
          <w:rPr>
            <w:noProof/>
            <w:webHidden/>
          </w:rPr>
        </w:r>
        <w:r>
          <w:rPr>
            <w:noProof/>
            <w:webHidden/>
          </w:rPr>
          <w:fldChar w:fldCharType="separate"/>
        </w:r>
        <w:r>
          <w:rPr>
            <w:noProof/>
            <w:webHidden/>
          </w:rPr>
          <w:t>24</w:t>
        </w:r>
        <w:r>
          <w:rPr>
            <w:noProof/>
            <w:webHidden/>
          </w:rPr>
          <w:fldChar w:fldCharType="end"/>
        </w:r>
      </w:hyperlink>
    </w:p>
    <w:p w14:paraId="3C1912EF"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1" w:history="1">
        <w:r w:rsidRPr="00833EE1">
          <w:rPr>
            <w:rStyle w:val="Hyperlink"/>
            <w:noProof/>
          </w:rPr>
          <w:t>Figure 12: Assumed PWR core configuration of batch-specific loading pattern</w:t>
        </w:r>
        <w:r>
          <w:rPr>
            <w:noProof/>
            <w:webHidden/>
          </w:rPr>
          <w:tab/>
        </w:r>
        <w:r>
          <w:rPr>
            <w:noProof/>
            <w:webHidden/>
          </w:rPr>
          <w:fldChar w:fldCharType="begin"/>
        </w:r>
        <w:r>
          <w:rPr>
            <w:noProof/>
            <w:webHidden/>
          </w:rPr>
          <w:instrText xml:space="preserve"> PAGEREF _Toc416993451 \h </w:instrText>
        </w:r>
        <w:r>
          <w:rPr>
            <w:noProof/>
            <w:webHidden/>
          </w:rPr>
        </w:r>
        <w:r>
          <w:rPr>
            <w:noProof/>
            <w:webHidden/>
          </w:rPr>
          <w:fldChar w:fldCharType="separate"/>
        </w:r>
        <w:r>
          <w:rPr>
            <w:noProof/>
            <w:webHidden/>
          </w:rPr>
          <w:t>26</w:t>
        </w:r>
        <w:r>
          <w:rPr>
            <w:noProof/>
            <w:webHidden/>
          </w:rPr>
          <w:fldChar w:fldCharType="end"/>
        </w:r>
      </w:hyperlink>
    </w:p>
    <w:p w14:paraId="28F823CE"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2" w:history="1">
        <w:r w:rsidRPr="00833EE1">
          <w:rPr>
            <w:rStyle w:val="Hyperlink"/>
            <w:noProof/>
          </w:rPr>
          <w:t>Figure 13: Infinite multiplication factor vs. effective full power days for various cladding materials in standard PWR 17 × 17 rod geometry</w:t>
        </w:r>
        <w:r>
          <w:rPr>
            <w:noProof/>
            <w:webHidden/>
          </w:rPr>
          <w:tab/>
        </w:r>
        <w:r>
          <w:rPr>
            <w:noProof/>
            <w:webHidden/>
          </w:rPr>
          <w:fldChar w:fldCharType="begin"/>
        </w:r>
        <w:r>
          <w:rPr>
            <w:noProof/>
            <w:webHidden/>
          </w:rPr>
          <w:instrText xml:space="preserve"> PAGEREF _Toc416993452 \h </w:instrText>
        </w:r>
        <w:r>
          <w:rPr>
            <w:noProof/>
            <w:webHidden/>
          </w:rPr>
        </w:r>
        <w:r>
          <w:rPr>
            <w:noProof/>
            <w:webHidden/>
          </w:rPr>
          <w:fldChar w:fldCharType="separate"/>
        </w:r>
        <w:r>
          <w:rPr>
            <w:noProof/>
            <w:webHidden/>
          </w:rPr>
          <w:t>28</w:t>
        </w:r>
        <w:r>
          <w:rPr>
            <w:noProof/>
            <w:webHidden/>
          </w:rPr>
          <w:fldChar w:fldCharType="end"/>
        </w:r>
      </w:hyperlink>
    </w:p>
    <w:p w14:paraId="52826C87"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3" w:history="1">
        <w:r w:rsidRPr="00833EE1">
          <w:rPr>
            <w:rStyle w:val="Hyperlink"/>
            <w:noProof/>
          </w:rPr>
          <w:t xml:space="preserve">Figure 14: Modern 10 </w:t>
        </w:r>
        <w:r w:rsidRPr="00833EE1">
          <w:rPr>
            <w:rStyle w:val="Hyperlink"/>
            <w:rFonts w:eastAsia="Times New Roman" w:cs="Times New Roman"/>
            <w:noProof/>
            <w:snapToGrid w:val="0"/>
          </w:rPr>
          <w:t xml:space="preserve">× </w:t>
        </w:r>
        <w:r w:rsidRPr="00833EE1">
          <w:rPr>
            <w:rStyle w:val="Hyperlink"/>
            <w:noProof/>
          </w:rPr>
          <w:t xml:space="preserve">10 BWR lattice modeled with TRITON </w:t>
        </w:r>
        <w:r w:rsidRPr="00833EE1">
          <w:rPr>
            <w:rStyle w:val="Hyperlink"/>
            <w:rFonts w:eastAsia="Times New Roman" w:cs="Times New Roman"/>
            <w:noProof/>
            <w:snapToGrid w:val="0"/>
          </w:rPr>
          <w:t>[44]</w:t>
        </w:r>
        <w:r>
          <w:rPr>
            <w:noProof/>
            <w:webHidden/>
          </w:rPr>
          <w:tab/>
        </w:r>
        <w:r>
          <w:rPr>
            <w:noProof/>
            <w:webHidden/>
          </w:rPr>
          <w:fldChar w:fldCharType="begin"/>
        </w:r>
        <w:r>
          <w:rPr>
            <w:noProof/>
            <w:webHidden/>
          </w:rPr>
          <w:instrText xml:space="preserve"> PAGEREF _Toc416993453 \h </w:instrText>
        </w:r>
        <w:r>
          <w:rPr>
            <w:noProof/>
            <w:webHidden/>
          </w:rPr>
        </w:r>
        <w:r>
          <w:rPr>
            <w:noProof/>
            <w:webHidden/>
          </w:rPr>
          <w:fldChar w:fldCharType="separate"/>
        </w:r>
        <w:r>
          <w:rPr>
            <w:noProof/>
            <w:webHidden/>
          </w:rPr>
          <w:t>29</w:t>
        </w:r>
        <w:r>
          <w:rPr>
            <w:noProof/>
            <w:webHidden/>
          </w:rPr>
          <w:fldChar w:fldCharType="end"/>
        </w:r>
      </w:hyperlink>
    </w:p>
    <w:p w14:paraId="708A56F3"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4" w:history="1">
        <w:r w:rsidRPr="00833EE1">
          <w:rPr>
            <w:rStyle w:val="Hyperlink"/>
            <w:noProof/>
          </w:rPr>
          <w:t>Figure 15: Hybrid SiC channel box design</w:t>
        </w:r>
        <w:r>
          <w:rPr>
            <w:noProof/>
            <w:webHidden/>
          </w:rPr>
          <w:tab/>
        </w:r>
        <w:r>
          <w:rPr>
            <w:noProof/>
            <w:webHidden/>
          </w:rPr>
          <w:fldChar w:fldCharType="begin"/>
        </w:r>
        <w:r>
          <w:rPr>
            <w:noProof/>
            <w:webHidden/>
          </w:rPr>
          <w:instrText xml:space="preserve"> PAGEREF _Toc416993454 \h </w:instrText>
        </w:r>
        <w:r>
          <w:rPr>
            <w:noProof/>
            <w:webHidden/>
          </w:rPr>
        </w:r>
        <w:r>
          <w:rPr>
            <w:noProof/>
            <w:webHidden/>
          </w:rPr>
          <w:fldChar w:fldCharType="separate"/>
        </w:r>
        <w:r>
          <w:rPr>
            <w:noProof/>
            <w:webHidden/>
          </w:rPr>
          <w:t>31</w:t>
        </w:r>
        <w:r>
          <w:rPr>
            <w:noProof/>
            <w:webHidden/>
          </w:rPr>
          <w:fldChar w:fldCharType="end"/>
        </w:r>
      </w:hyperlink>
    </w:p>
    <w:p w14:paraId="0636954D"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5" w:history="1">
        <w:r w:rsidRPr="00833EE1">
          <w:rPr>
            <w:rStyle w:val="Hyperlink"/>
            <w:noProof/>
          </w:rPr>
          <w:t>Figure 16: Allocation of Lattices within BWR Fuel Bundle</w:t>
        </w:r>
        <w:r>
          <w:rPr>
            <w:noProof/>
            <w:webHidden/>
          </w:rPr>
          <w:tab/>
        </w:r>
        <w:r>
          <w:rPr>
            <w:noProof/>
            <w:webHidden/>
          </w:rPr>
          <w:fldChar w:fldCharType="begin"/>
        </w:r>
        <w:r>
          <w:rPr>
            <w:noProof/>
            <w:webHidden/>
          </w:rPr>
          <w:instrText xml:space="preserve"> PAGEREF _Toc416993455 \h </w:instrText>
        </w:r>
        <w:r>
          <w:rPr>
            <w:noProof/>
            <w:webHidden/>
          </w:rPr>
        </w:r>
        <w:r>
          <w:rPr>
            <w:noProof/>
            <w:webHidden/>
          </w:rPr>
          <w:fldChar w:fldCharType="separate"/>
        </w:r>
        <w:r>
          <w:rPr>
            <w:noProof/>
            <w:webHidden/>
          </w:rPr>
          <w:t>32</w:t>
        </w:r>
        <w:r>
          <w:rPr>
            <w:noProof/>
            <w:webHidden/>
          </w:rPr>
          <w:fldChar w:fldCharType="end"/>
        </w:r>
      </w:hyperlink>
    </w:p>
    <w:p w14:paraId="770A6989"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6" w:history="1">
        <w:r w:rsidRPr="00833EE1">
          <w:rPr>
            <w:rStyle w:val="Hyperlink"/>
            <w:noProof/>
          </w:rPr>
          <w:t>Figure 17: General Electric BWR Quarter Core Exposure Map [47]</w:t>
        </w:r>
        <w:r>
          <w:rPr>
            <w:noProof/>
            <w:webHidden/>
          </w:rPr>
          <w:tab/>
        </w:r>
        <w:r>
          <w:rPr>
            <w:noProof/>
            <w:webHidden/>
          </w:rPr>
          <w:fldChar w:fldCharType="begin"/>
        </w:r>
        <w:r>
          <w:rPr>
            <w:noProof/>
            <w:webHidden/>
          </w:rPr>
          <w:instrText xml:space="preserve"> PAGEREF _Toc416993456 \h </w:instrText>
        </w:r>
        <w:r>
          <w:rPr>
            <w:noProof/>
            <w:webHidden/>
          </w:rPr>
        </w:r>
        <w:r>
          <w:rPr>
            <w:noProof/>
            <w:webHidden/>
          </w:rPr>
          <w:fldChar w:fldCharType="separate"/>
        </w:r>
        <w:r>
          <w:rPr>
            <w:noProof/>
            <w:webHidden/>
          </w:rPr>
          <w:t>33</w:t>
        </w:r>
        <w:r>
          <w:rPr>
            <w:noProof/>
            <w:webHidden/>
          </w:rPr>
          <w:fldChar w:fldCharType="end"/>
        </w:r>
      </w:hyperlink>
    </w:p>
    <w:p w14:paraId="657FA04F"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7" w:history="1">
        <w:r w:rsidRPr="00833EE1">
          <w:rPr>
            <w:rStyle w:val="Hyperlink"/>
            <w:noProof/>
          </w:rPr>
          <w:t>Figure 18: Relative Axial Power from Peach Bottom Tip Data</w:t>
        </w:r>
        <w:r>
          <w:rPr>
            <w:noProof/>
            <w:webHidden/>
          </w:rPr>
          <w:tab/>
        </w:r>
        <w:r>
          <w:rPr>
            <w:noProof/>
            <w:webHidden/>
          </w:rPr>
          <w:fldChar w:fldCharType="begin"/>
        </w:r>
        <w:r>
          <w:rPr>
            <w:noProof/>
            <w:webHidden/>
          </w:rPr>
          <w:instrText xml:space="preserve"> PAGEREF _Toc416993457 \h </w:instrText>
        </w:r>
        <w:r>
          <w:rPr>
            <w:noProof/>
            <w:webHidden/>
          </w:rPr>
        </w:r>
        <w:r>
          <w:rPr>
            <w:noProof/>
            <w:webHidden/>
          </w:rPr>
          <w:fldChar w:fldCharType="separate"/>
        </w:r>
        <w:r>
          <w:rPr>
            <w:noProof/>
            <w:webHidden/>
          </w:rPr>
          <w:t>35</w:t>
        </w:r>
        <w:r>
          <w:rPr>
            <w:noProof/>
            <w:webHidden/>
          </w:rPr>
          <w:fldChar w:fldCharType="end"/>
        </w:r>
      </w:hyperlink>
    </w:p>
    <w:p w14:paraId="6C35D3FC"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8" w:history="1">
        <w:r w:rsidRPr="00833EE1">
          <w:rPr>
            <w:rStyle w:val="Hyperlink"/>
            <w:noProof/>
          </w:rPr>
          <w:t>Figure 19: Axial zone parameters of modern 10 × 10 BWR bundle</w:t>
        </w:r>
        <w:r>
          <w:rPr>
            <w:noProof/>
            <w:webHidden/>
          </w:rPr>
          <w:tab/>
        </w:r>
        <w:r>
          <w:rPr>
            <w:noProof/>
            <w:webHidden/>
          </w:rPr>
          <w:fldChar w:fldCharType="begin"/>
        </w:r>
        <w:r>
          <w:rPr>
            <w:noProof/>
            <w:webHidden/>
          </w:rPr>
          <w:instrText xml:space="preserve"> PAGEREF _Toc416993458 \h </w:instrText>
        </w:r>
        <w:r>
          <w:rPr>
            <w:noProof/>
            <w:webHidden/>
          </w:rPr>
        </w:r>
        <w:r>
          <w:rPr>
            <w:noProof/>
            <w:webHidden/>
          </w:rPr>
          <w:fldChar w:fldCharType="separate"/>
        </w:r>
        <w:r>
          <w:rPr>
            <w:noProof/>
            <w:webHidden/>
          </w:rPr>
          <w:t>36</w:t>
        </w:r>
        <w:r>
          <w:rPr>
            <w:noProof/>
            <w:webHidden/>
          </w:rPr>
          <w:fldChar w:fldCharType="end"/>
        </w:r>
      </w:hyperlink>
    </w:p>
    <w:p w14:paraId="681249DB" w14:textId="77777777" w:rsidR="00274225" w:rsidRDefault="00274225">
      <w:pPr>
        <w:pStyle w:val="TableofFigures"/>
        <w:tabs>
          <w:tab w:val="right" w:leader="dot" w:pos="9350"/>
        </w:tabs>
        <w:rPr>
          <w:rFonts w:asciiTheme="minorHAnsi" w:eastAsiaTheme="minorEastAsia" w:hAnsiTheme="minorHAnsi"/>
          <w:noProof/>
          <w:sz w:val="22"/>
        </w:rPr>
      </w:pPr>
      <w:hyperlink w:anchor="_Toc416993459" w:history="1">
        <w:r w:rsidRPr="00833EE1">
          <w:rPr>
            <w:rStyle w:val="Hyperlink"/>
            <w:noProof/>
          </w:rPr>
          <w:t>Figure 20: a) Radial Exposure Map of Representative BWR Core in units of MWd/MTU, b) Hot Axial Power Profile of DOM Region</w:t>
        </w:r>
        <w:r>
          <w:rPr>
            <w:noProof/>
            <w:webHidden/>
          </w:rPr>
          <w:tab/>
        </w:r>
        <w:r>
          <w:rPr>
            <w:noProof/>
            <w:webHidden/>
          </w:rPr>
          <w:fldChar w:fldCharType="begin"/>
        </w:r>
        <w:r>
          <w:rPr>
            <w:noProof/>
            <w:webHidden/>
          </w:rPr>
          <w:instrText xml:space="preserve"> PAGEREF _Toc416993459 \h </w:instrText>
        </w:r>
        <w:r>
          <w:rPr>
            <w:noProof/>
            <w:webHidden/>
          </w:rPr>
        </w:r>
        <w:r>
          <w:rPr>
            <w:noProof/>
            <w:webHidden/>
          </w:rPr>
          <w:fldChar w:fldCharType="separate"/>
        </w:r>
        <w:r>
          <w:rPr>
            <w:noProof/>
            <w:webHidden/>
          </w:rPr>
          <w:t>41</w:t>
        </w:r>
        <w:r>
          <w:rPr>
            <w:noProof/>
            <w:webHidden/>
          </w:rPr>
          <w:fldChar w:fldCharType="end"/>
        </w:r>
      </w:hyperlink>
    </w:p>
    <w:p w14:paraId="20A83233"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0" w:history="1">
        <w:r w:rsidRPr="00833EE1">
          <w:rPr>
            <w:rStyle w:val="Hyperlink"/>
            <w:noProof/>
          </w:rPr>
          <w:t>Figure 21: Axial zone configuration per bundle type</w:t>
        </w:r>
        <w:r>
          <w:rPr>
            <w:noProof/>
            <w:webHidden/>
          </w:rPr>
          <w:tab/>
        </w:r>
        <w:r>
          <w:rPr>
            <w:noProof/>
            <w:webHidden/>
          </w:rPr>
          <w:fldChar w:fldCharType="begin"/>
        </w:r>
        <w:r>
          <w:rPr>
            <w:noProof/>
            <w:webHidden/>
          </w:rPr>
          <w:instrText xml:space="preserve"> PAGEREF _Toc416993460 \h </w:instrText>
        </w:r>
        <w:r>
          <w:rPr>
            <w:noProof/>
            <w:webHidden/>
          </w:rPr>
        </w:r>
        <w:r>
          <w:rPr>
            <w:noProof/>
            <w:webHidden/>
          </w:rPr>
          <w:fldChar w:fldCharType="separate"/>
        </w:r>
        <w:r>
          <w:rPr>
            <w:noProof/>
            <w:webHidden/>
          </w:rPr>
          <w:t>42</w:t>
        </w:r>
        <w:r>
          <w:rPr>
            <w:noProof/>
            <w:webHidden/>
          </w:rPr>
          <w:fldChar w:fldCharType="end"/>
        </w:r>
      </w:hyperlink>
    </w:p>
    <w:p w14:paraId="6F9A879F"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1" w:history="1">
        <w:r w:rsidRPr="00833EE1">
          <w:rPr>
            <w:rStyle w:val="Hyperlink"/>
            <w:noProof/>
          </w:rPr>
          <w:t>Figure 22: Assembly Configuration Optimization</w:t>
        </w:r>
        <w:r>
          <w:rPr>
            <w:noProof/>
            <w:webHidden/>
          </w:rPr>
          <w:tab/>
        </w:r>
        <w:r>
          <w:rPr>
            <w:noProof/>
            <w:webHidden/>
          </w:rPr>
          <w:fldChar w:fldCharType="begin"/>
        </w:r>
        <w:r>
          <w:rPr>
            <w:noProof/>
            <w:webHidden/>
          </w:rPr>
          <w:instrText xml:space="preserve"> PAGEREF _Toc416993461 \h </w:instrText>
        </w:r>
        <w:r>
          <w:rPr>
            <w:noProof/>
            <w:webHidden/>
          </w:rPr>
        </w:r>
        <w:r>
          <w:rPr>
            <w:noProof/>
            <w:webHidden/>
          </w:rPr>
          <w:fldChar w:fldCharType="separate"/>
        </w:r>
        <w:r>
          <w:rPr>
            <w:noProof/>
            <w:webHidden/>
          </w:rPr>
          <w:t>43</w:t>
        </w:r>
        <w:r>
          <w:rPr>
            <w:noProof/>
            <w:webHidden/>
          </w:rPr>
          <w:fldChar w:fldCharType="end"/>
        </w:r>
      </w:hyperlink>
    </w:p>
    <w:p w14:paraId="1651C857"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2" w:history="1">
        <w:r w:rsidRPr="00833EE1">
          <w:rPr>
            <w:rStyle w:val="Hyperlink"/>
            <w:noProof/>
          </w:rPr>
          <w:t>Figure 23: Loading pattern optimization GUI</w:t>
        </w:r>
        <w:r>
          <w:rPr>
            <w:noProof/>
            <w:webHidden/>
          </w:rPr>
          <w:tab/>
        </w:r>
        <w:r>
          <w:rPr>
            <w:noProof/>
            <w:webHidden/>
          </w:rPr>
          <w:fldChar w:fldCharType="begin"/>
        </w:r>
        <w:r>
          <w:rPr>
            <w:noProof/>
            <w:webHidden/>
          </w:rPr>
          <w:instrText xml:space="preserve"> PAGEREF _Toc416993462 \h </w:instrText>
        </w:r>
        <w:r>
          <w:rPr>
            <w:noProof/>
            <w:webHidden/>
          </w:rPr>
        </w:r>
        <w:r>
          <w:rPr>
            <w:noProof/>
            <w:webHidden/>
          </w:rPr>
          <w:fldChar w:fldCharType="separate"/>
        </w:r>
        <w:r>
          <w:rPr>
            <w:noProof/>
            <w:webHidden/>
          </w:rPr>
          <w:t>46</w:t>
        </w:r>
        <w:r>
          <w:rPr>
            <w:noProof/>
            <w:webHidden/>
          </w:rPr>
          <w:fldChar w:fldCharType="end"/>
        </w:r>
      </w:hyperlink>
    </w:p>
    <w:p w14:paraId="5A7F6288"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3" w:history="1">
        <w:r w:rsidRPr="00833EE1">
          <w:rPr>
            <w:rStyle w:val="Hyperlink"/>
            <w:noProof/>
          </w:rPr>
          <w:t>Figure 24: Control blade bank locations</w:t>
        </w:r>
        <w:r>
          <w:rPr>
            <w:noProof/>
            <w:webHidden/>
          </w:rPr>
          <w:tab/>
        </w:r>
        <w:r>
          <w:rPr>
            <w:noProof/>
            <w:webHidden/>
          </w:rPr>
          <w:fldChar w:fldCharType="begin"/>
        </w:r>
        <w:r>
          <w:rPr>
            <w:noProof/>
            <w:webHidden/>
          </w:rPr>
          <w:instrText xml:space="preserve"> PAGEREF _Toc416993463 \h </w:instrText>
        </w:r>
        <w:r>
          <w:rPr>
            <w:noProof/>
            <w:webHidden/>
          </w:rPr>
        </w:r>
        <w:r>
          <w:rPr>
            <w:noProof/>
            <w:webHidden/>
          </w:rPr>
          <w:fldChar w:fldCharType="separate"/>
        </w:r>
        <w:r>
          <w:rPr>
            <w:noProof/>
            <w:webHidden/>
          </w:rPr>
          <w:t>47</w:t>
        </w:r>
        <w:r>
          <w:rPr>
            <w:noProof/>
            <w:webHidden/>
          </w:rPr>
          <w:fldChar w:fldCharType="end"/>
        </w:r>
      </w:hyperlink>
    </w:p>
    <w:p w14:paraId="63F3ECB2"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4" w:history="1">
        <w:r w:rsidRPr="00833EE1">
          <w:rPr>
            <w:rStyle w:val="Hyperlink"/>
            <w:noProof/>
          </w:rPr>
          <w:t xml:space="preserve">Figure 25: Mesh of smeared pellet fuel rod model with 300 </w:t>
        </w:r>
        <w:r w:rsidRPr="00833EE1">
          <w:rPr>
            <w:rStyle w:val="Hyperlink"/>
            <w:rFonts w:cs="Times New Roman"/>
            <w:noProof/>
          </w:rPr>
          <w:t>μ</w:t>
        </w:r>
        <w:r w:rsidRPr="00833EE1">
          <w:rPr>
            <w:rStyle w:val="Hyperlink"/>
            <w:noProof/>
          </w:rPr>
          <w:t>m cladding</w:t>
        </w:r>
        <w:r>
          <w:rPr>
            <w:noProof/>
            <w:webHidden/>
          </w:rPr>
          <w:tab/>
        </w:r>
        <w:r>
          <w:rPr>
            <w:noProof/>
            <w:webHidden/>
          </w:rPr>
          <w:fldChar w:fldCharType="begin"/>
        </w:r>
        <w:r>
          <w:rPr>
            <w:noProof/>
            <w:webHidden/>
          </w:rPr>
          <w:instrText xml:space="preserve"> PAGEREF _Toc416993464 \h </w:instrText>
        </w:r>
        <w:r>
          <w:rPr>
            <w:noProof/>
            <w:webHidden/>
          </w:rPr>
        </w:r>
        <w:r>
          <w:rPr>
            <w:noProof/>
            <w:webHidden/>
          </w:rPr>
          <w:fldChar w:fldCharType="separate"/>
        </w:r>
        <w:r>
          <w:rPr>
            <w:noProof/>
            <w:webHidden/>
          </w:rPr>
          <w:t>51</w:t>
        </w:r>
        <w:r>
          <w:rPr>
            <w:noProof/>
            <w:webHidden/>
          </w:rPr>
          <w:fldChar w:fldCharType="end"/>
        </w:r>
      </w:hyperlink>
    </w:p>
    <w:p w14:paraId="1FCC5B15"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5" w:history="1">
        <w:r w:rsidRPr="00833EE1">
          <w:rPr>
            <w:rStyle w:val="Hyperlink"/>
            <w:noProof/>
          </w:rPr>
          <w:t>Figure 26: Infinite Multiplication factor vs effective full-power days for a range of UO2 kernel diameters</w:t>
        </w:r>
        <w:r>
          <w:rPr>
            <w:noProof/>
            <w:webHidden/>
          </w:rPr>
          <w:tab/>
        </w:r>
        <w:r>
          <w:rPr>
            <w:noProof/>
            <w:webHidden/>
          </w:rPr>
          <w:fldChar w:fldCharType="begin"/>
        </w:r>
        <w:r>
          <w:rPr>
            <w:noProof/>
            <w:webHidden/>
          </w:rPr>
          <w:instrText xml:space="preserve"> PAGEREF _Toc416993465 \h </w:instrText>
        </w:r>
        <w:r>
          <w:rPr>
            <w:noProof/>
            <w:webHidden/>
          </w:rPr>
        </w:r>
        <w:r>
          <w:rPr>
            <w:noProof/>
            <w:webHidden/>
          </w:rPr>
          <w:fldChar w:fldCharType="separate"/>
        </w:r>
        <w:r>
          <w:rPr>
            <w:noProof/>
            <w:webHidden/>
          </w:rPr>
          <w:t>55</w:t>
        </w:r>
        <w:r>
          <w:rPr>
            <w:noProof/>
            <w:webHidden/>
          </w:rPr>
          <w:fldChar w:fldCharType="end"/>
        </w:r>
      </w:hyperlink>
    </w:p>
    <w:p w14:paraId="7DCEF61D"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6" w:history="1">
        <w:r w:rsidRPr="00833EE1">
          <w:rPr>
            <w:rStyle w:val="Hyperlink"/>
            <w:noProof/>
          </w:rPr>
          <w:t>Figure 27: Infinite Multiplication factor with alternative uranium-based FCM fuels</w:t>
        </w:r>
        <w:r>
          <w:rPr>
            <w:noProof/>
            <w:webHidden/>
          </w:rPr>
          <w:tab/>
        </w:r>
        <w:r>
          <w:rPr>
            <w:noProof/>
            <w:webHidden/>
          </w:rPr>
          <w:fldChar w:fldCharType="begin"/>
        </w:r>
        <w:r>
          <w:rPr>
            <w:noProof/>
            <w:webHidden/>
          </w:rPr>
          <w:instrText xml:space="preserve"> PAGEREF _Toc416993466 \h </w:instrText>
        </w:r>
        <w:r>
          <w:rPr>
            <w:noProof/>
            <w:webHidden/>
          </w:rPr>
        </w:r>
        <w:r>
          <w:rPr>
            <w:noProof/>
            <w:webHidden/>
          </w:rPr>
          <w:fldChar w:fldCharType="separate"/>
        </w:r>
        <w:r>
          <w:rPr>
            <w:noProof/>
            <w:webHidden/>
          </w:rPr>
          <w:t>56</w:t>
        </w:r>
        <w:r>
          <w:rPr>
            <w:noProof/>
            <w:webHidden/>
          </w:rPr>
          <w:fldChar w:fldCharType="end"/>
        </w:r>
      </w:hyperlink>
    </w:p>
    <w:p w14:paraId="07C4AD4D"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7" w:history="1">
        <w:r w:rsidRPr="00833EE1">
          <w:rPr>
            <w:rStyle w:val="Hyperlink"/>
            <w:noProof/>
          </w:rPr>
          <w:t>Figure 28: Δk-infinity from Zircaloy-4 clad fuel vs. effective full power days</w:t>
        </w:r>
        <w:r>
          <w:rPr>
            <w:noProof/>
            <w:webHidden/>
          </w:rPr>
          <w:tab/>
        </w:r>
        <w:r>
          <w:rPr>
            <w:noProof/>
            <w:webHidden/>
          </w:rPr>
          <w:fldChar w:fldCharType="begin"/>
        </w:r>
        <w:r>
          <w:rPr>
            <w:noProof/>
            <w:webHidden/>
          </w:rPr>
          <w:instrText xml:space="preserve"> PAGEREF _Toc416993467 \h </w:instrText>
        </w:r>
        <w:r>
          <w:rPr>
            <w:noProof/>
            <w:webHidden/>
          </w:rPr>
        </w:r>
        <w:r>
          <w:rPr>
            <w:noProof/>
            <w:webHidden/>
          </w:rPr>
          <w:fldChar w:fldCharType="separate"/>
        </w:r>
        <w:r>
          <w:rPr>
            <w:noProof/>
            <w:webHidden/>
          </w:rPr>
          <w:t>57</w:t>
        </w:r>
        <w:r>
          <w:rPr>
            <w:noProof/>
            <w:webHidden/>
          </w:rPr>
          <w:fldChar w:fldCharType="end"/>
        </w:r>
      </w:hyperlink>
    </w:p>
    <w:p w14:paraId="1F3912B4"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8" w:history="1">
        <w:r w:rsidRPr="00833EE1">
          <w:rPr>
            <w:rStyle w:val="Hyperlink"/>
            <w:noProof/>
          </w:rPr>
          <w:t>Figure 29: EOC net core reactivity vs kernel diameter for several PFs and BLs</w:t>
        </w:r>
        <w:r>
          <w:rPr>
            <w:noProof/>
            <w:webHidden/>
          </w:rPr>
          <w:tab/>
        </w:r>
        <w:r>
          <w:rPr>
            <w:noProof/>
            <w:webHidden/>
          </w:rPr>
          <w:fldChar w:fldCharType="begin"/>
        </w:r>
        <w:r>
          <w:rPr>
            <w:noProof/>
            <w:webHidden/>
          </w:rPr>
          <w:instrText xml:space="preserve"> PAGEREF _Toc416993468 \h </w:instrText>
        </w:r>
        <w:r>
          <w:rPr>
            <w:noProof/>
            <w:webHidden/>
          </w:rPr>
        </w:r>
        <w:r>
          <w:rPr>
            <w:noProof/>
            <w:webHidden/>
          </w:rPr>
          <w:fldChar w:fldCharType="separate"/>
        </w:r>
        <w:r>
          <w:rPr>
            <w:noProof/>
            <w:webHidden/>
          </w:rPr>
          <w:t>59</w:t>
        </w:r>
        <w:r>
          <w:rPr>
            <w:noProof/>
            <w:webHidden/>
          </w:rPr>
          <w:fldChar w:fldCharType="end"/>
        </w:r>
      </w:hyperlink>
    </w:p>
    <w:p w14:paraId="6B8F51EA" w14:textId="77777777" w:rsidR="00274225" w:rsidRDefault="00274225">
      <w:pPr>
        <w:pStyle w:val="TableofFigures"/>
        <w:tabs>
          <w:tab w:val="right" w:leader="dot" w:pos="9350"/>
        </w:tabs>
        <w:rPr>
          <w:rFonts w:asciiTheme="minorHAnsi" w:eastAsiaTheme="minorEastAsia" w:hAnsiTheme="minorHAnsi"/>
          <w:noProof/>
          <w:sz w:val="22"/>
        </w:rPr>
      </w:pPr>
      <w:hyperlink w:anchor="_Toc416993469" w:history="1">
        <w:r w:rsidRPr="00833EE1">
          <w:rPr>
            <w:rStyle w:val="Hyperlink"/>
            <w:noProof/>
          </w:rPr>
          <w:t>Figure 30: EOC net core reactivity vs initial fissile fraction</w:t>
        </w:r>
        <w:r>
          <w:rPr>
            <w:noProof/>
            <w:webHidden/>
          </w:rPr>
          <w:tab/>
        </w:r>
        <w:r>
          <w:rPr>
            <w:noProof/>
            <w:webHidden/>
          </w:rPr>
          <w:fldChar w:fldCharType="begin"/>
        </w:r>
        <w:r>
          <w:rPr>
            <w:noProof/>
            <w:webHidden/>
          </w:rPr>
          <w:instrText xml:space="preserve"> PAGEREF _Toc416993469 \h </w:instrText>
        </w:r>
        <w:r>
          <w:rPr>
            <w:noProof/>
            <w:webHidden/>
          </w:rPr>
        </w:r>
        <w:r>
          <w:rPr>
            <w:noProof/>
            <w:webHidden/>
          </w:rPr>
          <w:fldChar w:fldCharType="separate"/>
        </w:r>
        <w:r>
          <w:rPr>
            <w:noProof/>
            <w:webHidden/>
          </w:rPr>
          <w:t>60</w:t>
        </w:r>
        <w:r>
          <w:rPr>
            <w:noProof/>
            <w:webHidden/>
          </w:rPr>
          <w:fldChar w:fldCharType="end"/>
        </w:r>
      </w:hyperlink>
    </w:p>
    <w:p w14:paraId="744665A1"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0" w:history="1">
        <w:r w:rsidRPr="00833EE1">
          <w:rPr>
            <w:rStyle w:val="Hyperlink"/>
            <w:noProof/>
          </w:rPr>
          <w:t>Figure 31: Fuel parameters required to match the PWR lifetime</w:t>
        </w:r>
        <w:r>
          <w:rPr>
            <w:noProof/>
            <w:webHidden/>
          </w:rPr>
          <w:tab/>
        </w:r>
        <w:r>
          <w:rPr>
            <w:noProof/>
            <w:webHidden/>
          </w:rPr>
          <w:fldChar w:fldCharType="begin"/>
        </w:r>
        <w:r>
          <w:rPr>
            <w:noProof/>
            <w:webHidden/>
          </w:rPr>
          <w:instrText xml:space="preserve"> PAGEREF _Toc416993470 \h </w:instrText>
        </w:r>
        <w:r>
          <w:rPr>
            <w:noProof/>
            <w:webHidden/>
          </w:rPr>
        </w:r>
        <w:r>
          <w:rPr>
            <w:noProof/>
            <w:webHidden/>
          </w:rPr>
          <w:fldChar w:fldCharType="separate"/>
        </w:r>
        <w:r>
          <w:rPr>
            <w:noProof/>
            <w:webHidden/>
          </w:rPr>
          <w:t>65</w:t>
        </w:r>
        <w:r>
          <w:rPr>
            <w:noProof/>
            <w:webHidden/>
          </w:rPr>
          <w:fldChar w:fldCharType="end"/>
        </w:r>
      </w:hyperlink>
    </w:p>
    <w:p w14:paraId="4BB5D9C8"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1" w:history="1">
        <w:r w:rsidRPr="00833EE1">
          <w:rPr>
            <w:rStyle w:val="Hyperlink"/>
            <w:noProof/>
          </w:rPr>
          <w:t>Figure 32: Average scalar flux throughout fuel lifetime: BOL (a), MOL (b), and EOL (c)</w:t>
        </w:r>
        <w:r>
          <w:rPr>
            <w:noProof/>
            <w:webHidden/>
          </w:rPr>
          <w:tab/>
        </w:r>
        <w:r>
          <w:rPr>
            <w:noProof/>
            <w:webHidden/>
          </w:rPr>
          <w:fldChar w:fldCharType="begin"/>
        </w:r>
        <w:r>
          <w:rPr>
            <w:noProof/>
            <w:webHidden/>
          </w:rPr>
          <w:instrText xml:space="preserve"> PAGEREF _Toc416993471 \h </w:instrText>
        </w:r>
        <w:r>
          <w:rPr>
            <w:noProof/>
            <w:webHidden/>
          </w:rPr>
        </w:r>
        <w:r>
          <w:rPr>
            <w:noProof/>
            <w:webHidden/>
          </w:rPr>
          <w:fldChar w:fldCharType="separate"/>
        </w:r>
        <w:r>
          <w:rPr>
            <w:noProof/>
            <w:webHidden/>
          </w:rPr>
          <w:t>67</w:t>
        </w:r>
        <w:r>
          <w:rPr>
            <w:noProof/>
            <w:webHidden/>
          </w:rPr>
          <w:fldChar w:fldCharType="end"/>
        </w:r>
      </w:hyperlink>
    </w:p>
    <w:p w14:paraId="1A70B715"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2" w:history="1">
        <w:r w:rsidRPr="00833EE1">
          <w:rPr>
            <w:rStyle w:val="Hyperlink"/>
            <w:noProof/>
          </w:rPr>
          <w:t>Figure 33: Neutron flux spectrum at BOL</w:t>
        </w:r>
        <w:r>
          <w:rPr>
            <w:noProof/>
            <w:webHidden/>
          </w:rPr>
          <w:tab/>
        </w:r>
        <w:r>
          <w:rPr>
            <w:noProof/>
            <w:webHidden/>
          </w:rPr>
          <w:fldChar w:fldCharType="begin"/>
        </w:r>
        <w:r>
          <w:rPr>
            <w:noProof/>
            <w:webHidden/>
          </w:rPr>
          <w:instrText xml:space="preserve"> PAGEREF _Toc416993472 \h </w:instrText>
        </w:r>
        <w:r>
          <w:rPr>
            <w:noProof/>
            <w:webHidden/>
          </w:rPr>
        </w:r>
        <w:r>
          <w:rPr>
            <w:noProof/>
            <w:webHidden/>
          </w:rPr>
          <w:fldChar w:fldCharType="separate"/>
        </w:r>
        <w:r>
          <w:rPr>
            <w:noProof/>
            <w:webHidden/>
          </w:rPr>
          <w:t>68</w:t>
        </w:r>
        <w:r>
          <w:rPr>
            <w:noProof/>
            <w:webHidden/>
          </w:rPr>
          <w:fldChar w:fldCharType="end"/>
        </w:r>
      </w:hyperlink>
    </w:p>
    <w:p w14:paraId="712C69E8"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3" w:history="1">
        <w:r w:rsidRPr="00833EE1">
          <w:rPr>
            <w:rStyle w:val="Hyperlink"/>
            <w:noProof/>
          </w:rPr>
          <w:t>Figure 34: Uranium mononitride FCM fuel power-sharing color-set</w:t>
        </w:r>
        <w:r>
          <w:rPr>
            <w:noProof/>
            <w:webHidden/>
          </w:rPr>
          <w:tab/>
        </w:r>
        <w:r>
          <w:rPr>
            <w:noProof/>
            <w:webHidden/>
          </w:rPr>
          <w:fldChar w:fldCharType="begin"/>
        </w:r>
        <w:r>
          <w:rPr>
            <w:noProof/>
            <w:webHidden/>
          </w:rPr>
          <w:instrText xml:space="preserve"> PAGEREF _Toc416993473 \h </w:instrText>
        </w:r>
        <w:r>
          <w:rPr>
            <w:noProof/>
            <w:webHidden/>
          </w:rPr>
        </w:r>
        <w:r>
          <w:rPr>
            <w:noProof/>
            <w:webHidden/>
          </w:rPr>
          <w:fldChar w:fldCharType="separate"/>
        </w:r>
        <w:r>
          <w:rPr>
            <w:noProof/>
            <w:webHidden/>
          </w:rPr>
          <w:t>73</w:t>
        </w:r>
        <w:r>
          <w:rPr>
            <w:noProof/>
            <w:webHidden/>
          </w:rPr>
          <w:fldChar w:fldCharType="end"/>
        </w:r>
      </w:hyperlink>
    </w:p>
    <w:p w14:paraId="4FE7DBD9"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4" w:history="1">
        <w:r w:rsidRPr="00833EE1">
          <w:rPr>
            <w:rStyle w:val="Hyperlink"/>
            <w:noProof/>
          </w:rPr>
          <w:t>Figure 35: Standard PWR UO2 pellet-based fuel power-sharing color-set</w:t>
        </w:r>
        <w:r>
          <w:rPr>
            <w:noProof/>
            <w:webHidden/>
          </w:rPr>
          <w:tab/>
        </w:r>
        <w:r>
          <w:rPr>
            <w:noProof/>
            <w:webHidden/>
          </w:rPr>
          <w:fldChar w:fldCharType="begin"/>
        </w:r>
        <w:r>
          <w:rPr>
            <w:noProof/>
            <w:webHidden/>
          </w:rPr>
          <w:instrText xml:space="preserve"> PAGEREF _Toc416993474 \h </w:instrText>
        </w:r>
        <w:r>
          <w:rPr>
            <w:noProof/>
            <w:webHidden/>
          </w:rPr>
        </w:r>
        <w:r>
          <w:rPr>
            <w:noProof/>
            <w:webHidden/>
          </w:rPr>
          <w:fldChar w:fldCharType="separate"/>
        </w:r>
        <w:r>
          <w:rPr>
            <w:noProof/>
            <w:webHidden/>
          </w:rPr>
          <w:t>73</w:t>
        </w:r>
        <w:r>
          <w:rPr>
            <w:noProof/>
            <w:webHidden/>
          </w:rPr>
          <w:fldChar w:fldCharType="end"/>
        </w:r>
      </w:hyperlink>
    </w:p>
    <w:p w14:paraId="0CE9E356"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5" w:history="1">
        <w:r w:rsidRPr="00833EE1">
          <w:rPr>
            <w:rStyle w:val="Hyperlink"/>
            <w:noProof/>
          </w:rPr>
          <w:t>Figure 36: Δk-infinity from Zircaloy-4 cladding and channel box for FeCrAl and SiC</w:t>
        </w:r>
        <w:r>
          <w:rPr>
            <w:noProof/>
            <w:webHidden/>
          </w:rPr>
          <w:tab/>
        </w:r>
        <w:r>
          <w:rPr>
            <w:noProof/>
            <w:webHidden/>
          </w:rPr>
          <w:fldChar w:fldCharType="begin"/>
        </w:r>
        <w:r>
          <w:rPr>
            <w:noProof/>
            <w:webHidden/>
          </w:rPr>
          <w:instrText xml:space="preserve"> PAGEREF _Toc416993475 \h </w:instrText>
        </w:r>
        <w:r>
          <w:rPr>
            <w:noProof/>
            <w:webHidden/>
          </w:rPr>
        </w:r>
        <w:r>
          <w:rPr>
            <w:noProof/>
            <w:webHidden/>
          </w:rPr>
          <w:fldChar w:fldCharType="separate"/>
        </w:r>
        <w:r>
          <w:rPr>
            <w:noProof/>
            <w:webHidden/>
          </w:rPr>
          <w:t>75</w:t>
        </w:r>
        <w:r>
          <w:rPr>
            <w:noProof/>
            <w:webHidden/>
          </w:rPr>
          <w:fldChar w:fldCharType="end"/>
        </w:r>
      </w:hyperlink>
    </w:p>
    <w:p w14:paraId="03C30302"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6" w:history="1">
        <w:r w:rsidRPr="00833EE1">
          <w:rPr>
            <w:rStyle w:val="Hyperlink"/>
            <w:noProof/>
          </w:rPr>
          <w:t>Figure 37: FeCrAl reactivity penalty of individual fuel elements</w:t>
        </w:r>
        <w:r>
          <w:rPr>
            <w:noProof/>
            <w:webHidden/>
          </w:rPr>
          <w:tab/>
        </w:r>
        <w:r>
          <w:rPr>
            <w:noProof/>
            <w:webHidden/>
          </w:rPr>
          <w:fldChar w:fldCharType="begin"/>
        </w:r>
        <w:r>
          <w:rPr>
            <w:noProof/>
            <w:webHidden/>
          </w:rPr>
          <w:instrText xml:space="preserve"> PAGEREF _Toc416993476 \h </w:instrText>
        </w:r>
        <w:r>
          <w:rPr>
            <w:noProof/>
            <w:webHidden/>
          </w:rPr>
        </w:r>
        <w:r>
          <w:rPr>
            <w:noProof/>
            <w:webHidden/>
          </w:rPr>
          <w:fldChar w:fldCharType="separate"/>
        </w:r>
        <w:r>
          <w:rPr>
            <w:noProof/>
            <w:webHidden/>
          </w:rPr>
          <w:t>76</w:t>
        </w:r>
        <w:r>
          <w:rPr>
            <w:noProof/>
            <w:webHidden/>
          </w:rPr>
          <w:fldChar w:fldCharType="end"/>
        </w:r>
      </w:hyperlink>
    </w:p>
    <w:p w14:paraId="6B571002"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7" w:history="1">
        <w:r w:rsidRPr="00833EE1">
          <w:rPr>
            <w:rStyle w:val="Hyperlink"/>
            <w:noProof/>
          </w:rPr>
          <w:t>Figure 38: Neutron flux spectrum as a function of energy</w:t>
        </w:r>
        <w:r>
          <w:rPr>
            <w:noProof/>
            <w:webHidden/>
          </w:rPr>
          <w:tab/>
        </w:r>
        <w:r>
          <w:rPr>
            <w:noProof/>
            <w:webHidden/>
          </w:rPr>
          <w:fldChar w:fldCharType="begin"/>
        </w:r>
        <w:r>
          <w:rPr>
            <w:noProof/>
            <w:webHidden/>
          </w:rPr>
          <w:instrText xml:space="preserve"> PAGEREF _Toc416993477 \h </w:instrText>
        </w:r>
        <w:r>
          <w:rPr>
            <w:noProof/>
            <w:webHidden/>
          </w:rPr>
        </w:r>
        <w:r>
          <w:rPr>
            <w:noProof/>
            <w:webHidden/>
          </w:rPr>
          <w:fldChar w:fldCharType="separate"/>
        </w:r>
        <w:r>
          <w:rPr>
            <w:noProof/>
            <w:webHidden/>
          </w:rPr>
          <w:t>77</w:t>
        </w:r>
        <w:r>
          <w:rPr>
            <w:noProof/>
            <w:webHidden/>
          </w:rPr>
          <w:fldChar w:fldCharType="end"/>
        </w:r>
      </w:hyperlink>
    </w:p>
    <w:p w14:paraId="060E03FB"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8" w:history="1">
        <w:r w:rsidRPr="00833EE1">
          <w:rPr>
            <w:rStyle w:val="Hyperlink"/>
            <w:noProof/>
          </w:rPr>
          <w:t>Figure 39: EOC Reactivity Values with respect to Fuel Design Changes in FeCrAl Loaded Bundles</w:t>
        </w:r>
        <w:r>
          <w:rPr>
            <w:noProof/>
            <w:webHidden/>
          </w:rPr>
          <w:tab/>
        </w:r>
        <w:r>
          <w:rPr>
            <w:noProof/>
            <w:webHidden/>
          </w:rPr>
          <w:fldChar w:fldCharType="begin"/>
        </w:r>
        <w:r>
          <w:rPr>
            <w:noProof/>
            <w:webHidden/>
          </w:rPr>
          <w:instrText xml:space="preserve"> PAGEREF _Toc416993478 \h </w:instrText>
        </w:r>
        <w:r>
          <w:rPr>
            <w:noProof/>
            <w:webHidden/>
          </w:rPr>
        </w:r>
        <w:r>
          <w:rPr>
            <w:noProof/>
            <w:webHidden/>
          </w:rPr>
          <w:fldChar w:fldCharType="separate"/>
        </w:r>
        <w:r>
          <w:rPr>
            <w:noProof/>
            <w:webHidden/>
          </w:rPr>
          <w:t>79</w:t>
        </w:r>
        <w:r>
          <w:rPr>
            <w:noProof/>
            <w:webHidden/>
          </w:rPr>
          <w:fldChar w:fldCharType="end"/>
        </w:r>
      </w:hyperlink>
    </w:p>
    <w:p w14:paraId="62BB7332" w14:textId="77777777" w:rsidR="00274225" w:rsidRDefault="00274225">
      <w:pPr>
        <w:pStyle w:val="TableofFigures"/>
        <w:tabs>
          <w:tab w:val="right" w:leader="dot" w:pos="9350"/>
        </w:tabs>
        <w:rPr>
          <w:rFonts w:asciiTheme="minorHAnsi" w:eastAsiaTheme="minorEastAsia" w:hAnsiTheme="minorHAnsi"/>
          <w:noProof/>
          <w:sz w:val="22"/>
        </w:rPr>
      </w:pPr>
      <w:hyperlink w:anchor="_Toc416993479" w:history="1">
        <w:r w:rsidRPr="00833EE1">
          <w:rPr>
            <w:rStyle w:val="Hyperlink"/>
            <w:noProof/>
          </w:rPr>
          <w:t>Figure 40: Fuel parameters required to match the BWR lifetime</w:t>
        </w:r>
        <w:r>
          <w:rPr>
            <w:noProof/>
            <w:webHidden/>
          </w:rPr>
          <w:tab/>
        </w:r>
        <w:r>
          <w:rPr>
            <w:noProof/>
            <w:webHidden/>
          </w:rPr>
          <w:fldChar w:fldCharType="begin"/>
        </w:r>
        <w:r>
          <w:rPr>
            <w:noProof/>
            <w:webHidden/>
          </w:rPr>
          <w:instrText xml:space="preserve"> PAGEREF _Toc416993479 \h </w:instrText>
        </w:r>
        <w:r>
          <w:rPr>
            <w:noProof/>
            <w:webHidden/>
          </w:rPr>
        </w:r>
        <w:r>
          <w:rPr>
            <w:noProof/>
            <w:webHidden/>
          </w:rPr>
          <w:fldChar w:fldCharType="separate"/>
        </w:r>
        <w:r>
          <w:rPr>
            <w:noProof/>
            <w:webHidden/>
          </w:rPr>
          <w:t>80</w:t>
        </w:r>
        <w:r>
          <w:rPr>
            <w:noProof/>
            <w:webHidden/>
          </w:rPr>
          <w:fldChar w:fldCharType="end"/>
        </w:r>
      </w:hyperlink>
    </w:p>
    <w:p w14:paraId="4C3F3C26"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0" w:history="1">
        <w:r w:rsidRPr="00833EE1">
          <w:rPr>
            <w:rStyle w:val="Hyperlink"/>
            <w:noProof/>
          </w:rPr>
          <w:t>Figure 41: Full-core Zircaloy base case depletion</w:t>
        </w:r>
        <w:r>
          <w:rPr>
            <w:noProof/>
            <w:webHidden/>
          </w:rPr>
          <w:tab/>
        </w:r>
        <w:r>
          <w:rPr>
            <w:noProof/>
            <w:webHidden/>
          </w:rPr>
          <w:fldChar w:fldCharType="begin"/>
        </w:r>
        <w:r>
          <w:rPr>
            <w:noProof/>
            <w:webHidden/>
          </w:rPr>
          <w:instrText xml:space="preserve"> PAGEREF _Toc416993480 \h </w:instrText>
        </w:r>
        <w:r>
          <w:rPr>
            <w:noProof/>
            <w:webHidden/>
          </w:rPr>
        </w:r>
        <w:r>
          <w:rPr>
            <w:noProof/>
            <w:webHidden/>
          </w:rPr>
          <w:fldChar w:fldCharType="separate"/>
        </w:r>
        <w:r>
          <w:rPr>
            <w:noProof/>
            <w:webHidden/>
          </w:rPr>
          <w:t>81</w:t>
        </w:r>
        <w:r>
          <w:rPr>
            <w:noProof/>
            <w:webHidden/>
          </w:rPr>
          <w:fldChar w:fldCharType="end"/>
        </w:r>
      </w:hyperlink>
    </w:p>
    <w:p w14:paraId="30F368BB"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1" w:history="1">
        <w:r w:rsidRPr="00833EE1">
          <w:rPr>
            <w:rStyle w:val="Hyperlink"/>
            <w:noProof/>
          </w:rPr>
          <w:t>Figure 42: FeCrAl loaded core designs matching Zircaloy base case cycle length</w:t>
        </w:r>
        <w:r>
          <w:rPr>
            <w:noProof/>
            <w:webHidden/>
          </w:rPr>
          <w:tab/>
        </w:r>
        <w:r>
          <w:rPr>
            <w:noProof/>
            <w:webHidden/>
          </w:rPr>
          <w:fldChar w:fldCharType="begin"/>
        </w:r>
        <w:r>
          <w:rPr>
            <w:noProof/>
            <w:webHidden/>
          </w:rPr>
          <w:instrText xml:space="preserve"> PAGEREF _Toc416993481 \h </w:instrText>
        </w:r>
        <w:r>
          <w:rPr>
            <w:noProof/>
            <w:webHidden/>
          </w:rPr>
        </w:r>
        <w:r>
          <w:rPr>
            <w:noProof/>
            <w:webHidden/>
          </w:rPr>
          <w:fldChar w:fldCharType="separate"/>
        </w:r>
        <w:r>
          <w:rPr>
            <w:noProof/>
            <w:webHidden/>
          </w:rPr>
          <w:t>83</w:t>
        </w:r>
        <w:r>
          <w:rPr>
            <w:noProof/>
            <w:webHidden/>
          </w:rPr>
          <w:fldChar w:fldCharType="end"/>
        </w:r>
      </w:hyperlink>
    </w:p>
    <w:p w14:paraId="05058922"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2" w:history="1">
        <w:r w:rsidRPr="00833EE1">
          <w:rPr>
            <w:rStyle w:val="Hyperlink"/>
            <w:noProof/>
          </w:rPr>
          <w:t>Figure 43: Parametric evaluation of lattice physics and full-core models</w:t>
        </w:r>
        <w:r>
          <w:rPr>
            <w:noProof/>
            <w:webHidden/>
          </w:rPr>
          <w:tab/>
        </w:r>
        <w:r>
          <w:rPr>
            <w:noProof/>
            <w:webHidden/>
          </w:rPr>
          <w:fldChar w:fldCharType="begin"/>
        </w:r>
        <w:r>
          <w:rPr>
            <w:noProof/>
            <w:webHidden/>
          </w:rPr>
          <w:instrText xml:space="preserve"> PAGEREF _Toc416993482 \h </w:instrText>
        </w:r>
        <w:r>
          <w:rPr>
            <w:noProof/>
            <w:webHidden/>
          </w:rPr>
        </w:r>
        <w:r>
          <w:rPr>
            <w:noProof/>
            <w:webHidden/>
          </w:rPr>
          <w:fldChar w:fldCharType="separate"/>
        </w:r>
        <w:r>
          <w:rPr>
            <w:noProof/>
            <w:webHidden/>
          </w:rPr>
          <w:t>84</w:t>
        </w:r>
        <w:r>
          <w:rPr>
            <w:noProof/>
            <w:webHidden/>
          </w:rPr>
          <w:fldChar w:fldCharType="end"/>
        </w:r>
      </w:hyperlink>
    </w:p>
    <w:p w14:paraId="406A7D7F"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3" w:history="1">
        <w:r w:rsidRPr="00833EE1">
          <w:rPr>
            <w:rStyle w:val="Hyperlink"/>
            <w:noProof/>
          </w:rPr>
          <w:t>Figure 44: CB withdrawal in notches for Zircaloy base case core</w:t>
        </w:r>
        <w:r>
          <w:rPr>
            <w:noProof/>
            <w:webHidden/>
          </w:rPr>
          <w:tab/>
        </w:r>
        <w:r>
          <w:rPr>
            <w:noProof/>
            <w:webHidden/>
          </w:rPr>
          <w:fldChar w:fldCharType="begin"/>
        </w:r>
        <w:r>
          <w:rPr>
            <w:noProof/>
            <w:webHidden/>
          </w:rPr>
          <w:instrText xml:space="preserve"> PAGEREF _Toc416993483 \h </w:instrText>
        </w:r>
        <w:r>
          <w:rPr>
            <w:noProof/>
            <w:webHidden/>
          </w:rPr>
        </w:r>
        <w:r>
          <w:rPr>
            <w:noProof/>
            <w:webHidden/>
          </w:rPr>
          <w:fldChar w:fldCharType="separate"/>
        </w:r>
        <w:r>
          <w:rPr>
            <w:noProof/>
            <w:webHidden/>
          </w:rPr>
          <w:t>86</w:t>
        </w:r>
        <w:r>
          <w:rPr>
            <w:noProof/>
            <w:webHidden/>
          </w:rPr>
          <w:fldChar w:fldCharType="end"/>
        </w:r>
      </w:hyperlink>
    </w:p>
    <w:p w14:paraId="505D480E"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4" w:history="1">
        <w:r w:rsidRPr="00833EE1">
          <w:rPr>
            <w:rStyle w:val="Hyperlink"/>
            <w:noProof/>
          </w:rPr>
          <w:t>Figure 45: Relative power fraction of Zircaloy base case model at a) BOC b) EOC</w:t>
        </w:r>
        <w:r>
          <w:rPr>
            <w:noProof/>
            <w:webHidden/>
          </w:rPr>
          <w:tab/>
        </w:r>
        <w:r>
          <w:rPr>
            <w:noProof/>
            <w:webHidden/>
          </w:rPr>
          <w:fldChar w:fldCharType="begin"/>
        </w:r>
        <w:r>
          <w:rPr>
            <w:noProof/>
            <w:webHidden/>
          </w:rPr>
          <w:instrText xml:space="preserve"> PAGEREF _Toc416993484 \h </w:instrText>
        </w:r>
        <w:r>
          <w:rPr>
            <w:noProof/>
            <w:webHidden/>
          </w:rPr>
        </w:r>
        <w:r>
          <w:rPr>
            <w:noProof/>
            <w:webHidden/>
          </w:rPr>
          <w:fldChar w:fldCharType="separate"/>
        </w:r>
        <w:r>
          <w:rPr>
            <w:noProof/>
            <w:webHidden/>
          </w:rPr>
          <w:t>87</w:t>
        </w:r>
        <w:r>
          <w:rPr>
            <w:noProof/>
            <w:webHidden/>
          </w:rPr>
          <w:fldChar w:fldCharType="end"/>
        </w:r>
      </w:hyperlink>
    </w:p>
    <w:p w14:paraId="25A20F8A"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5" w:history="1">
        <w:r w:rsidRPr="00833EE1">
          <w:rPr>
            <w:rStyle w:val="Hyperlink"/>
            <w:noProof/>
          </w:rPr>
          <w:t>Figure 46: Loading pattern optimizations for FeCrAl core with varying RPF limits</w:t>
        </w:r>
        <w:r>
          <w:rPr>
            <w:noProof/>
            <w:webHidden/>
          </w:rPr>
          <w:tab/>
        </w:r>
        <w:r>
          <w:rPr>
            <w:noProof/>
            <w:webHidden/>
          </w:rPr>
          <w:fldChar w:fldCharType="begin"/>
        </w:r>
        <w:r>
          <w:rPr>
            <w:noProof/>
            <w:webHidden/>
          </w:rPr>
          <w:instrText xml:space="preserve"> PAGEREF _Toc416993485 \h </w:instrText>
        </w:r>
        <w:r>
          <w:rPr>
            <w:noProof/>
            <w:webHidden/>
          </w:rPr>
        </w:r>
        <w:r>
          <w:rPr>
            <w:noProof/>
            <w:webHidden/>
          </w:rPr>
          <w:fldChar w:fldCharType="separate"/>
        </w:r>
        <w:r>
          <w:rPr>
            <w:noProof/>
            <w:webHidden/>
          </w:rPr>
          <w:t>88</w:t>
        </w:r>
        <w:r>
          <w:rPr>
            <w:noProof/>
            <w:webHidden/>
          </w:rPr>
          <w:fldChar w:fldCharType="end"/>
        </w:r>
      </w:hyperlink>
    </w:p>
    <w:p w14:paraId="553ADB6D"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6" w:history="1">
        <w:r w:rsidRPr="00833EE1">
          <w:rPr>
            <w:rStyle w:val="Hyperlink"/>
            <w:noProof/>
          </w:rPr>
          <w:t>Figure 47: FeCrAl loading pattern with a) optimization code b) python GUI</w:t>
        </w:r>
        <w:r>
          <w:rPr>
            <w:noProof/>
            <w:webHidden/>
          </w:rPr>
          <w:tab/>
        </w:r>
        <w:r>
          <w:rPr>
            <w:noProof/>
            <w:webHidden/>
          </w:rPr>
          <w:fldChar w:fldCharType="begin"/>
        </w:r>
        <w:r>
          <w:rPr>
            <w:noProof/>
            <w:webHidden/>
          </w:rPr>
          <w:instrText xml:space="preserve"> PAGEREF _Toc416993486 \h </w:instrText>
        </w:r>
        <w:r>
          <w:rPr>
            <w:noProof/>
            <w:webHidden/>
          </w:rPr>
        </w:r>
        <w:r>
          <w:rPr>
            <w:noProof/>
            <w:webHidden/>
          </w:rPr>
          <w:fldChar w:fldCharType="separate"/>
        </w:r>
        <w:r>
          <w:rPr>
            <w:noProof/>
            <w:webHidden/>
          </w:rPr>
          <w:t>89</w:t>
        </w:r>
        <w:r>
          <w:rPr>
            <w:noProof/>
            <w:webHidden/>
          </w:rPr>
          <w:fldChar w:fldCharType="end"/>
        </w:r>
      </w:hyperlink>
    </w:p>
    <w:p w14:paraId="4E00CA93"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7" w:history="1">
        <w:r w:rsidRPr="00833EE1">
          <w:rPr>
            <w:rStyle w:val="Hyperlink"/>
            <w:noProof/>
          </w:rPr>
          <w:t>Figure 48: Control blade withdrawal in notches for FeCrAl core</w:t>
        </w:r>
        <w:r>
          <w:rPr>
            <w:noProof/>
            <w:webHidden/>
          </w:rPr>
          <w:tab/>
        </w:r>
        <w:r>
          <w:rPr>
            <w:noProof/>
            <w:webHidden/>
          </w:rPr>
          <w:fldChar w:fldCharType="begin"/>
        </w:r>
        <w:r>
          <w:rPr>
            <w:noProof/>
            <w:webHidden/>
          </w:rPr>
          <w:instrText xml:space="preserve"> PAGEREF _Toc416993487 \h </w:instrText>
        </w:r>
        <w:r>
          <w:rPr>
            <w:noProof/>
            <w:webHidden/>
          </w:rPr>
        </w:r>
        <w:r>
          <w:rPr>
            <w:noProof/>
            <w:webHidden/>
          </w:rPr>
          <w:fldChar w:fldCharType="separate"/>
        </w:r>
        <w:r>
          <w:rPr>
            <w:noProof/>
            <w:webHidden/>
          </w:rPr>
          <w:t>91</w:t>
        </w:r>
        <w:r>
          <w:rPr>
            <w:noProof/>
            <w:webHidden/>
          </w:rPr>
          <w:fldChar w:fldCharType="end"/>
        </w:r>
      </w:hyperlink>
    </w:p>
    <w:p w14:paraId="0F684B69"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8" w:history="1">
        <w:r w:rsidRPr="00833EE1">
          <w:rPr>
            <w:rStyle w:val="Hyperlink"/>
            <w:noProof/>
          </w:rPr>
          <w:t>Figure 49: Bundle-averaged axial void distribution at MOC</w:t>
        </w:r>
        <w:r>
          <w:rPr>
            <w:noProof/>
            <w:webHidden/>
          </w:rPr>
          <w:tab/>
        </w:r>
        <w:r>
          <w:rPr>
            <w:noProof/>
            <w:webHidden/>
          </w:rPr>
          <w:fldChar w:fldCharType="begin"/>
        </w:r>
        <w:r>
          <w:rPr>
            <w:noProof/>
            <w:webHidden/>
          </w:rPr>
          <w:instrText xml:space="preserve"> PAGEREF _Toc416993488 \h </w:instrText>
        </w:r>
        <w:r>
          <w:rPr>
            <w:noProof/>
            <w:webHidden/>
          </w:rPr>
        </w:r>
        <w:r>
          <w:rPr>
            <w:noProof/>
            <w:webHidden/>
          </w:rPr>
          <w:fldChar w:fldCharType="separate"/>
        </w:r>
        <w:r>
          <w:rPr>
            <w:noProof/>
            <w:webHidden/>
          </w:rPr>
          <w:t>92</w:t>
        </w:r>
        <w:r>
          <w:rPr>
            <w:noProof/>
            <w:webHidden/>
          </w:rPr>
          <w:fldChar w:fldCharType="end"/>
        </w:r>
      </w:hyperlink>
    </w:p>
    <w:p w14:paraId="2F21C51A" w14:textId="77777777" w:rsidR="00274225" w:rsidRDefault="00274225">
      <w:pPr>
        <w:pStyle w:val="TableofFigures"/>
        <w:tabs>
          <w:tab w:val="right" w:leader="dot" w:pos="9350"/>
        </w:tabs>
        <w:rPr>
          <w:rFonts w:asciiTheme="minorHAnsi" w:eastAsiaTheme="minorEastAsia" w:hAnsiTheme="minorHAnsi"/>
          <w:noProof/>
          <w:sz w:val="22"/>
        </w:rPr>
      </w:pPr>
      <w:hyperlink w:anchor="_Toc416993489" w:history="1">
        <w:r w:rsidRPr="00833EE1">
          <w:rPr>
            <w:rStyle w:val="Hyperlink"/>
            <w:noProof/>
          </w:rPr>
          <w:t>Figure 50: Δk-infinity from Zircaloy-4 cladding and channel box for hybrid bundles</w:t>
        </w:r>
        <w:r>
          <w:rPr>
            <w:noProof/>
            <w:webHidden/>
          </w:rPr>
          <w:tab/>
        </w:r>
        <w:r>
          <w:rPr>
            <w:noProof/>
            <w:webHidden/>
          </w:rPr>
          <w:fldChar w:fldCharType="begin"/>
        </w:r>
        <w:r>
          <w:rPr>
            <w:noProof/>
            <w:webHidden/>
          </w:rPr>
          <w:instrText xml:space="preserve"> PAGEREF _Toc416993489 \h </w:instrText>
        </w:r>
        <w:r>
          <w:rPr>
            <w:noProof/>
            <w:webHidden/>
          </w:rPr>
        </w:r>
        <w:r>
          <w:rPr>
            <w:noProof/>
            <w:webHidden/>
          </w:rPr>
          <w:fldChar w:fldCharType="separate"/>
        </w:r>
        <w:r>
          <w:rPr>
            <w:noProof/>
            <w:webHidden/>
          </w:rPr>
          <w:t>93</w:t>
        </w:r>
        <w:r>
          <w:rPr>
            <w:noProof/>
            <w:webHidden/>
          </w:rPr>
          <w:fldChar w:fldCharType="end"/>
        </w:r>
      </w:hyperlink>
    </w:p>
    <w:p w14:paraId="3D9334A3" w14:textId="77777777" w:rsidR="00274225" w:rsidRDefault="00274225">
      <w:pPr>
        <w:pStyle w:val="TableofFigures"/>
        <w:tabs>
          <w:tab w:val="right" w:leader="dot" w:pos="9350"/>
        </w:tabs>
        <w:rPr>
          <w:rFonts w:asciiTheme="minorHAnsi" w:eastAsiaTheme="minorEastAsia" w:hAnsiTheme="minorHAnsi"/>
          <w:noProof/>
          <w:sz w:val="22"/>
        </w:rPr>
      </w:pPr>
      <w:hyperlink w:anchor="_Toc416993490" w:history="1">
        <w:r w:rsidRPr="00833EE1">
          <w:rPr>
            <w:rStyle w:val="Hyperlink"/>
            <w:noProof/>
          </w:rPr>
          <w:t>Figure 51: Equilibrium core exposure values for Zircaloy base case model</w:t>
        </w:r>
        <w:r>
          <w:rPr>
            <w:noProof/>
            <w:webHidden/>
          </w:rPr>
          <w:tab/>
        </w:r>
        <w:r>
          <w:rPr>
            <w:noProof/>
            <w:webHidden/>
          </w:rPr>
          <w:fldChar w:fldCharType="begin"/>
        </w:r>
        <w:r>
          <w:rPr>
            <w:noProof/>
            <w:webHidden/>
          </w:rPr>
          <w:instrText xml:space="preserve"> PAGEREF _Toc416993490 \h </w:instrText>
        </w:r>
        <w:r>
          <w:rPr>
            <w:noProof/>
            <w:webHidden/>
          </w:rPr>
        </w:r>
        <w:r>
          <w:rPr>
            <w:noProof/>
            <w:webHidden/>
          </w:rPr>
          <w:fldChar w:fldCharType="separate"/>
        </w:r>
        <w:r>
          <w:rPr>
            <w:noProof/>
            <w:webHidden/>
          </w:rPr>
          <w:t>95</w:t>
        </w:r>
        <w:r>
          <w:rPr>
            <w:noProof/>
            <w:webHidden/>
          </w:rPr>
          <w:fldChar w:fldCharType="end"/>
        </w:r>
      </w:hyperlink>
    </w:p>
    <w:p w14:paraId="535721E9" w14:textId="77777777" w:rsidR="00274225" w:rsidRDefault="00274225">
      <w:pPr>
        <w:pStyle w:val="TableofFigures"/>
        <w:tabs>
          <w:tab w:val="right" w:leader="dot" w:pos="9350"/>
        </w:tabs>
        <w:rPr>
          <w:rFonts w:asciiTheme="minorHAnsi" w:eastAsiaTheme="minorEastAsia" w:hAnsiTheme="minorHAnsi"/>
          <w:noProof/>
          <w:sz w:val="22"/>
        </w:rPr>
      </w:pPr>
      <w:hyperlink w:anchor="_Toc416993491" w:history="1">
        <w:r w:rsidRPr="00833EE1">
          <w:rPr>
            <w:rStyle w:val="Hyperlink"/>
            <w:noProof/>
          </w:rPr>
          <w:t>Figure 52: CASMO BOL pin cell relative peaking factors</w:t>
        </w:r>
        <w:r>
          <w:rPr>
            <w:noProof/>
            <w:webHidden/>
          </w:rPr>
          <w:tab/>
        </w:r>
        <w:r>
          <w:rPr>
            <w:noProof/>
            <w:webHidden/>
          </w:rPr>
          <w:fldChar w:fldCharType="begin"/>
        </w:r>
        <w:r>
          <w:rPr>
            <w:noProof/>
            <w:webHidden/>
          </w:rPr>
          <w:instrText xml:space="preserve"> PAGEREF _Toc416993491 \h </w:instrText>
        </w:r>
        <w:r>
          <w:rPr>
            <w:noProof/>
            <w:webHidden/>
          </w:rPr>
        </w:r>
        <w:r>
          <w:rPr>
            <w:noProof/>
            <w:webHidden/>
          </w:rPr>
          <w:fldChar w:fldCharType="separate"/>
        </w:r>
        <w:r>
          <w:rPr>
            <w:noProof/>
            <w:webHidden/>
          </w:rPr>
          <w:t>96</w:t>
        </w:r>
        <w:r>
          <w:rPr>
            <w:noProof/>
            <w:webHidden/>
          </w:rPr>
          <w:fldChar w:fldCharType="end"/>
        </w:r>
      </w:hyperlink>
    </w:p>
    <w:p w14:paraId="50BCD989" w14:textId="77777777" w:rsidR="00274225" w:rsidRDefault="00274225">
      <w:pPr>
        <w:pStyle w:val="TableofFigures"/>
        <w:tabs>
          <w:tab w:val="right" w:leader="dot" w:pos="9350"/>
        </w:tabs>
        <w:rPr>
          <w:rFonts w:asciiTheme="minorHAnsi" w:eastAsiaTheme="minorEastAsia" w:hAnsiTheme="minorHAnsi"/>
          <w:noProof/>
          <w:sz w:val="22"/>
        </w:rPr>
      </w:pPr>
      <w:hyperlink w:anchor="_Toc416993492" w:history="1">
        <w:r w:rsidRPr="00833EE1">
          <w:rPr>
            <w:rStyle w:val="Hyperlink"/>
            <w:noProof/>
          </w:rPr>
          <w:t>Figure 53: Axial linear heat rate for limiting Zircaloy assembly through first cycle</w:t>
        </w:r>
        <w:r>
          <w:rPr>
            <w:noProof/>
            <w:webHidden/>
          </w:rPr>
          <w:tab/>
        </w:r>
        <w:r>
          <w:rPr>
            <w:noProof/>
            <w:webHidden/>
          </w:rPr>
          <w:fldChar w:fldCharType="begin"/>
        </w:r>
        <w:r>
          <w:rPr>
            <w:noProof/>
            <w:webHidden/>
          </w:rPr>
          <w:instrText xml:space="preserve"> PAGEREF _Toc416993492 \h </w:instrText>
        </w:r>
        <w:r>
          <w:rPr>
            <w:noProof/>
            <w:webHidden/>
          </w:rPr>
        </w:r>
        <w:r>
          <w:rPr>
            <w:noProof/>
            <w:webHidden/>
          </w:rPr>
          <w:fldChar w:fldCharType="separate"/>
        </w:r>
        <w:r>
          <w:rPr>
            <w:noProof/>
            <w:webHidden/>
          </w:rPr>
          <w:t>96</w:t>
        </w:r>
        <w:r>
          <w:rPr>
            <w:noProof/>
            <w:webHidden/>
          </w:rPr>
          <w:fldChar w:fldCharType="end"/>
        </w:r>
      </w:hyperlink>
    </w:p>
    <w:p w14:paraId="77F23A34" w14:textId="77777777" w:rsidR="00274225" w:rsidRDefault="00274225">
      <w:pPr>
        <w:pStyle w:val="TableofFigures"/>
        <w:tabs>
          <w:tab w:val="right" w:leader="dot" w:pos="9350"/>
        </w:tabs>
        <w:rPr>
          <w:rFonts w:asciiTheme="minorHAnsi" w:eastAsiaTheme="minorEastAsia" w:hAnsiTheme="minorHAnsi"/>
          <w:noProof/>
          <w:sz w:val="22"/>
        </w:rPr>
      </w:pPr>
      <w:hyperlink w:anchor="_Toc416993493" w:history="1">
        <w:r w:rsidRPr="00833EE1">
          <w:rPr>
            <w:rStyle w:val="Hyperlink"/>
            <w:noProof/>
          </w:rPr>
          <w:t>Figure 54: Peak centerline temperature</w:t>
        </w:r>
        <w:r>
          <w:rPr>
            <w:noProof/>
            <w:webHidden/>
          </w:rPr>
          <w:tab/>
        </w:r>
        <w:r>
          <w:rPr>
            <w:noProof/>
            <w:webHidden/>
          </w:rPr>
          <w:fldChar w:fldCharType="begin"/>
        </w:r>
        <w:r>
          <w:rPr>
            <w:noProof/>
            <w:webHidden/>
          </w:rPr>
          <w:instrText xml:space="preserve"> PAGEREF _Toc416993493 \h </w:instrText>
        </w:r>
        <w:r>
          <w:rPr>
            <w:noProof/>
            <w:webHidden/>
          </w:rPr>
        </w:r>
        <w:r>
          <w:rPr>
            <w:noProof/>
            <w:webHidden/>
          </w:rPr>
          <w:fldChar w:fldCharType="separate"/>
        </w:r>
        <w:r>
          <w:rPr>
            <w:noProof/>
            <w:webHidden/>
          </w:rPr>
          <w:t>98</w:t>
        </w:r>
        <w:r>
          <w:rPr>
            <w:noProof/>
            <w:webHidden/>
          </w:rPr>
          <w:fldChar w:fldCharType="end"/>
        </w:r>
      </w:hyperlink>
    </w:p>
    <w:p w14:paraId="22AFCA23" w14:textId="77777777" w:rsidR="00274225" w:rsidRDefault="00274225">
      <w:pPr>
        <w:pStyle w:val="TableofFigures"/>
        <w:tabs>
          <w:tab w:val="right" w:leader="dot" w:pos="9350"/>
        </w:tabs>
        <w:rPr>
          <w:rFonts w:asciiTheme="minorHAnsi" w:eastAsiaTheme="minorEastAsia" w:hAnsiTheme="minorHAnsi"/>
          <w:noProof/>
          <w:sz w:val="22"/>
        </w:rPr>
      </w:pPr>
      <w:hyperlink w:anchor="_Toc416993494" w:history="1">
        <w:r w:rsidRPr="00833EE1">
          <w:rPr>
            <w:rStyle w:val="Hyperlink"/>
            <w:noProof/>
          </w:rPr>
          <w:t>Figure 55: Axial displacement throughout depletion</w:t>
        </w:r>
        <w:r>
          <w:rPr>
            <w:noProof/>
            <w:webHidden/>
          </w:rPr>
          <w:tab/>
        </w:r>
        <w:r>
          <w:rPr>
            <w:noProof/>
            <w:webHidden/>
          </w:rPr>
          <w:fldChar w:fldCharType="begin"/>
        </w:r>
        <w:r>
          <w:rPr>
            <w:noProof/>
            <w:webHidden/>
          </w:rPr>
          <w:instrText xml:space="preserve"> PAGEREF _Toc416993494 \h </w:instrText>
        </w:r>
        <w:r>
          <w:rPr>
            <w:noProof/>
            <w:webHidden/>
          </w:rPr>
        </w:r>
        <w:r>
          <w:rPr>
            <w:noProof/>
            <w:webHidden/>
          </w:rPr>
          <w:fldChar w:fldCharType="separate"/>
        </w:r>
        <w:r>
          <w:rPr>
            <w:noProof/>
            <w:webHidden/>
          </w:rPr>
          <w:t>98</w:t>
        </w:r>
        <w:r>
          <w:rPr>
            <w:noProof/>
            <w:webHidden/>
          </w:rPr>
          <w:fldChar w:fldCharType="end"/>
        </w:r>
      </w:hyperlink>
    </w:p>
    <w:p w14:paraId="4CEA741C" w14:textId="77777777" w:rsidR="00274225" w:rsidRDefault="00274225">
      <w:pPr>
        <w:pStyle w:val="TableofFigures"/>
        <w:tabs>
          <w:tab w:val="right" w:leader="dot" w:pos="9350"/>
        </w:tabs>
        <w:rPr>
          <w:rFonts w:asciiTheme="minorHAnsi" w:eastAsiaTheme="minorEastAsia" w:hAnsiTheme="minorHAnsi"/>
          <w:noProof/>
          <w:sz w:val="22"/>
        </w:rPr>
      </w:pPr>
      <w:hyperlink w:anchor="_Toc416993495" w:history="1">
        <w:r w:rsidRPr="00833EE1">
          <w:rPr>
            <w:rStyle w:val="Hyperlink"/>
            <w:noProof/>
          </w:rPr>
          <w:t>Figure 56: Radial displacement throughout depletion</w:t>
        </w:r>
        <w:r>
          <w:rPr>
            <w:noProof/>
            <w:webHidden/>
          </w:rPr>
          <w:tab/>
        </w:r>
        <w:r>
          <w:rPr>
            <w:noProof/>
            <w:webHidden/>
          </w:rPr>
          <w:fldChar w:fldCharType="begin"/>
        </w:r>
        <w:r>
          <w:rPr>
            <w:noProof/>
            <w:webHidden/>
          </w:rPr>
          <w:instrText xml:space="preserve"> PAGEREF _Toc416993495 \h </w:instrText>
        </w:r>
        <w:r>
          <w:rPr>
            <w:noProof/>
            <w:webHidden/>
          </w:rPr>
        </w:r>
        <w:r>
          <w:rPr>
            <w:noProof/>
            <w:webHidden/>
          </w:rPr>
          <w:fldChar w:fldCharType="separate"/>
        </w:r>
        <w:r>
          <w:rPr>
            <w:noProof/>
            <w:webHidden/>
          </w:rPr>
          <w:t>99</w:t>
        </w:r>
        <w:r>
          <w:rPr>
            <w:noProof/>
            <w:webHidden/>
          </w:rPr>
          <w:fldChar w:fldCharType="end"/>
        </w:r>
      </w:hyperlink>
    </w:p>
    <w:p w14:paraId="69EC2FCF" w14:textId="77777777" w:rsidR="005953C1" w:rsidRDefault="005953C1" w:rsidP="00733F30">
      <w:pPr>
        <w:rPr>
          <w:rFonts w:cs="Times New Roman"/>
          <w:b/>
          <w:color w:val="FF0000"/>
          <w:sz w:val="32"/>
        </w:rPr>
      </w:pPr>
      <w:r>
        <w:rPr>
          <w:rFonts w:cs="Times New Roman"/>
          <w:b/>
          <w:color w:val="FF0000"/>
          <w:sz w:val="32"/>
        </w:rPr>
        <w:fldChar w:fldCharType="end"/>
      </w:r>
      <w:r>
        <w:rPr>
          <w:rFonts w:cs="Times New Roman"/>
          <w:b/>
          <w:color w:val="FF0000"/>
          <w:sz w:val="32"/>
        </w:rPr>
        <w:t xml:space="preserve"> </w:t>
      </w:r>
    </w:p>
    <w:p w14:paraId="24F31878" w14:textId="77777777" w:rsidR="005953C1" w:rsidRDefault="005953C1" w:rsidP="00733F30">
      <w:pPr>
        <w:rPr>
          <w:rFonts w:cs="Times New Roman"/>
          <w:b/>
          <w:color w:val="FF0000"/>
          <w:sz w:val="32"/>
        </w:rPr>
      </w:pPr>
    </w:p>
    <w:p w14:paraId="1CFE7CF3" w14:textId="77777777" w:rsidR="005953C1" w:rsidRDefault="005953C1" w:rsidP="00733F30">
      <w:pPr>
        <w:rPr>
          <w:rFonts w:cs="Times New Roman"/>
          <w:b/>
          <w:color w:val="FF0000"/>
          <w:sz w:val="32"/>
        </w:rPr>
      </w:pPr>
    </w:p>
    <w:p w14:paraId="6A0C4972" w14:textId="77777777" w:rsidR="0091793B" w:rsidRDefault="0091793B" w:rsidP="00733F30">
      <w:pPr>
        <w:rPr>
          <w:rFonts w:cs="Times New Roman"/>
          <w:b/>
          <w:color w:val="FF0000"/>
          <w:sz w:val="32"/>
        </w:rPr>
      </w:pPr>
    </w:p>
    <w:p w14:paraId="746A8C14" w14:textId="77777777" w:rsidR="00191CA7" w:rsidRDefault="00191CA7" w:rsidP="0039764A">
      <w:pPr>
        <w:jc w:val="both"/>
        <w:rPr>
          <w:rFonts w:cs="Times New Roman"/>
          <w:b/>
          <w:color w:val="FF0000"/>
          <w:sz w:val="32"/>
        </w:rPr>
      </w:pPr>
    </w:p>
    <w:p w14:paraId="368CCA29" w14:textId="77777777" w:rsidR="00BA06BE" w:rsidRDefault="00BA06BE" w:rsidP="0039764A">
      <w:pPr>
        <w:jc w:val="both"/>
        <w:rPr>
          <w:rFonts w:cs="Times New Roman"/>
          <w:b/>
          <w:color w:val="FF0000"/>
          <w:sz w:val="32"/>
        </w:rPr>
      </w:pPr>
    </w:p>
    <w:p w14:paraId="52345A24" w14:textId="77777777" w:rsidR="00BA06BE" w:rsidRDefault="00BA06BE" w:rsidP="0039764A">
      <w:pPr>
        <w:jc w:val="both"/>
        <w:rPr>
          <w:rFonts w:cs="Times New Roman"/>
          <w:b/>
          <w:color w:val="FF0000"/>
          <w:sz w:val="32"/>
        </w:rPr>
      </w:pPr>
    </w:p>
    <w:p w14:paraId="3D72E95A" w14:textId="77777777" w:rsidR="00D40074" w:rsidRDefault="00D40074" w:rsidP="0039764A">
      <w:pPr>
        <w:jc w:val="both"/>
        <w:rPr>
          <w:rFonts w:cs="Times New Roman"/>
          <w:b/>
          <w:color w:val="FF0000"/>
          <w:sz w:val="32"/>
        </w:rPr>
      </w:pPr>
    </w:p>
    <w:p w14:paraId="34F4EE95" w14:textId="03BBC9EB" w:rsidR="00E9251E" w:rsidRPr="003F459C" w:rsidRDefault="003D6D4C" w:rsidP="00E9251E">
      <w:pPr>
        <w:jc w:val="left"/>
        <w:rPr>
          <w:rFonts w:cs="Times New Roman"/>
          <w:b/>
          <w:sz w:val="32"/>
        </w:rPr>
      </w:pPr>
      <w:r>
        <w:rPr>
          <w:rFonts w:cs="Times New Roman"/>
          <w:b/>
          <w:sz w:val="32"/>
        </w:rPr>
        <w:lastRenderedPageBreak/>
        <w:t>ABBREVIATIONS</w:t>
      </w:r>
    </w:p>
    <w:p w14:paraId="33718CBE" w14:textId="77777777" w:rsidR="00E9251E" w:rsidRDefault="00E9251E" w:rsidP="00E9251E">
      <w:pPr>
        <w:spacing w:line="240" w:lineRule="auto"/>
        <w:contextualSpacing/>
        <w:jc w:val="left"/>
        <w:rPr>
          <w:rFonts w:cs="Times New Roman"/>
          <w:szCs w:val="24"/>
        </w:rPr>
      </w:pPr>
      <w:r>
        <w:rPr>
          <w:rFonts w:cs="Times New Roman"/>
          <w:szCs w:val="24"/>
        </w:rPr>
        <w:t>ATF</w:t>
      </w:r>
      <w:r>
        <w:rPr>
          <w:rFonts w:cs="Times New Roman"/>
          <w:szCs w:val="24"/>
        </w:rPr>
        <w:tab/>
      </w:r>
      <w:r>
        <w:rPr>
          <w:rFonts w:cs="Times New Roman"/>
          <w:szCs w:val="24"/>
        </w:rPr>
        <w:tab/>
        <w:t>Accident tolerant fuel</w:t>
      </w:r>
    </w:p>
    <w:p w14:paraId="26311ADC" w14:textId="77777777" w:rsidR="00E9251E" w:rsidRPr="003F459C" w:rsidRDefault="00E9251E" w:rsidP="00E9251E">
      <w:pPr>
        <w:spacing w:line="240" w:lineRule="auto"/>
        <w:contextualSpacing/>
        <w:jc w:val="left"/>
        <w:rPr>
          <w:rFonts w:cs="Times New Roman"/>
          <w:szCs w:val="24"/>
        </w:rPr>
      </w:pPr>
      <w:r>
        <w:rPr>
          <w:rFonts w:cs="Times New Roman"/>
          <w:szCs w:val="24"/>
        </w:rPr>
        <w:t>BL</w:t>
      </w:r>
      <w:r>
        <w:rPr>
          <w:rFonts w:cs="Times New Roman"/>
          <w:szCs w:val="24"/>
        </w:rPr>
        <w:tab/>
      </w:r>
      <w:r>
        <w:rPr>
          <w:rFonts w:cs="Times New Roman"/>
          <w:szCs w:val="24"/>
        </w:rPr>
        <w:tab/>
        <w:t>Buffer layer</w:t>
      </w:r>
    </w:p>
    <w:p w14:paraId="44E0287D" w14:textId="77777777" w:rsidR="00E9251E" w:rsidRDefault="00E9251E" w:rsidP="00E9251E">
      <w:pPr>
        <w:spacing w:line="240" w:lineRule="auto"/>
        <w:contextualSpacing/>
        <w:jc w:val="left"/>
        <w:rPr>
          <w:rFonts w:cs="Times New Roman"/>
          <w:szCs w:val="24"/>
        </w:rPr>
      </w:pPr>
      <w:r w:rsidRPr="003F459C">
        <w:rPr>
          <w:rFonts w:cs="Times New Roman"/>
          <w:szCs w:val="24"/>
        </w:rPr>
        <w:t>BOC</w:t>
      </w:r>
      <w:r w:rsidRPr="003F459C">
        <w:rPr>
          <w:rFonts w:cs="Times New Roman"/>
          <w:szCs w:val="24"/>
        </w:rPr>
        <w:tab/>
      </w:r>
      <w:r w:rsidRPr="003F459C">
        <w:rPr>
          <w:rFonts w:cs="Times New Roman"/>
          <w:szCs w:val="24"/>
        </w:rPr>
        <w:tab/>
        <w:t>Beginning of cycle</w:t>
      </w:r>
    </w:p>
    <w:p w14:paraId="667E1096" w14:textId="77777777" w:rsidR="00E9251E" w:rsidRDefault="00E9251E" w:rsidP="00E9251E">
      <w:pPr>
        <w:spacing w:line="240" w:lineRule="auto"/>
        <w:contextualSpacing/>
        <w:jc w:val="left"/>
        <w:rPr>
          <w:rFonts w:cs="Times New Roman"/>
          <w:szCs w:val="24"/>
        </w:rPr>
      </w:pPr>
      <w:r>
        <w:rPr>
          <w:rFonts w:cs="Times New Roman"/>
          <w:szCs w:val="24"/>
        </w:rPr>
        <w:t>BOL</w:t>
      </w:r>
      <w:r>
        <w:rPr>
          <w:rFonts w:cs="Times New Roman"/>
          <w:szCs w:val="24"/>
        </w:rPr>
        <w:tab/>
      </w:r>
      <w:r>
        <w:rPr>
          <w:rFonts w:cs="Times New Roman"/>
          <w:szCs w:val="24"/>
        </w:rPr>
        <w:tab/>
        <w:t>Beginning of life</w:t>
      </w:r>
      <w:r w:rsidRPr="003F459C">
        <w:rPr>
          <w:rFonts w:cs="Times New Roman"/>
          <w:szCs w:val="24"/>
        </w:rPr>
        <w:t xml:space="preserve"> </w:t>
      </w:r>
    </w:p>
    <w:p w14:paraId="0D4F27C8" w14:textId="77777777" w:rsidR="00E9251E" w:rsidRDefault="00E9251E" w:rsidP="00E9251E">
      <w:pPr>
        <w:spacing w:line="240" w:lineRule="auto"/>
        <w:contextualSpacing/>
        <w:jc w:val="left"/>
        <w:rPr>
          <w:rFonts w:cs="Times New Roman"/>
          <w:szCs w:val="24"/>
        </w:rPr>
      </w:pPr>
      <w:r w:rsidRPr="003F459C">
        <w:rPr>
          <w:rFonts w:cs="Times New Roman"/>
          <w:szCs w:val="24"/>
        </w:rPr>
        <w:t>BWR</w:t>
      </w:r>
      <w:r w:rsidRPr="003F459C">
        <w:rPr>
          <w:rFonts w:cs="Times New Roman"/>
          <w:szCs w:val="24"/>
        </w:rPr>
        <w:tab/>
      </w:r>
      <w:r w:rsidRPr="003F459C">
        <w:rPr>
          <w:rFonts w:cs="Times New Roman"/>
          <w:szCs w:val="24"/>
        </w:rPr>
        <w:tab/>
        <w:t>Boiling water reactor</w:t>
      </w:r>
    </w:p>
    <w:p w14:paraId="30B5DC9A" w14:textId="77777777" w:rsidR="00E9251E" w:rsidRDefault="00E9251E" w:rsidP="00E9251E">
      <w:pPr>
        <w:spacing w:line="240" w:lineRule="auto"/>
        <w:contextualSpacing/>
        <w:jc w:val="left"/>
        <w:rPr>
          <w:rFonts w:cs="Times New Roman"/>
          <w:szCs w:val="24"/>
        </w:rPr>
      </w:pPr>
      <w:r>
        <w:rPr>
          <w:rFonts w:cs="Times New Roman"/>
          <w:szCs w:val="24"/>
        </w:rPr>
        <w:t>C2N</w:t>
      </w:r>
      <w:r>
        <w:rPr>
          <w:rFonts w:cs="Times New Roman"/>
          <w:szCs w:val="24"/>
        </w:rPr>
        <w:tab/>
      </w:r>
      <w:r>
        <w:rPr>
          <w:rFonts w:cs="Times New Roman"/>
          <w:szCs w:val="24"/>
        </w:rPr>
        <w:tab/>
        <w:t>CASMO to NESTLE</w:t>
      </w:r>
    </w:p>
    <w:p w14:paraId="4BDCDB95" w14:textId="77777777" w:rsidR="00E9251E" w:rsidRDefault="00E9251E" w:rsidP="00E9251E">
      <w:pPr>
        <w:spacing w:line="240" w:lineRule="auto"/>
        <w:contextualSpacing/>
        <w:jc w:val="left"/>
        <w:rPr>
          <w:rFonts w:cs="Times New Roman"/>
          <w:szCs w:val="24"/>
        </w:rPr>
      </w:pPr>
      <w:r>
        <w:rPr>
          <w:rFonts w:cs="Times New Roman"/>
          <w:szCs w:val="24"/>
        </w:rPr>
        <w:t>CB</w:t>
      </w:r>
      <w:r>
        <w:rPr>
          <w:rFonts w:cs="Times New Roman"/>
          <w:szCs w:val="24"/>
        </w:rPr>
        <w:tab/>
      </w:r>
      <w:r>
        <w:rPr>
          <w:rFonts w:cs="Times New Roman"/>
          <w:szCs w:val="24"/>
        </w:rPr>
        <w:tab/>
        <w:t xml:space="preserve">Control blade </w:t>
      </w:r>
    </w:p>
    <w:p w14:paraId="72E0C296" w14:textId="77777777" w:rsidR="00E9251E" w:rsidRDefault="00E9251E" w:rsidP="00E9251E">
      <w:pPr>
        <w:spacing w:line="240" w:lineRule="auto"/>
        <w:contextualSpacing/>
        <w:jc w:val="left"/>
        <w:rPr>
          <w:rFonts w:cs="Times New Roman"/>
          <w:szCs w:val="24"/>
        </w:rPr>
      </w:pPr>
      <w:r>
        <w:rPr>
          <w:rFonts w:cs="Times New Roman"/>
          <w:szCs w:val="24"/>
        </w:rPr>
        <w:t>DFM</w:t>
      </w:r>
      <w:r>
        <w:rPr>
          <w:rFonts w:cs="Times New Roman"/>
          <w:szCs w:val="24"/>
        </w:rPr>
        <w:tab/>
      </w:r>
      <w:r>
        <w:rPr>
          <w:rFonts w:cs="Times New Roman"/>
          <w:szCs w:val="24"/>
        </w:rPr>
        <w:tab/>
        <w:t>Drift flux model</w:t>
      </w:r>
    </w:p>
    <w:p w14:paraId="3395DE11" w14:textId="77777777" w:rsidR="00E9251E" w:rsidRDefault="00E9251E" w:rsidP="00E9251E">
      <w:pPr>
        <w:spacing w:line="240" w:lineRule="auto"/>
        <w:contextualSpacing/>
        <w:jc w:val="left"/>
        <w:rPr>
          <w:rFonts w:cs="Times New Roman"/>
          <w:szCs w:val="24"/>
        </w:rPr>
      </w:pPr>
      <w:r>
        <w:rPr>
          <w:rFonts w:cs="Times New Roman"/>
          <w:szCs w:val="24"/>
        </w:rPr>
        <w:t>DH</w:t>
      </w:r>
      <w:r>
        <w:rPr>
          <w:rFonts w:cs="Times New Roman"/>
          <w:szCs w:val="24"/>
        </w:rPr>
        <w:tab/>
      </w:r>
      <w:r>
        <w:rPr>
          <w:rFonts w:cs="Times New Roman"/>
          <w:szCs w:val="24"/>
        </w:rPr>
        <w:tab/>
        <w:t>Double heterogeneous</w:t>
      </w:r>
    </w:p>
    <w:p w14:paraId="17750978" w14:textId="77777777" w:rsidR="00E9251E" w:rsidRPr="003F459C" w:rsidRDefault="00E9251E" w:rsidP="00E9251E">
      <w:pPr>
        <w:spacing w:line="240" w:lineRule="auto"/>
        <w:contextualSpacing/>
        <w:jc w:val="left"/>
        <w:rPr>
          <w:rFonts w:cs="Times New Roman"/>
          <w:szCs w:val="24"/>
        </w:rPr>
      </w:pPr>
      <w:r>
        <w:rPr>
          <w:rFonts w:cs="Times New Roman"/>
          <w:szCs w:val="24"/>
        </w:rPr>
        <w:t>EFPD</w:t>
      </w:r>
      <w:r>
        <w:rPr>
          <w:rFonts w:cs="Times New Roman"/>
          <w:szCs w:val="24"/>
        </w:rPr>
        <w:tab/>
      </w:r>
      <w:r>
        <w:rPr>
          <w:rFonts w:cs="Times New Roman"/>
          <w:szCs w:val="24"/>
        </w:rPr>
        <w:tab/>
        <w:t>Effective full power day</w:t>
      </w:r>
    </w:p>
    <w:p w14:paraId="7FF90B85" w14:textId="77777777" w:rsidR="00E9251E" w:rsidRDefault="00E9251E" w:rsidP="00E9251E">
      <w:pPr>
        <w:autoSpaceDE w:val="0"/>
        <w:autoSpaceDN w:val="0"/>
        <w:adjustRightInd w:val="0"/>
        <w:spacing w:after="0" w:line="240" w:lineRule="auto"/>
        <w:contextualSpacing/>
        <w:jc w:val="left"/>
        <w:rPr>
          <w:rFonts w:cs="Times New Roman"/>
          <w:szCs w:val="24"/>
        </w:rPr>
      </w:pPr>
      <w:r w:rsidRPr="003F459C">
        <w:rPr>
          <w:rFonts w:cs="Times New Roman"/>
          <w:szCs w:val="24"/>
        </w:rPr>
        <w:t xml:space="preserve">EOC </w:t>
      </w:r>
      <w:r w:rsidRPr="003F459C">
        <w:rPr>
          <w:rFonts w:cs="Times New Roman"/>
          <w:szCs w:val="24"/>
        </w:rPr>
        <w:tab/>
      </w:r>
      <w:r w:rsidRPr="003F459C">
        <w:rPr>
          <w:rFonts w:cs="Times New Roman"/>
          <w:szCs w:val="24"/>
        </w:rPr>
        <w:tab/>
        <w:t>End of cycle</w:t>
      </w:r>
    </w:p>
    <w:p w14:paraId="103BDFBC" w14:textId="77777777" w:rsidR="00E9251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EOL</w:t>
      </w:r>
      <w:r>
        <w:rPr>
          <w:rFonts w:cs="Times New Roman"/>
          <w:szCs w:val="24"/>
        </w:rPr>
        <w:tab/>
      </w:r>
      <w:r>
        <w:rPr>
          <w:rFonts w:cs="Times New Roman"/>
          <w:szCs w:val="24"/>
        </w:rPr>
        <w:tab/>
        <w:t>End of life</w:t>
      </w:r>
    </w:p>
    <w:p w14:paraId="6402F0DB" w14:textId="77777777" w:rsidR="00E9251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FCM</w:t>
      </w:r>
      <w:r>
        <w:rPr>
          <w:rFonts w:cs="Times New Roman"/>
          <w:szCs w:val="24"/>
        </w:rPr>
        <w:tab/>
      </w:r>
      <w:r>
        <w:rPr>
          <w:rFonts w:cs="Times New Roman"/>
          <w:szCs w:val="24"/>
        </w:rPr>
        <w:tab/>
        <w:t>Fully ceramic micro-encapsulated</w:t>
      </w:r>
    </w:p>
    <w:p w14:paraId="5FDEFF49" w14:textId="77777777" w:rsidR="00E9251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GE</w:t>
      </w:r>
      <w:r>
        <w:rPr>
          <w:rFonts w:cs="Times New Roman"/>
          <w:szCs w:val="24"/>
        </w:rPr>
        <w:tab/>
      </w:r>
      <w:r>
        <w:rPr>
          <w:rFonts w:cs="Times New Roman"/>
          <w:szCs w:val="24"/>
        </w:rPr>
        <w:tab/>
        <w:t>General Electric Co.</w:t>
      </w:r>
    </w:p>
    <w:p w14:paraId="08F48BC8" w14:textId="77777777" w:rsidR="00E9251E" w:rsidRPr="003F459C"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GUI</w:t>
      </w:r>
      <w:r>
        <w:rPr>
          <w:rFonts w:cs="Times New Roman"/>
          <w:szCs w:val="24"/>
        </w:rPr>
        <w:tab/>
      </w:r>
      <w:r>
        <w:rPr>
          <w:rFonts w:cs="Times New Roman"/>
          <w:szCs w:val="24"/>
        </w:rPr>
        <w:tab/>
        <w:t>Graphical user interface</w:t>
      </w:r>
    </w:p>
    <w:p w14:paraId="28A33F97" w14:textId="77777777" w:rsidR="00E9251E" w:rsidRPr="00186A49"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GWd</w:t>
      </w:r>
      <w:r w:rsidRPr="00186A49">
        <w:rPr>
          <w:rFonts w:cs="Times New Roman"/>
          <w:szCs w:val="24"/>
        </w:rPr>
        <w:t xml:space="preserve"> </w:t>
      </w:r>
      <w:r w:rsidRPr="00186A49">
        <w:rPr>
          <w:rFonts w:cs="Times New Roman"/>
          <w:szCs w:val="24"/>
        </w:rPr>
        <w:tab/>
      </w:r>
      <w:r w:rsidRPr="00186A49">
        <w:rPr>
          <w:rFonts w:cs="Times New Roman"/>
          <w:szCs w:val="24"/>
        </w:rPr>
        <w:tab/>
        <w:t>Giga-watt day</w:t>
      </w:r>
    </w:p>
    <w:p w14:paraId="19CB45B8" w14:textId="77777777" w:rsidR="00E9251E" w:rsidRDefault="00E9251E" w:rsidP="00E9251E">
      <w:pPr>
        <w:autoSpaceDE w:val="0"/>
        <w:autoSpaceDN w:val="0"/>
        <w:adjustRightInd w:val="0"/>
        <w:spacing w:after="0" w:line="240" w:lineRule="auto"/>
        <w:contextualSpacing/>
        <w:jc w:val="left"/>
        <w:rPr>
          <w:rFonts w:cs="Times New Roman"/>
          <w:szCs w:val="24"/>
        </w:rPr>
      </w:pPr>
      <w:r w:rsidRPr="00186A49">
        <w:rPr>
          <w:rFonts w:cs="Times New Roman"/>
          <w:szCs w:val="24"/>
        </w:rPr>
        <w:t>HEM</w:t>
      </w:r>
      <w:r w:rsidRPr="00186A49">
        <w:rPr>
          <w:rFonts w:cs="Times New Roman"/>
          <w:szCs w:val="24"/>
        </w:rPr>
        <w:tab/>
      </w:r>
      <w:r w:rsidRPr="00186A49">
        <w:rPr>
          <w:rFonts w:cs="Times New Roman"/>
          <w:szCs w:val="24"/>
        </w:rPr>
        <w:tab/>
        <w:t>Homogeneous equilibrium mixture</w:t>
      </w:r>
    </w:p>
    <w:p w14:paraId="263E70B9" w14:textId="77777777" w:rsidR="00E9251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ID</w:t>
      </w:r>
      <w:r>
        <w:rPr>
          <w:rFonts w:cs="Times New Roman"/>
          <w:szCs w:val="24"/>
        </w:rPr>
        <w:tab/>
      </w:r>
      <w:r>
        <w:rPr>
          <w:rFonts w:cs="Times New Roman"/>
          <w:szCs w:val="24"/>
        </w:rPr>
        <w:tab/>
        <w:t>Inner diameter</w:t>
      </w:r>
    </w:p>
    <w:p w14:paraId="44772A9F" w14:textId="77777777" w:rsidR="00E9251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KD</w:t>
      </w:r>
      <w:r>
        <w:rPr>
          <w:rFonts w:cs="Times New Roman"/>
          <w:szCs w:val="24"/>
        </w:rPr>
        <w:tab/>
      </w:r>
      <w:r>
        <w:rPr>
          <w:rFonts w:cs="Times New Roman"/>
          <w:szCs w:val="24"/>
        </w:rPr>
        <w:tab/>
        <w:t>Kernel diameter</w:t>
      </w:r>
    </w:p>
    <w:p w14:paraId="2AAADF31" w14:textId="77777777" w:rsidR="00E9251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LEU</w:t>
      </w:r>
      <w:r>
        <w:rPr>
          <w:rFonts w:cs="Times New Roman"/>
          <w:szCs w:val="24"/>
        </w:rPr>
        <w:tab/>
      </w:r>
      <w:r>
        <w:rPr>
          <w:rFonts w:cs="Times New Roman"/>
          <w:szCs w:val="24"/>
        </w:rPr>
        <w:tab/>
        <w:t>Low-enriched uranium</w:t>
      </w:r>
    </w:p>
    <w:p w14:paraId="784134F0" w14:textId="77777777" w:rsidR="00E9251E" w:rsidRPr="00186A49"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LP</w:t>
      </w:r>
      <w:r>
        <w:rPr>
          <w:rFonts w:cs="Times New Roman"/>
          <w:szCs w:val="24"/>
        </w:rPr>
        <w:tab/>
      </w:r>
      <w:r>
        <w:rPr>
          <w:rFonts w:cs="Times New Roman"/>
          <w:szCs w:val="24"/>
        </w:rPr>
        <w:tab/>
        <w:t>Loading pattern</w:t>
      </w:r>
    </w:p>
    <w:p w14:paraId="7898C8BB" w14:textId="77777777" w:rsidR="00E9251E" w:rsidRDefault="00E9251E" w:rsidP="00E9251E">
      <w:pPr>
        <w:autoSpaceDE w:val="0"/>
        <w:autoSpaceDN w:val="0"/>
        <w:adjustRightInd w:val="0"/>
        <w:spacing w:after="0" w:line="240" w:lineRule="auto"/>
        <w:contextualSpacing/>
        <w:jc w:val="left"/>
        <w:rPr>
          <w:rFonts w:cs="Times New Roman"/>
          <w:szCs w:val="24"/>
        </w:rPr>
      </w:pPr>
      <w:r w:rsidRPr="003F459C">
        <w:rPr>
          <w:rFonts w:cs="Times New Roman"/>
          <w:szCs w:val="24"/>
        </w:rPr>
        <w:t xml:space="preserve">LWR </w:t>
      </w:r>
      <w:r w:rsidRPr="003F459C">
        <w:rPr>
          <w:rFonts w:cs="Times New Roman"/>
          <w:szCs w:val="24"/>
        </w:rPr>
        <w:tab/>
      </w:r>
      <w:r w:rsidRPr="003F459C">
        <w:rPr>
          <w:rFonts w:cs="Times New Roman"/>
          <w:szCs w:val="24"/>
        </w:rPr>
        <w:tab/>
        <w:t>Light water reactor</w:t>
      </w:r>
    </w:p>
    <w:p w14:paraId="18599D34" w14:textId="77777777" w:rsidR="00E9251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LWROpt</w:t>
      </w:r>
      <w:r>
        <w:rPr>
          <w:rFonts w:cs="Times New Roman"/>
          <w:szCs w:val="24"/>
        </w:rPr>
        <w:tab/>
        <w:t>Light Water Reactor Optimization</w:t>
      </w:r>
    </w:p>
    <w:p w14:paraId="40F0A3B1" w14:textId="77777777" w:rsidR="00E9251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MOC</w:t>
      </w:r>
      <w:r>
        <w:rPr>
          <w:rFonts w:cs="Times New Roman"/>
          <w:szCs w:val="24"/>
        </w:rPr>
        <w:tab/>
      </w:r>
      <w:r>
        <w:rPr>
          <w:rFonts w:cs="Times New Roman"/>
          <w:szCs w:val="24"/>
        </w:rPr>
        <w:tab/>
        <w:t>Middle of cycle</w:t>
      </w:r>
    </w:p>
    <w:p w14:paraId="6AC481EF"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MOL</w:t>
      </w:r>
      <w:r>
        <w:rPr>
          <w:rFonts w:cs="Times New Roman"/>
          <w:szCs w:val="24"/>
        </w:rPr>
        <w:tab/>
      </w:r>
      <w:r>
        <w:rPr>
          <w:rFonts w:cs="Times New Roman"/>
          <w:szCs w:val="24"/>
        </w:rPr>
        <w:tab/>
        <w:t>Middle of life</w:t>
      </w:r>
    </w:p>
    <w:p w14:paraId="0FB9965A"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MTC</w:t>
      </w:r>
      <w:r w:rsidRPr="00CB7B4E">
        <w:rPr>
          <w:rFonts w:cs="Times New Roman"/>
          <w:szCs w:val="24"/>
        </w:rPr>
        <w:tab/>
      </w:r>
      <w:r w:rsidRPr="00CB7B4E">
        <w:rPr>
          <w:rFonts w:cs="Times New Roman"/>
          <w:szCs w:val="24"/>
        </w:rPr>
        <w:tab/>
        <w:t>Moderator temperature coefficient</w:t>
      </w:r>
    </w:p>
    <w:p w14:paraId="5DC9BD28" w14:textId="77777777" w:rsidR="00E9251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 xml:space="preserve">MTU </w:t>
      </w:r>
      <w:r w:rsidRPr="00CB7B4E">
        <w:rPr>
          <w:rFonts w:cs="Times New Roman"/>
          <w:szCs w:val="24"/>
        </w:rPr>
        <w:tab/>
      </w:r>
      <w:r w:rsidRPr="00CB7B4E">
        <w:rPr>
          <w:rFonts w:cs="Times New Roman"/>
          <w:szCs w:val="24"/>
        </w:rPr>
        <w:tab/>
        <w:t>Metric ton of uranium</w:t>
      </w:r>
    </w:p>
    <w:p w14:paraId="1F6A85CB"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MW</w:t>
      </w:r>
      <w:r>
        <w:rPr>
          <w:rFonts w:cs="Times New Roman"/>
          <w:szCs w:val="24"/>
        </w:rPr>
        <w:tab/>
      </w:r>
      <w:r>
        <w:rPr>
          <w:rFonts w:cs="Times New Roman"/>
          <w:szCs w:val="24"/>
        </w:rPr>
        <w:tab/>
        <w:t>Mega-watt</w:t>
      </w:r>
    </w:p>
    <w:p w14:paraId="549B838D"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MWd</w:t>
      </w:r>
      <w:r w:rsidRPr="00CB7B4E">
        <w:rPr>
          <w:rFonts w:cs="Times New Roman"/>
          <w:szCs w:val="24"/>
        </w:rPr>
        <w:tab/>
      </w:r>
      <w:r w:rsidRPr="00CB7B4E">
        <w:rPr>
          <w:rFonts w:cs="Times New Roman"/>
          <w:szCs w:val="24"/>
        </w:rPr>
        <w:tab/>
        <w:t>Mega-watt day</w:t>
      </w:r>
    </w:p>
    <w:p w14:paraId="6D12AB03"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NIST</w:t>
      </w:r>
      <w:r w:rsidRPr="00CB7B4E">
        <w:rPr>
          <w:rFonts w:cs="Times New Roman"/>
          <w:szCs w:val="24"/>
        </w:rPr>
        <w:tab/>
      </w:r>
      <w:r w:rsidRPr="00CB7B4E">
        <w:rPr>
          <w:rFonts w:cs="Times New Roman"/>
          <w:szCs w:val="24"/>
        </w:rPr>
        <w:tab/>
        <w:t>National Institute of Standards and Technology</w:t>
      </w:r>
    </w:p>
    <w:p w14:paraId="0037766C" w14:textId="77777777" w:rsidR="00E9251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NITE</w:t>
      </w:r>
      <w:r w:rsidRPr="00CB7B4E">
        <w:rPr>
          <w:rFonts w:cs="Times New Roman"/>
          <w:szCs w:val="24"/>
        </w:rPr>
        <w:tab/>
      </w:r>
      <w:r w:rsidRPr="00CB7B4E">
        <w:rPr>
          <w:rFonts w:cs="Times New Roman"/>
          <w:szCs w:val="24"/>
        </w:rPr>
        <w:tab/>
        <w:t>Non-infiltration and transient eutectic-phase</w:t>
      </w:r>
    </w:p>
    <w:p w14:paraId="6AC6C91A"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OD</w:t>
      </w:r>
      <w:r>
        <w:rPr>
          <w:rFonts w:cs="Times New Roman"/>
          <w:szCs w:val="24"/>
        </w:rPr>
        <w:tab/>
      </w:r>
      <w:r>
        <w:rPr>
          <w:rFonts w:cs="Times New Roman"/>
          <w:szCs w:val="24"/>
        </w:rPr>
        <w:tab/>
        <w:t>Outer diameter</w:t>
      </w:r>
    </w:p>
    <w:p w14:paraId="671DC94E"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OF</w:t>
      </w:r>
      <w:r w:rsidRPr="00CB7B4E">
        <w:rPr>
          <w:rFonts w:cs="Times New Roman"/>
          <w:szCs w:val="24"/>
        </w:rPr>
        <w:tab/>
      </w:r>
      <w:r w:rsidRPr="00CB7B4E">
        <w:rPr>
          <w:rFonts w:cs="Times New Roman"/>
          <w:szCs w:val="24"/>
        </w:rPr>
        <w:tab/>
        <w:t>Objective function</w:t>
      </w:r>
    </w:p>
    <w:p w14:paraId="7CC09BE9"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ORNL</w:t>
      </w:r>
      <w:r w:rsidRPr="00CB7B4E">
        <w:rPr>
          <w:rFonts w:cs="Times New Roman"/>
          <w:szCs w:val="24"/>
        </w:rPr>
        <w:tab/>
      </w:r>
      <w:r w:rsidRPr="00CB7B4E">
        <w:rPr>
          <w:rFonts w:cs="Times New Roman"/>
          <w:szCs w:val="24"/>
        </w:rPr>
        <w:tab/>
        <w:t>Oak Ridge National Laboratory</w:t>
      </w:r>
    </w:p>
    <w:p w14:paraId="042A2D0A"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Pr>
          <w:rFonts w:cs="Times New Roman"/>
          <w:szCs w:val="24"/>
        </w:rPr>
        <w:t>PCI</w:t>
      </w:r>
      <w:r>
        <w:rPr>
          <w:rFonts w:cs="Times New Roman"/>
          <w:szCs w:val="24"/>
        </w:rPr>
        <w:tab/>
      </w:r>
      <w:r>
        <w:rPr>
          <w:rFonts w:cs="Times New Roman"/>
          <w:szCs w:val="24"/>
        </w:rPr>
        <w:tab/>
        <w:t xml:space="preserve">Pellet </w:t>
      </w:r>
      <w:r w:rsidRPr="00CB7B4E">
        <w:rPr>
          <w:rFonts w:cs="Times New Roman"/>
          <w:szCs w:val="24"/>
        </w:rPr>
        <w:t>cladding interaction</w:t>
      </w:r>
    </w:p>
    <w:p w14:paraId="610E819E"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PF</w:t>
      </w:r>
      <w:r w:rsidRPr="00CB7B4E">
        <w:rPr>
          <w:rFonts w:cs="Times New Roman"/>
          <w:szCs w:val="24"/>
        </w:rPr>
        <w:tab/>
      </w:r>
      <w:r w:rsidRPr="00CB7B4E">
        <w:rPr>
          <w:rFonts w:cs="Times New Roman"/>
          <w:szCs w:val="24"/>
        </w:rPr>
        <w:tab/>
        <w:t>Packing fraction</w:t>
      </w:r>
    </w:p>
    <w:p w14:paraId="048F71F4"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PV</w:t>
      </w:r>
      <w:r w:rsidRPr="00CB7B4E">
        <w:rPr>
          <w:rFonts w:cs="Times New Roman"/>
          <w:szCs w:val="24"/>
        </w:rPr>
        <w:tab/>
      </w:r>
      <w:r w:rsidRPr="00CB7B4E">
        <w:rPr>
          <w:rFonts w:cs="Times New Roman"/>
          <w:szCs w:val="24"/>
        </w:rPr>
        <w:tab/>
        <w:t>Pressure vessel</w:t>
      </w:r>
    </w:p>
    <w:p w14:paraId="0E13522B"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 xml:space="preserve">PWR </w:t>
      </w:r>
      <w:r w:rsidRPr="00CB7B4E">
        <w:rPr>
          <w:rFonts w:cs="Times New Roman"/>
          <w:szCs w:val="24"/>
        </w:rPr>
        <w:tab/>
      </w:r>
      <w:r w:rsidRPr="00CB7B4E">
        <w:rPr>
          <w:rFonts w:cs="Times New Roman"/>
          <w:szCs w:val="24"/>
        </w:rPr>
        <w:tab/>
        <w:t>Pressurized water reactor</w:t>
      </w:r>
    </w:p>
    <w:p w14:paraId="1643FBC3" w14:textId="77777777" w:rsidR="00E9251E" w:rsidRPr="00CB7B4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RPF</w:t>
      </w:r>
      <w:r w:rsidRPr="00CB7B4E">
        <w:rPr>
          <w:rFonts w:cs="Times New Roman"/>
          <w:szCs w:val="24"/>
        </w:rPr>
        <w:tab/>
      </w:r>
      <w:r w:rsidRPr="00CB7B4E">
        <w:rPr>
          <w:rFonts w:cs="Times New Roman"/>
          <w:szCs w:val="24"/>
        </w:rPr>
        <w:tab/>
        <w:t>Relative power fraction</w:t>
      </w:r>
    </w:p>
    <w:p w14:paraId="491E2DE6" w14:textId="77777777" w:rsidR="00E9251E" w:rsidRDefault="00E9251E" w:rsidP="00E9251E">
      <w:pPr>
        <w:autoSpaceDE w:val="0"/>
        <w:autoSpaceDN w:val="0"/>
        <w:adjustRightInd w:val="0"/>
        <w:spacing w:after="0" w:line="240" w:lineRule="auto"/>
        <w:contextualSpacing/>
        <w:jc w:val="left"/>
        <w:rPr>
          <w:rFonts w:cs="Times New Roman"/>
          <w:szCs w:val="24"/>
        </w:rPr>
      </w:pPr>
      <w:r w:rsidRPr="00CB7B4E">
        <w:rPr>
          <w:rFonts w:cs="Times New Roman"/>
          <w:szCs w:val="24"/>
        </w:rPr>
        <w:t>RPT</w:t>
      </w:r>
      <w:r w:rsidRPr="00CB7B4E">
        <w:rPr>
          <w:rFonts w:cs="Times New Roman"/>
          <w:szCs w:val="24"/>
        </w:rPr>
        <w:tab/>
      </w:r>
      <w:r w:rsidRPr="00CB7B4E">
        <w:rPr>
          <w:rFonts w:cs="Times New Roman"/>
          <w:szCs w:val="24"/>
        </w:rPr>
        <w:tab/>
        <w:t>Reactivity physical transformation</w:t>
      </w:r>
    </w:p>
    <w:p w14:paraId="25D3A407" w14:textId="77777777" w:rsidR="00E9251E" w:rsidRPr="003F459C" w:rsidRDefault="00E9251E" w:rsidP="00E9251E">
      <w:pPr>
        <w:spacing w:line="240" w:lineRule="auto"/>
        <w:contextualSpacing/>
        <w:jc w:val="left"/>
        <w:rPr>
          <w:rFonts w:cs="Times New Roman"/>
          <w:szCs w:val="24"/>
        </w:rPr>
      </w:pPr>
      <w:r>
        <w:rPr>
          <w:rFonts w:cs="Times New Roman"/>
          <w:szCs w:val="24"/>
        </w:rPr>
        <w:t xml:space="preserve">TIP </w:t>
      </w:r>
      <w:r>
        <w:rPr>
          <w:rFonts w:cs="Times New Roman"/>
          <w:szCs w:val="24"/>
        </w:rPr>
        <w:tab/>
      </w:r>
      <w:r>
        <w:rPr>
          <w:rFonts w:cs="Times New Roman"/>
          <w:szCs w:val="24"/>
        </w:rPr>
        <w:tab/>
        <w:t>Traversing</w:t>
      </w:r>
      <w:r w:rsidRPr="003F459C">
        <w:rPr>
          <w:rFonts w:cs="Times New Roman"/>
          <w:szCs w:val="24"/>
        </w:rPr>
        <w:t xml:space="preserve"> in-core probe</w:t>
      </w:r>
    </w:p>
    <w:p w14:paraId="4348615B" w14:textId="77777777" w:rsidR="00E9251E" w:rsidRDefault="00E9251E" w:rsidP="00E9251E">
      <w:pPr>
        <w:spacing w:line="240" w:lineRule="auto"/>
        <w:contextualSpacing/>
        <w:jc w:val="left"/>
        <w:rPr>
          <w:rFonts w:cs="Times New Roman"/>
          <w:b/>
          <w:color w:val="FF0000"/>
          <w:sz w:val="32"/>
        </w:rPr>
      </w:pPr>
      <w:r>
        <w:rPr>
          <w:rFonts w:cs="Times New Roman"/>
        </w:rPr>
        <w:t>TRISO</w:t>
      </w:r>
      <w:r>
        <w:rPr>
          <w:rFonts w:cs="Times New Roman"/>
        </w:rPr>
        <w:tab/>
      </w:r>
      <w:r>
        <w:rPr>
          <w:rFonts w:cs="Times New Roman"/>
        </w:rPr>
        <w:tab/>
        <w:t>T</w:t>
      </w:r>
      <w:r w:rsidRPr="00930141">
        <w:rPr>
          <w:rFonts w:cs="Times New Roman"/>
        </w:rPr>
        <w:t xml:space="preserve">ristructural isotropic </w:t>
      </w:r>
    </w:p>
    <w:p w14:paraId="1040916E" w14:textId="77777777" w:rsidR="00F03945" w:rsidRDefault="00F03945" w:rsidP="0039764A">
      <w:pPr>
        <w:jc w:val="both"/>
        <w:rPr>
          <w:rFonts w:cs="Times New Roman"/>
          <w:b/>
          <w:sz w:val="32"/>
        </w:rPr>
        <w:sectPr w:rsidR="00F03945" w:rsidSect="00E304CE">
          <w:footerReference w:type="default" r:id="rId11"/>
          <w:pgSz w:w="12240" w:h="15840" w:code="1"/>
          <w:pgMar w:top="1440" w:right="1440" w:bottom="1440" w:left="1440" w:header="720" w:footer="1440" w:gutter="0"/>
          <w:pgNumType w:fmt="lowerRoman" w:start="2"/>
          <w:cols w:space="720"/>
          <w:docGrid w:linePitch="360"/>
        </w:sectPr>
      </w:pPr>
    </w:p>
    <w:p w14:paraId="1817D492" w14:textId="77777777" w:rsidR="00FE0F6C" w:rsidRPr="00F57142" w:rsidRDefault="00FE0F6C" w:rsidP="0091793B">
      <w:pPr>
        <w:spacing w:line="360" w:lineRule="auto"/>
        <w:jc w:val="both"/>
        <w:rPr>
          <w:rFonts w:cs="Times New Roman"/>
          <w:szCs w:val="24"/>
        </w:rPr>
      </w:pPr>
      <w:r>
        <w:rPr>
          <w:rFonts w:cs="Times New Roman"/>
          <w:b/>
          <w:sz w:val="32"/>
          <w:szCs w:val="24"/>
        </w:rPr>
        <w:lastRenderedPageBreak/>
        <w:t>I</w:t>
      </w:r>
      <w:r w:rsidRPr="003D1FA2">
        <w:rPr>
          <w:rFonts w:cs="Times New Roman"/>
          <w:b/>
          <w:sz w:val="32"/>
          <w:szCs w:val="24"/>
        </w:rPr>
        <w:t>.</w:t>
      </w:r>
      <w:r w:rsidRPr="003D1FA2">
        <w:rPr>
          <w:rFonts w:cs="Times New Roman"/>
          <w:b/>
          <w:sz w:val="32"/>
          <w:szCs w:val="24"/>
        </w:rPr>
        <w:tab/>
      </w:r>
      <w:r w:rsidRPr="003D1FA2">
        <w:rPr>
          <w:rFonts w:cs="Times New Roman"/>
          <w:b/>
          <w:sz w:val="32"/>
          <w:szCs w:val="24"/>
        </w:rPr>
        <w:tab/>
        <w:t>INTRODUCTION</w:t>
      </w:r>
    </w:p>
    <w:p w14:paraId="6542B3F0" w14:textId="565964BC" w:rsidR="005F2E1E" w:rsidRPr="00CB4940" w:rsidRDefault="00B75E89" w:rsidP="0091793B">
      <w:pPr>
        <w:spacing w:line="360" w:lineRule="auto"/>
        <w:jc w:val="both"/>
        <w:rPr>
          <w:rFonts w:cs="Times New Roman"/>
          <w:szCs w:val="24"/>
        </w:rPr>
      </w:pPr>
      <w:r>
        <w:rPr>
          <w:rFonts w:cs="Times New Roman"/>
          <w:szCs w:val="24"/>
        </w:rPr>
        <w:t xml:space="preserve">This dissertation </w:t>
      </w:r>
      <w:r w:rsidR="005F2E1E" w:rsidRPr="004F3281">
        <w:rPr>
          <w:rFonts w:cs="Times New Roman"/>
          <w:szCs w:val="24"/>
        </w:rPr>
        <w:t>investigate</w:t>
      </w:r>
      <w:r>
        <w:rPr>
          <w:rFonts w:cs="Times New Roman"/>
          <w:szCs w:val="24"/>
        </w:rPr>
        <w:t>s</w:t>
      </w:r>
      <w:r w:rsidR="005F2E1E" w:rsidRPr="004F3281">
        <w:rPr>
          <w:rFonts w:cs="Times New Roman"/>
          <w:szCs w:val="24"/>
        </w:rPr>
        <w:t xml:space="preserve"> the utilization</w:t>
      </w:r>
      <w:r w:rsidR="006224E8">
        <w:rPr>
          <w:rFonts w:cs="Times New Roman"/>
          <w:szCs w:val="24"/>
        </w:rPr>
        <w:t xml:space="preserve"> of ATFs in LWR</w:t>
      </w:r>
      <w:r w:rsidR="005F2E1E" w:rsidRPr="004F3281">
        <w:rPr>
          <w:rFonts w:cs="Times New Roman"/>
          <w:szCs w:val="24"/>
        </w:rPr>
        <w:t xml:space="preserve"> systems. Adva</w:t>
      </w:r>
      <w:r w:rsidR="006224E8">
        <w:rPr>
          <w:rFonts w:cs="Times New Roman"/>
          <w:szCs w:val="24"/>
        </w:rPr>
        <w:t>nced fuel candidates include: FCM</w:t>
      </w:r>
      <w:r w:rsidR="005F2E1E" w:rsidRPr="004F3281">
        <w:rPr>
          <w:rFonts w:cs="Times New Roman"/>
          <w:szCs w:val="24"/>
        </w:rPr>
        <w:t xml:space="preserve"> fuel</w:t>
      </w:r>
      <w:r w:rsidR="005F2E1E">
        <w:rPr>
          <w:rFonts w:cs="Times New Roman"/>
          <w:szCs w:val="24"/>
        </w:rPr>
        <w:t xml:space="preserve"> and</w:t>
      </w:r>
      <w:r w:rsidR="005F2E1E" w:rsidRPr="004F3281">
        <w:rPr>
          <w:rFonts w:cs="Times New Roman"/>
          <w:szCs w:val="24"/>
        </w:rPr>
        <w:t xml:space="preserve"> alternate cladding concepts. Both candidates were examined to replace standard Zircaloy/UO</w:t>
      </w:r>
      <w:r w:rsidR="005F2E1E" w:rsidRPr="004F3281">
        <w:rPr>
          <w:rFonts w:cs="Times New Roman"/>
          <w:szCs w:val="24"/>
          <w:vertAlign w:val="subscript"/>
        </w:rPr>
        <w:t>2</w:t>
      </w:r>
      <w:r w:rsidR="002C0433">
        <w:rPr>
          <w:rFonts w:cs="Times New Roman"/>
          <w:szCs w:val="24"/>
        </w:rPr>
        <w:t xml:space="preserve"> pellet fuel rods</w:t>
      </w:r>
      <w:r w:rsidR="005F2E1E">
        <w:rPr>
          <w:rFonts w:cs="Times New Roman"/>
          <w:szCs w:val="24"/>
        </w:rPr>
        <w:t xml:space="preserve"> </w:t>
      </w:r>
      <w:r w:rsidR="005F2E1E" w:rsidRPr="004F3281">
        <w:rPr>
          <w:rFonts w:cs="Times New Roman"/>
          <w:szCs w:val="24"/>
        </w:rPr>
        <w:t>currently employed in all United States commercial</w:t>
      </w:r>
      <w:r w:rsidR="005F2E1E">
        <w:rPr>
          <w:rFonts w:cs="Times New Roman"/>
          <w:szCs w:val="24"/>
        </w:rPr>
        <w:t xml:space="preserve"> reactors. </w:t>
      </w:r>
      <w:r w:rsidR="00CB4940">
        <w:rPr>
          <w:rFonts w:cs="Times New Roman"/>
          <w:szCs w:val="24"/>
        </w:rPr>
        <w:t xml:space="preserve">FCM fuel and alternate cladding simulated in </w:t>
      </w:r>
      <w:r w:rsidR="006224E8">
        <w:rPr>
          <w:rFonts w:cs="Times New Roman"/>
          <w:szCs w:val="24"/>
        </w:rPr>
        <w:t>PWRs</w:t>
      </w:r>
      <w:r w:rsidR="005F2E1E">
        <w:rPr>
          <w:rFonts w:cs="Times New Roman"/>
          <w:szCs w:val="24"/>
        </w:rPr>
        <w:t xml:space="preserve"> were modeled with 2D lattice physics codes. However more extensive research was performed on </w:t>
      </w:r>
      <w:r w:rsidR="006224E8">
        <w:rPr>
          <w:rFonts w:cs="Times New Roman"/>
          <w:szCs w:val="24"/>
        </w:rPr>
        <w:t>BWRs</w:t>
      </w:r>
      <w:r w:rsidR="005F2E1E">
        <w:rPr>
          <w:rFonts w:cs="Times New Roman"/>
          <w:szCs w:val="24"/>
        </w:rPr>
        <w:t>, concluding with full-core optimization in a 3D nodal simulator.</w:t>
      </w:r>
      <w:r w:rsidR="005F2E1E" w:rsidRPr="004F3281">
        <w:rPr>
          <w:rFonts w:cs="Times New Roman"/>
          <w:szCs w:val="24"/>
        </w:rPr>
        <w:t xml:space="preserve"> </w:t>
      </w:r>
      <w:r>
        <w:rPr>
          <w:rFonts w:cs="Times New Roman"/>
          <w:szCs w:val="24"/>
        </w:rPr>
        <w:t xml:space="preserve">The following sections </w:t>
      </w:r>
      <w:r w:rsidR="00CB4940">
        <w:rPr>
          <w:rFonts w:cs="Times New Roman"/>
          <w:szCs w:val="24"/>
        </w:rPr>
        <w:t xml:space="preserve">describe in detail the significance of each individual study and how it pertains to the nuclear industry. </w:t>
      </w:r>
    </w:p>
    <w:p w14:paraId="4AFDE24B" w14:textId="77777777" w:rsidR="00FE0F6C" w:rsidRPr="003D1FA2" w:rsidRDefault="00FE0F6C" w:rsidP="0091793B">
      <w:pPr>
        <w:spacing w:line="360" w:lineRule="auto"/>
        <w:jc w:val="both"/>
        <w:rPr>
          <w:rFonts w:cs="Times New Roman"/>
          <w:b/>
          <w:sz w:val="28"/>
          <w:szCs w:val="24"/>
        </w:rPr>
      </w:pPr>
      <w:proofErr w:type="gramStart"/>
      <w:r w:rsidRPr="003D1FA2">
        <w:rPr>
          <w:rFonts w:cs="Times New Roman"/>
          <w:b/>
          <w:sz w:val="28"/>
          <w:szCs w:val="24"/>
        </w:rPr>
        <w:t>I.A.</w:t>
      </w:r>
      <w:proofErr w:type="gramEnd"/>
      <w:r w:rsidRPr="003D1FA2">
        <w:rPr>
          <w:rFonts w:cs="Times New Roman"/>
          <w:b/>
          <w:sz w:val="28"/>
          <w:szCs w:val="24"/>
        </w:rPr>
        <w:tab/>
      </w:r>
      <w:r w:rsidRPr="003D1FA2">
        <w:rPr>
          <w:rFonts w:cs="Times New Roman"/>
          <w:b/>
          <w:sz w:val="28"/>
          <w:szCs w:val="24"/>
        </w:rPr>
        <w:tab/>
        <w:t xml:space="preserve">Fully </w:t>
      </w:r>
      <w:r w:rsidRPr="007B7031">
        <w:rPr>
          <w:rFonts w:cs="Times New Roman"/>
          <w:b/>
          <w:sz w:val="28"/>
          <w:szCs w:val="24"/>
        </w:rPr>
        <w:t>Ceramic</w:t>
      </w:r>
      <w:r w:rsidRPr="003D1FA2">
        <w:rPr>
          <w:rFonts w:cs="Times New Roman"/>
          <w:b/>
          <w:sz w:val="28"/>
          <w:szCs w:val="24"/>
        </w:rPr>
        <w:t xml:space="preserve"> Micro-Encapsulated Fuel </w:t>
      </w:r>
    </w:p>
    <w:p w14:paraId="08DF2480" w14:textId="163A0BE9" w:rsidR="006F0C75" w:rsidRDefault="002C0433" w:rsidP="006F0C75">
      <w:pPr>
        <w:spacing w:line="360" w:lineRule="auto"/>
        <w:jc w:val="both"/>
      </w:pPr>
      <w:r>
        <w:t>Neutronic analysis was performed on</w:t>
      </w:r>
      <w:r w:rsidR="00FE0F6C">
        <w:t xml:space="preserve"> TRISO particle fuel in a PWR environment. The study presents work </w:t>
      </w:r>
      <w:r w:rsidR="001676C5">
        <w:t>completed in developing FCM</w:t>
      </w:r>
      <w:r w:rsidR="00FE0F6C">
        <w:t xml:space="preserve">-based PWR fuel lattice designs that </w:t>
      </w:r>
      <w:r w:rsidR="001676C5">
        <w:t xml:space="preserve">perform </w:t>
      </w:r>
      <w:r w:rsidR="00FE0F6C">
        <w:t>similar</w:t>
      </w:r>
      <w:r w:rsidR="001676C5">
        <w:t>ly</w:t>
      </w:r>
      <w:r w:rsidR="00FE0F6C">
        <w:t xml:space="preserve"> to that of current Westinghouse 17 x </w:t>
      </w:r>
      <w:r w:rsidR="00FE0F6C" w:rsidRPr="00DF4EF1">
        <w:t>17 UO</w:t>
      </w:r>
      <w:r w:rsidR="00FE0F6C" w:rsidRPr="00DF4EF1">
        <w:rPr>
          <w:vertAlign w:val="subscript"/>
        </w:rPr>
        <w:t xml:space="preserve">2 </w:t>
      </w:r>
      <w:r w:rsidR="00FE0F6C" w:rsidRPr="00DF4EF1">
        <w:t>fuel elements with respect to reactivity, pin peaking, and power sharing factors</w:t>
      </w:r>
      <w:r w:rsidR="00096AE2">
        <w:t xml:space="preserve"> </w:t>
      </w:r>
      <w:r w:rsidR="00D00A8B">
        <w:fldChar w:fldCharType="begin"/>
      </w:r>
      <w:r w:rsidR="00D00A8B">
        <w:instrText xml:space="preserve"> ADDIN EN.CITE &lt;EndNote&gt;&lt;Cite&gt;&lt;Author&gt;George&lt;/Author&gt;&lt;Year&gt;2014&lt;/Year&gt;&lt;RecNum&gt;4&lt;/RecNum&gt;&lt;DisplayText&gt;[1]&lt;/DisplayText&gt;&lt;record&gt;&lt;rec-number&gt;4&lt;/rec-number&gt;&lt;foreign-keys&gt;&lt;key app="EN" db-id="trfxzx057wwv0qe0vz1vttttwf0522tvtwpt" timestamp="1422124093"&gt;4&lt;/key&gt;&lt;/foreign-keys&gt;&lt;ref-type name="Journal Article"&gt;17&lt;/ref-type&gt;&lt;contributors&gt;&lt;authors&gt;&lt;author&gt;George, Nathan Michael&lt;/author&gt;&lt;author&gt;Maldonado, Ivan&lt;/author&gt;&lt;author&gt;Terrani, Kurt&lt;/author&gt;&lt;author&gt;Godfrey, Andrew&lt;/author&gt;&lt;author&gt;Gehin, Jess&lt;/author&gt;&lt;author&gt;Powers, Jeff&lt;/author&gt;&lt;/authors&gt;&lt;/contributors&gt;&lt;titles&gt;&lt;title&gt;Neutronics studies of uranium-bearing fully ceramic microencapsulated fuel for pressurized water reactors&lt;/title&gt;&lt;secondary-title&gt;Nuclear Technology&lt;/secondary-title&gt;&lt;/titles&gt;&lt;periodical&gt;&lt;full-title&gt;Nuclear Technology&lt;/full-title&gt;&lt;/periodical&gt;&lt;pages&gt;2&lt;/pages&gt;&lt;volume&gt;188&lt;/volume&gt;&lt;number&gt;3&lt;/number&gt;&lt;dates&gt;&lt;year&gt;2014&lt;/year&gt;&lt;/dates&gt;&lt;urls&gt;&lt;/urls&gt;&lt;/record&gt;&lt;/Cite&gt;&lt;/EndNote&gt;</w:instrText>
      </w:r>
      <w:r w:rsidR="00D00A8B">
        <w:fldChar w:fldCharType="separate"/>
      </w:r>
      <w:r w:rsidR="00D00A8B">
        <w:rPr>
          <w:noProof/>
        </w:rPr>
        <w:t>[</w:t>
      </w:r>
      <w:hyperlink w:anchor="_ENREF_1" w:tooltip="George, 2014 #4" w:history="1">
        <w:r w:rsidR="00DF20CB">
          <w:rPr>
            <w:noProof/>
          </w:rPr>
          <w:t>1</w:t>
        </w:r>
      </w:hyperlink>
      <w:r w:rsidR="00D00A8B">
        <w:rPr>
          <w:noProof/>
        </w:rPr>
        <w:t>]</w:t>
      </w:r>
      <w:r w:rsidR="00D00A8B">
        <w:fldChar w:fldCharType="end"/>
      </w:r>
      <w:r w:rsidR="00096AE2">
        <w:t>.</w:t>
      </w:r>
      <w:r w:rsidR="00FE0F6C" w:rsidRPr="00DF4EF1">
        <w:t xml:space="preserve"> The two-dime</w:t>
      </w:r>
      <w:r w:rsidR="00FE0F6C">
        <w:t xml:space="preserve">nsional neutron transport code </w:t>
      </w:r>
      <w:r w:rsidR="00FE0F6C" w:rsidRPr="00DF4EF1">
        <w:t>NEWT, from the</w:t>
      </w:r>
      <w:r w:rsidR="00FE0F6C">
        <w:t xml:space="preserve"> SCALE software system, </w:t>
      </w:r>
      <w:r w:rsidR="00FE0F6C" w:rsidRPr="00DF4EF1">
        <w:t>was the primary analysis tool used to model the lattice designs.</w:t>
      </w:r>
    </w:p>
    <w:p w14:paraId="73880063" w14:textId="77777777" w:rsidR="00FE0F6C" w:rsidRPr="00A66592" w:rsidRDefault="00FE0F6C" w:rsidP="006F0C75">
      <w:pPr>
        <w:spacing w:line="360" w:lineRule="auto"/>
        <w:jc w:val="both"/>
        <w:rPr>
          <w:rFonts w:cs="Times New Roman"/>
          <w:szCs w:val="24"/>
        </w:rPr>
      </w:pPr>
      <w:r>
        <w:rPr>
          <w:rFonts w:cs="Times New Roman"/>
          <w:szCs w:val="24"/>
        </w:rPr>
        <w:t xml:space="preserve">From a neutronics standpoint, modeling TRISO particle fuel </w:t>
      </w:r>
      <w:r w:rsidR="001676C5">
        <w:rPr>
          <w:rFonts w:cs="Times New Roman"/>
          <w:szCs w:val="24"/>
        </w:rPr>
        <w:t>presents</w:t>
      </w:r>
      <w:r>
        <w:rPr>
          <w:rFonts w:cs="Times New Roman"/>
          <w:szCs w:val="24"/>
        </w:rPr>
        <w:t xml:space="preserve"> various challenges in that the overall uranium density per unit volume in the core is significantly less than standard UO</w:t>
      </w:r>
      <w:r>
        <w:rPr>
          <w:rFonts w:cs="Times New Roman"/>
          <w:szCs w:val="24"/>
        </w:rPr>
        <w:softHyphen/>
      </w:r>
      <w:r>
        <w:rPr>
          <w:rFonts w:cs="Times New Roman"/>
          <w:szCs w:val="24"/>
          <w:vertAlign w:val="subscript"/>
        </w:rPr>
        <w:t>2</w:t>
      </w:r>
      <w:r>
        <w:rPr>
          <w:rFonts w:cs="Times New Roman"/>
          <w:szCs w:val="24"/>
        </w:rPr>
        <w:t xml:space="preserve"> pellet fuel. </w:t>
      </w:r>
      <w:r w:rsidRPr="00A66592">
        <w:rPr>
          <w:rFonts w:cs="Times New Roman"/>
          <w:color w:val="000000"/>
          <w:szCs w:val="24"/>
        </w:rPr>
        <w:t>Due to particle packing fraction (PF) and physical density limits, as described in later sections, it was established early in th</w:t>
      </w:r>
      <w:r>
        <w:rPr>
          <w:rFonts w:cs="Times New Roman"/>
          <w:color w:val="000000"/>
          <w:szCs w:val="24"/>
        </w:rPr>
        <w:t>e</w:t>
      </w:r>
      <w:r w:rsidRPr="00A66592">
        <w:rPr>
          <w:rFonts w:cs="Times New Roman"/>
          <w:color w:val="000000"/>
          <w:szCs w:val="24"/>
        </w:rPr>
        <w:t xml:space="preserve"> study that the TRISO particles would require enrichments in the upper end of the low enriched uranium envelope. Accordingly, 19.75% </w:t>
      </w:r>
      <w:r w:rsidRPr="00A66592">
        <w:rPr>
          <w:rFonts w:cs="Times New Roman"/>
          <w:color w:val="000000"/>
          <w:szCs w:val="24"/>
          <w:vertAlign w:val="superscript"/>
        </w:rPr>
        <w:t>235</w:t>
      </w:r>
      <w:r w:rsidRPr="00A66592">
        <w:rPr>
          <w:rFonts w:cs="Times New Roman"/>
          <w:color w:val="000000"/>
          <w:szCs w:val="24"/>
        </w:rPr>
        <w:t>U enrichment was assumed during the course of th</w:t>
      </w:r>
      <w:r>
        <w:rPr>
          <w:rFonts w:cs="Times New Roman"/>
          <w:color w:val="000000"/>
          <w:szCs w:val="24"/>
        </w:rPr>
        <w:t>e</w:t>
      </w:r>
      <w:r w:rsidR="00FF331D">
        <w:rPr>
          <w:rFonts w:cs="Times New Roman"/>
          <w:color w:val="000000"/>
          <w:szCs w:val="24"/>
        </w:rPr>
        <w:t xml:space="preserve"> study. Thus, m</w:t>
      </w:r>
      <w:r>
        <w:rPr>
          <w:rFonts w:cs="Times New Roman"/>
          <w:color w:val="000000"/>
          <w:szCs w:val="24"/>
        </w:rPr>
        <w:t xml:space="preserve">odifications were made to the particle geometry and </w:t>
      </w:r>
      <w:r w:rsidRPr="00A66592">
        <w:rPr>
          <w:rFonts w:cs="Times New Roman"/>
          <w:color w:val="000000"/>
          <w:szCs w:val="24"/>
        </w:rPr>
        <w:t xml:space="preserve">insertion of an alternative fuel form </w:t>
      </w:r>
      <w:r>
        <w:rPr>
          <w:rFonts w:cs="Times New Roman"/>
          <w:color w:val="000000"/>
          <w:szCs w:val="24"/>
        </w:rPr>
        <w:t>was investigated to increase</w:t>
      </w:r>
      <w:r w:rsidRPr="00A66592">
        <w:rPr>
          <w:rFonts w:cs="Times New Roman"/>
          <w:color w:val="000000"/>
          <w:szCs w:val="24"/>
        </w:rPr>
        <w:t xml:space="preserve"> fissile material </w:t>
      </w:r>
      <w:r>
        <w:rPr>
          <w:rFonts w:cs="Times New Roman"/>
          <w:color w:val="000000"/>
          <w:szCs w:val="24"/>
        </w:rPr>
        <w:t>the</w:t>
      </w:r>
      <w:r w:rsidRPr="00A66592">
        <w:rPr>
          <w:rFonts w:cs="Times New Roman"/>
          <w:color w:val="000000"/>
          <w:szCs w:val="24"/>
        </w:rPr>
        <w:t xml:space="preserve"> design</w:t>
      </w:r>
      <w:r>
        <w:rPr>
          <w:rFonts w:cs="Times New Roman"/>
          <w:color w:val="000000"/>
          <w:szCs w:val="24"/>
        </w:rPr>
        <w:t xml:space="preserve"> and achieve</w:t>
      </w:r>
      <w:r w:rsidRPr="00A66592">
        <w:rPr>
          <w:rFonts w:cs="Times New Roman"/>
          <w:color w:val="000000"/>
          <w:szCs w:val="24"/>
        </w:rPr>
        <w:t xml:space="preserve"> three 18-month cycles of operation. </w:t>
      </w:r>
      <w:r w:rsidRPr="00F851A1">
        <w:rPr>
          <w:rFonts w:cs="Times New Roman"/>
          <w:szCs w:val="24"/>
        </w:rPr>
        <w:t xml:space="preserve">A method for estimating the end of cycle </w:t>
      </w:r>
      <w:r w:rsidR="006224E8">
        <w:rPr>
          <w:rFonts w:cs="Times New Roman"/>
          <w:szCs w:val="24"/>
        </w:rPr>
        <w:t xml:space="preserve">(EOC) </w:t>
      </w:r>
      <w:r w:rsidRPr="00F851A1">
        <w:rPr>
          <w:rFonts w:cs="Times New Roman"/>
          <w:szCs w:val="24"/>
        </w:rPr>
        <w:t>reactivity was implemented</w:t>
      </w:r>
      <w:r>
        <w:rPr>
          <w:rFonts w:cs="Times New Roman"/>
          <w:szCs w:val="24"/>
        </w:rPr>
        <w:t xml:space="preserve"> to compare each model to standard UO</w:t>
      </w:r>
      <w:r>
        <w:rPr>
          <w:rFonts w:cs="Times New Roman"/>
          <w:szCs w:val="24"/>
          <w:vertAlign w:val="subscript"/>
        </w:rPr>
        <w:t>2</w:t>
      </w:r>
      <w:r>
        <w:rPr>
          <w:rFonts w:cs="Times New Roman"/>
          <w:szCs w:val="24"/>
        </w:rPr>
        <w:t xml:space="preserve"> pellet fuel</w:t>
      </w:r>
      <w:r w:rsidRPr="00F851A1">
        <w:rPr>
          <w:rFonts w:cs="Times New Roman"/>
          <w:szCs w:val="24"/>
        </w:rPr>
        <w:t xml:space="preserve">. </w:t>
      </w:r>
    </w:p>
    <w:p w14:paraId="4383D784" w14:textId="77777777" w:rsidR="00FE0F6C" w:rsidRDefault="00FE0F6C" w:rsidP="0091793B">
      <w:pPr>
        <w:spacing w:line="360" w:lineRule="auto"/>
        <w:jc w:val="both"/>
        <w:rPr>
          <w:rFonts w:cs="Times New Roman"/>
          <w:szCs w:val="24"/>
        </w:rPr>
      </w:pPr>
      <w:r>
        <w:rPr>
          <w:rFonts w:cs="Times New Roman"/>
          <w:color w:val="000000"/>
          <w:szCs w:val="24"/>
        </w:rPr>
        <w:t>In addition to the analysis done on reactivity lifetime</w:t>
      </w:r>
      <w:r w:rsidR="001676C5">
        <w:rPr>
          <w:rFonts w:cs="Times New Roman"/>
          <w:color w:val="000000"/>
          <w:szCs w:val="24"/>
        </w:rPr>
        <w:t xml:space="preserve"> requirements</w:t>
      </w:r>
      <w:r>
        <w:rPr>
          <w:rFonts w:cs="Times New Roman"/>
          <w:color w:val="000000"/>
          <w:szCs w:val="24"/>
        </w:rPr>
        <w:t xml:space="preserve">, the neutron spectrum throughout the fuel lifetime was investigated to observe any possible spectral hardening from the large enrichment deviation between FCM and standard </w:t>
      </w:r>
      <w:r w:rsidRPr="00DF4EF1">
        <w:rPr>
          <w:rFonts w:cs="Times New Roman"/>
          <w:color w:val="000000"/>
          <w:szCs w:val="24"/>
        </w:rPr>
        <w:t xml:space="preserve">pellet fuel.  Finally, on a lattice level, </w:t>
      </w:r>
      <w:r w:rsidRPr="00DF4EF1">
        <w:rPr>
          <w:rFonts w:cs="Times New Roman"/>
          <w:color w:val="000000"/>
          <w:szCs w:val="24"/>
        </w:rPr>
        <w:lastRenderedPageBreak/>
        <w:t xml:space="preserve">relative pin peaking factors and assembly power sharing </w:t>
      </w:r>
      <w:r>
        <w:rPr>
          <w:rFonts w:cs="Times New Roman"/>
          <w:color w:val="000000"/>
          <w:szCs w:val="24"/>
        </w:rPr>
        <w:t>were</w:t>
      </w:r>
      <w:r w:rsidRPr="00DF4EF1">
        <w:rPr>
          <w:rFonts w:cs="Times New Roman"/>
          <w:color w:val="000000"/>
          <w:szCs w:val="24"/>
        </w:rPr>
        <w:t xml:space="preserve"> analyzed. </w:t>
      </w:r>
      <w:r w:rsidRPr="00DF4EF1">
        <w:rPr>
          <w:rFonts w:cs="Times New Roman"/>
          <w:szCs w:val="24"/>
        </w:rPr>
        <w:t xml:space="preserve">Creating a fresh-feed–once-burned checkerboard color-set, </w:t>
      </w:r>
      <w:r>
        <w:rPr>
          <w:rFonts w:cs="Times New Roman"/>
          <w:szCs w:val="24"/>
        </w:rPr>
        <w:t>multiple lattices were modeled to simulate adjacent assemblies with varying exposures.</w:t>
      </w:r>
    </w:p>
    <w:p w14:paraId="33EFBF0B" w14:textId="77777777" w:rsidR="00CB4940" w:rsidRDefault="00CB4940" w:rsidP="0091793B">
      <w:pPr>
        <w:spacing w:line="360" w:lineRule="auto"/>
        <w:jc w:val="both"/>
        <w:rPr>
          <w:rFonts w:cs="Times New Roman"/>
          <w:szCs w:val="24"/>
        </w:rPr>
      </w:pPr>
    </w:p>
    <w:p w14:paraId="0F80C58B" w14:textId="77777777" w:rsidR="00FE0F6C" w:rsidRPr="00E64983" w:rsidRDefault="00FE0F6C" w:rsidP="0091793B">
      <w:pPr>
        <w:spacing w:line="360" w:lineRule="auto"/>
        <w:jc w:val="both"/>
        <w:rPr>
          <w:rFonts w:cs="Times New Roman"/>
          <w:b/>
          <w:sz w:val="28"/>
          <w:szCs w:val="24"/>
        </w:rPr>
      </w:pPr>
      <w:proofErr w:type="gramStart"/>
      <w:r w:rsidRPr="00E64983">
        <w:rPr>
          <w:rFonts w:cs="Times New Roman"/>
          <w:b/>
          <w:sz w:val="28"/>
          <w:szCs w:val="24"/>
        </w:rPr>
        <w:t>I.B.</w:t>
      </w:r>
      <w:proofErr w:type="gramEnd"/>
      <w:r w:rsidRPr="00E64983">
        <w:rPr>
          <w:rFonts w:cs="Times New Roman"/>
          <w:b/>
          <w:sz w:val="28"/>
          <w:szCs w:val="24"/>
        </w:rPr>
        <w:tab/>
      </w:r>
      <w:r w:rsidRPr="00E64983">
        <w:rPr>
          <w:rFonts w:cs="Times New Roman"/>
          <w:b/>
          <w:sz w:val="28"/>
          <w:szCs w:val="24"/>
        </w:rPr>
        <w:tab/>
        <w:t>Alternate Cladding Concepts</w:t>
      </w:r>
      <w:r>
        <w:rPr>
          <w:rFonts w:cs="Times New Roman"/>
          <w:b/>
          <w:sz w:val="28"/>
          <w:szCs w:val="24"/>
        </w:rPr>
        <w:t xml:space="preserve"> in PWRs</w:t>
      </w:r>
    </w:p>
    <w:p w14:paraId="5A270FFB" w14:textId="31B85324" w:rsidR="0003299B" w:rsidRDefault="00FE0F6C" w:rsidP="0003299B">
      <w:pPr>
        <w:spacing w:line="360" w:lineRule="auto"/>
        <w:jc w:val="both"/>
        <w:rPr>
          <w:rFonts w:cs="Times New Roman"/>
          <w:szCs w:val="24"/>
        </w:rPr>
      </w:pPr>
      <w:r w:rsidRPr="00C80630">
        <w:rPr>
          <w:rFonts w:cs="Times New Roman"/>
          <w:szCs w:val="24"/>
        </w:rPr>
        <w:t xml:space="preserve">Maintaining a focus on </w:t>
      </w:r>
      <w:r w:rsidR="00255C7D">
        <w:rPr>
          <w:rFonts w:cs="Times New Roman"/>
          <w:szCs w:val="24"/>
        </w:rPr>
        <w:t>ATFs</w:t>
      </w:r>
      <w:r w:rsidRPr="00C80630">
        <w:rPr>
          <w:rFonts w:cs="Times New Roman"/>
          <w:szCs w:val="24"/>
        </w:rPr>
        <w:t xml:space="preserve">, </w:t>
      </w:r>
      <w:r>
        <w:rPr>
          <w:rFonts w:cs="Times New Roman"/>
          <w:szCs w:val="24"/>
        </w:rPr>
        <w:t xml:space="preserve">a study was performed </w:t>
      </w:r>
      <w:r w:rsidR="00096AE2">
        <w:rPr>
          <w:rFonts w:cs="Times New Roman"/>
          <w:szCs w:val="24"/>
        </w:rPr>
        <w:t xml:space="preserve">to </w:t>
      </w:r>
      <w:r>
        <w:rPr>
          <w:rFonts w:cs="Times New Roman"/>
          <w:szCs w:val="24"/>
        </w:rPr>
        <w:t>neutronically simulat</w:t>
      </w:r>
      <w:r w:rsidR="00096AE2">
        <w:rPr>
          <w:rFonts w:cs="Times New Roman"/>
          <w:szCs w:val="24"/>
        </w:rPr>
        <w:t>e</w:t>
      </w:r>
      <w:r>
        <w:rPr>
          <w:rFonts w:cs="Times New Roman"/>
          <w:szCs w:val="24"/>
        </w:rPr>
        <w:t xml:space="preserve"> </w:t>
      </w:r>
      <w:r w:rsidRPr="00C80630">
        <w:rPr>
          <w:rFonts w:cs="Times New Roman"/>
          <w:szCs w:val="24"/>
        </w:rPr>
        <w:t xml:space="preserve">alternate fuel cladding concepts in PWR cores. </w:t>
      </w:r>
      <w:r w:rsidR="001676C5">
        <w:rPr>
          <w:rFonts w:cs="Times New Roman"/>
          <w:szCs w:val="24"/>
        </w:rPr>
        <w:t>The</w:t>
      </w:r>
      <w:r w:rsidRPr="00C80630">
        <w:rPr>
          <w:rFonts w:cs="Times New Roman"/>
          <w:szCs w:val="24"/>
        </w:rPr>
        <w:t xml:space="preserve"> </w:t>
      </w:r>
      <w:r>
        <w:rPr>
          <w:rFonts w:cs="Times New Roman"/>
          <w:szCs w:val="24"/>
        </w:rPr>
        <w:t>study</w:t>
      </w:r>
      <w:r w:rsidRPr="00C80630">
        <w:rPr>
          <w:rFonts w:cs="Times New Roman"/>
          <w:szCs w:val="24"/>
        </w:rPr>
        <w:t xml:space="preserve"> </w:t>
      </w:r>
      <w:r>
        <w:rPr>
          <w:rFonts w:cs="Times New Roman"/>
          <w:szCs w:val="24"/>
        </w:rPr>
        <w:t>focused</w:t>
      </w:r>
      <w:r w:rsidRPr="00C80630">
        <w:rPr>
          <w:rFonts w:cs="Times New Roman"/>
          <w:szCs w:val="24"/>
        </w:rPr>
        <w:t xml:space="preserve"> on silicon carbide options</w:t>
      </w:r>
      <w:r>
        <w:rPr>
          <w:rFonts w:cs="Times New Roman"/>
          <w:szCs w:val="24"/>
        </w:rPr>
        <w:t xml:space="preserve"> (SiC/SiC composite) as well as </w:t>
      </w:r>
      <w:r w:rsidRPr="00C80630">
        <w:rPr>
          <w:rFonts w:cs="Times New Roman"/>
          <w:szCs w:val="24"/>
        </w:rPr>
        <w:t xml:space="preserve">specific iron-based </w:t>
      </w:r>
      <w:r>
        <w:rPr>
          <w:rFonts w:cs="Times New Roman"/>
          <w:szCs w:val="24"/>
        </w:rPr>
        <w:t>options austenitic steels (310SS and 304SS) and ferritic steels (FeCrAl and APMT</w:t>
      </w:r>
      <w:r>
        <w:rPr>
          <w:rFonts w:cs="Times New Roman"/>
          <w:szCs w:val="24"/>
          <w:vertAlign w:val="superscript"/>
        </w:rPr>
        <w:t>TM</w:t>
      </w:r>
      <w:r>
        <w:rPr>
          <w:rFonts w:cs="Times New Roman"/>
          <w:szCs w:val="24"/>
        </w:rPr>
        <w:t>)</w:t>
      </w:r>
      <w:r w:rsidR="00D00A8B">
        <w:rPr>
          <w:rFonts w:cs="Times New Roman"/>
          <w:szCs w:val="24"/>
        </w:rPr>
        <w:t xml:space="preserve"> </w:t>
      </w:r>
      <w:r w:rsidR="00D00A8B">
        <w:rPr>
          <w:rFonts w:cs="Times New Roman"/>
          <w:szCs w:val="24"/>
        </w:rPr>
        <w:fldChar w:fldCharType="begin"/>
      </w:r>
      <w:r w:rsidR="00D00A8B">
        <w:rPr>
          <w:rFonts w:cs="Times New Roman"/>
          <w:szCs w:val="24"/>
        </w:rPr>
        <w:instrText xml:space="preserve"> ADDIN EN.CITE &lt;EndNote&gt;&lt;Cite&gt;&lt;Author&gt;Azevedo&lt;/Author&gt;&lt;Year&gt;2011&lt;/Year&gt;&lt;RecNum&gt;1&lt;/RecNum&gt;&lt;DisplayText&gt;[2]&lt;/DisplayText&gt;&lt;record&gt;&lt;rec-number&gt;1&lt;/rec-number&gt;&lt;foreign-keys&gt;&lt;key app="EN" db-id="trfxzx057wwv0qe0vz1vttttwf0522tvtwpt" timestamp="1422123582"&gt;1&lt;/key&gt;&lt;/foreign-keys&gt;&lt;ref-type name="Journal Article"&gt;17&lt;/ref-type&gt;&lt;contributors&gt;&lt;authors&gt;&lt;author&gt;Azevedo, CRF&lt;/author&gt;&lt;/authors&gt;&lt;/contributors&gt;&lt;titles&gt;&lt;title&gt;Selection of fuel cladding material for nuclear fission reactors&lt;/title&gt;&lt;secondary-title&gt;Engineering Failure Analysis&lt;/secondary-title&gt;&lt;/titles&gt;&lt;periodical&gt;&lt;full-title&gt;Engineering Failure Analysis&lt;/full-title&gt;&lt;/periodical&gt;&lt;pages&gt;1943-1962&lt;/pages&gt;&lt;volume&gt;18&lt;/volume&gt;&lt;number&gt;8&lt;/number&gt;&lt;dates&gt;&lt;year&gt;2011&lt;/year&gt;&lt;/dates&gt;&lt;isbn&gt;1350-6307&lt;/isbn&gt;&lt;urls&gt;&lt;/urls&gt;&lt;/record&gt;&lt;/Cite&gt;&lt;/EndNote&gt;</w:instrText>
      </w:r>
      <w:r w:rsidR="00D00A8B">
        <w:rPr>
          <w:rFonts w:cs="Times New Roman"/>
          <w:szCs w:val="24"/>
        </w:rPr>
        <w:fldChar w:fldCharType="separate"/>
      </w:r>
      <w:r w:rsidR="00D00A8B">
        <w:rPr>
          <w:rFonts w:cs="Times New Roman"/>
          <w:noProof/>
          <w:szCs w:val="24"/>
        </w:rPr>
        <w:t>[</w:t>
      </w:r>
      <w:hyperlink w:anchor="_ENREF_2" w:tooltip="Azevedo, 2011 #1" w:history="1">
        <w:r w:rsidR="00DF20CB">
          <w:rPr>
            <w:rFonts w:cs="Times New Roman"/>
            <w:noProof/>
            <w:szCs w:val="24"/>
          </w:rPr>
          <w:t>2</w:t>
        </w:r>
      </w:hyperlink>
      <w:r w:rsidR="00D00A8B">
        <w:rPr>
          <w:rFonts w:cs="Times New Roman"/>
          <w:noProof/>
          <w:szCs w:val="24"/>
        </w:rPr>
        <w:t>]</w:t>
      </w:r>
      <w:r w:rsidR="00D00A8B">
        <w:rPr>
          <w:rFonts w:cs="Times New Roman"/>
          <w:szCs w:val="24"/>
        </w:rPr>
        <w:fldChar w:fldCharType="end"/>
      </w:r>
      <w:r w:rsidR="00D00A8B">
        <w:rPr>
          <w:rFonts w:cs="Times New Roman"/>
          <w:szCs w:val="24"/>
        </w:rPr>
        <w:t>.</w:t>
      </w:r>
      <w:r w:rsidRPr="00C80630">
        <w:rPr>
          <w:rFonts w:cs="Times New Roman"/>
          <w:szCs w:val="24"/>
        </w:rPr>
        <w:t xml:space="preserve"> These cladding materials </w:t>
      </w:r>
      <w:r>
        <w:rPr>
          <w:rFonts w:cs="Times New Roman"/>
          <w:szCs w:val="24"/>
        </w:rPr>
        <w:t>were</w:t>
      </w:r>
      <w:r w:rsidRPr="00C80630">
        <w:rPr>
          <w:rFonts w:cs="Times New Roman"/>
          <w:szCs w:val="24"/>
        </w:rPr>
        <w:t xml:space="preserve"> compared with the reference zirconium alloy </w:t>
      </w:r>
      <w:r>
        <w:rPr>
          <w:rFonts w:cs="Times New Roman"/>
          <w:szCs w:val="24"/>
        </w:rPr>
        <w:t>clad fuel pins using results from lattice physics</w:t>
      </w:r>
      <w:r w:rsidRPr="00C80630">
        <w:rPr>
          <w:rFonts w:cs="Times New Roman"/>
          <w:szCs w:val="24"/>
        </w:rPr>
        <w:t xml:space="preserve"> depletion calculations</w:t>
      </w:r>
      <w:r>
        <w:rPr>
          <w:rFonts w:cs="Times New Roman"/>
          <w:szCs w:val="24"/>
        </w:rPr>
        <w:t>.</w:t>
      </w:r>
      <w:r w:rsidRPr="00C80630">
        <w:rPr>
          <w:rFonts w:cs="Times New Roman"/>
          <w:szCs w:val="24"/>
        </w:rPr>
        <w:t xml:space="preserve"> </w:t>
      </w:r>
    </w:p>
    <w:p w14:paraId="279CE9A6" w14:textId="77777777" w:rsidR="00FE0F6C" w:rsidRDefault="00FE0F6C" w:rsidP="0003299B">
      <w:pPr>
        <w:spacing w:line="360" w:lineRule="auto"/>
        <w:jc w:val="both"/>
        <w:rPr>
          <w:rFonts w:eastAsia="Times New Roman" w:cs="Times New Roman"/>
          <w:snapToGrid w:val="0"/>
          <w:szCs w:val="24"/>
        </w:rPr>
      </w:pPr>
      <w:r>
        <w:rPr>
          <w:rFonts w:eastAsia="Times New Roman" w:cs="Times New Roman"/>
          <w:snapToGrid w:val="0"/>
          <w:szCs w:val="24"/>
        </w:rPr>
        <w:t xml:space="preserve">Table </w:t>
      </w:r>
      <w:r w:rsidRPr="003F4772">
        <w:rPr>
          <w:rFonts w:eastAsia="Times New Roman" w:cs="Times New Roman"/>
          <w:snapToGrid w:val="0"/>
          <w:szCs w:val="24"/>
        </w:rPr>
        <w:t>I lists the microscopic thermal absorption cross sections that correspond to each alternate cladding material investigated. Materials with higher absorption properties are expected to have a greater effect on neutron economy as more neutrons are absorbed in the cladding before being captured in the UO</w:t>
      </w:r>
      <w:r w:rsidRPr="003F4772">
        <w:rPr>
          <w:rFonts w:eastAsia="Times New Roman" w:cs="Times New Roman"/>
          <w:snapToGrid w:val="0"/>
          <w:szCs w:val="24"/>
          <w:vertAlign w:val="subscript"/>
        </w:rPr>
        <w:t>2</w:t>
      </w:r>
      <w:r w:rsidRPr="003F4772">
        <w:rPr>
          <w:rFonts w:eastAsia="Times New Roman" w:cs="Times New Roman"/>
          <w:snapToGrid w:val="0"/>
          <w:szCs w:val="24"/>
        </w:rPr>
        <w:t xml:space="preserve"> fuel region. Although the absorption properties of a given material are dependent on neutron energy, average thermal cross sections are representative of neutron energies after they have been slowed down by the moderator, which is the energy range where most fission reactions occur in a PWR. </w:t>
      </w:r>
    </w:p>
    <w:p w14:paraId="49BC5A7F" w14:textId="77777777" w:rsidR="0003299B" w:rsidRDefault="0003299B" w:rsidP="0091793B">
      <w:pPr>
        <w:spacing w:line="360" w:lineRule="auto"/>
        <w:jc w:val="both"/>
        <w:rPr>
          <w:rFonts w:eastAsia="Times New Roman" w:cs="Times New Roman"/>
          <w:snapToGrid w:val="0"/>
          <w:szCs w:val="24"/>
        </w:rPr>
      </w:pPr>
    </w:p>
    <w:p w14:paraId="59E8A821" w14:textId="3319A906" w:rsidR="0003299B" w:rsidRPr="00176A5F" w:rsidRDefault="0003299B" w:rsidP="00176A5F">
      <w:pPr>
        <w:pStyle w:val="Heading3"/>
        <w:rPr>
          <w:b w:val="0"/>
        </w:rPr>
      </w:pPr>
      <w:bookmarkStart w:id="0" w:name="_Toc409890099"/>
      <w:bookmarkStart w:id="1" w:name="_Toc409890165"/>
      <w:bookmarkStart w:id="2" w:name="_Toc416993423"/>
      <w:r w:rsidRPr="00176A5F">
        <w:rPr>
          <w:b w:val="0"/>
        </w:rPr>
        <w:t xml:space="preserve">Table </w:t>
      </w:r>
      <w:r w:rsidR="00DF20CB" w:rsidRPr="00176A5F">
        <w:rPr>
          <w:b w:val="0"/>
        </w:rPr>
        <w:fldChar w:fldCharType="begin"/>
      </w:r>
      <w:r w:rsidR="00DF20CB" w:rsidRPr="00176A5F">
        <w:rPr>
          <w:b w:val="0"/>
        </w:rPr>
        <w:instrText xml:space="preserve"> SEQ Table \* ROMAN </w:instrText>
      </w:r>
      <w:r w:rsidR="00DF20CB" w:rsidRPr="00176A5F">
        <w:rPr>
          <w:b w:val="0"/>
        </w:rPr>
        <w:fldChar w:fldCharType="separate"/>
      </w:r>
      <w:r w:rsidR="00EC7A3E" w:rsidRPr="00176A5F">
        <w:rPr>
          <w:b w:val="0"/>
          <w:noProof/>
        </w:rPr>
        <w:t>I</w:t>
      </w:r>
      <w:r w:rsidR="00DF20CB" w:rsidRPr="00176A5F">
        <w:rPr>
          <w:b w:val="0"/>
          <w:noProof/>
        </w:rPr>
        <w:fldChar w:fldCharType="end"/>
      </w:r>
      <w:r w:rsidRPr="00176A5F">
        <w:rPr>
          <w:b w:val="0"/>
        </w:rPr>
        <w:t>. Density and Microscopic Thermal Neutron Absorption</w:t>
      </w:r>
      <w:bookmarkEnd w:id="0"/>
      <w:bookmarkEnd w:id="1"/>
      <w:r w:rsidR="00176A5F" w:rsidRPr="00176A5F">
        <w:rPr>
          <w:b w:val="0"/>
        </w:rPr>
        <w:t xml:space="preserve"> </w:t>
      </w:r>
      <w:r w:rsidR="00176A5F" w:rsidRPr="00176A5F">
        <w:rPr>
          <w:b w:val="0"/>
        </w:rPr>
        <w:fldChar w:fldCharType="begin"/>
      </w:r>
      <w:r w:rsidR="00176A5F" w:rsidRPr="00176A5F">
        <w:rPr>
          <w:b w:val="0"/>
        </w:rPr>
        <w:instrText xml:space="preserve"> ADDIN EN.CITE &lt;EndNote&gt;&lt;Cite&gt;&lt;Author&gt;George&lt;/Author&gt;&lt;Year&gt;2013&lt;/Year&gt;&lt;RecNum&gt;12&lt;/RecNum&gt;&lt;DisplayText&gt;[3]&lt;/DisplayText&gt;&lt;record&gt;&lt;rec-number&gt;12&lt;/rec-number&gt;&lt;foreign-keys&gt;&lt;key app="EN" db-id="trfxzx057wwv0qe0vz1vttttwf0522tvtwpt" timestamp="1422124648"&gt;12&lt;/key&gt;&lt;/foreign-keys&gt;&lt;ref-type name="Report"&gt;27&lt;/ref-type&gt;&lt;contributors&gt;&lt;authors&gt;&lt;author&gt;George, Nathan M&lt;/author&gt;&lt;author&gt;Terrani, Kurt A&lt;/author&gt;&lt;author&gt;Powers, Jeffrey J&lt;/author&gt;&lt;/authors&gt;&lt;/contributors&gt;&lt;titles&gt;&lt;title&gt;Neutronic analysis of candidate accident-tolerant iron alloy cladding concepts&lt;/title&gt;&lt;/titles&gt;&lt;dates&gt;&lt;year&gt;2013&lt;/year&gt;&lt;/dates&gt;&lt;publisher&gt;Oak Ridge National Laboratory (ORNL)&lt;/publisher&gt;&lt;urls&gt;&lt;/urls&gt;&lt;/record&gt;&lt;/Cite&gt;&lt;/EndNote&gt;</w:instrText>
      </w:r>
      <w:r w:rsidR="00176A5F" w:rsidRPr="00176A5F">
        <w:rPr>
          <w:b w:val="0"/>
        </w:rPr>
        <w:fldChar w:fldCharType="separate"/>
      </w:r>
      <w:r w:rsidR="00176A5F" w:rsidRPr="00176A5F">
        <w:rPr>
          <w:b w:val="0"/>
        </w:rPr>
        <w:t>[</w:t>
      </w:r>
      <w:hyperlink w:anchor="_ENREF_3" w:tooltip="George, 2013 #12" w:history="1">
        <w:r w:rsidR="00176A5F" w:rsidRPr="00176A5F">
          <w:rPr>
            <w:b w:val="0"/>
          </w:rPr>
          <w:t>3</w:t>
        </w:r>
      </w:hyperlink>
      <w:r w:rsidR="00176A5F" w:rsidRPr="00176A5F">
        <w:rPr>
          <w:b w:val="0"/>
        </w:rPr>
        <w:t>]</w:t>
      </w:r>
      <w:bookmarkEnd w:id="2"/>
      <w:r w:rsidR="00176A5F" w:rsidRPr="00176A5F">
        <w:rPr>
          <w:b w:val="0"/>
        </w:rPr>
        <w:fldChar w:fldCharType="end"/>
      </w:r>
    </w:p>
    <w:p w14:paraId="7A760B64" w14:textId="77777777" w:rsidR="00176A5F" w:rsidRPr="00176A5F" w:rsidRDefault="00176A5F" w:rsidP="00176A5F">
      <w:pPr>
        <w:contextualSpacing/>
      </w:pPr>
    </w:p>
    <w:tbl>
      <w:tblPr>
        <w:tblW w:w="2422" w:type="pct"/>
        <w:jc w:val="center"/>
        <w:tblInd w:w="4805" w:type="dxa"/>
        <w:tblCellMar>
          <w:left w:w="0" w:type="dxa"/>
          <w:right w:w="0" w:type="dxa"/>
        </w:tblCellMar>
        <w:tblLook w:val="04A0" w:firstRow="1" w:lastRow="0" w:firstColumn="1" w:lastColumn="0" w:noHBand="0" w:noVBand="1"/>
      </w:tblPr>
      <w:tblGrid>
        <w:gridCol w:w="1040"/>
        <w:gridCol w:w="1156"/>
        <w:gridCol w:w="2338"/>
      </w:tblGrid>
      <w:tr w:rsidR="0003299B" w:rsidRPr="003F4772" w14:paraId="59748548" w14:textId="77777777" w:rsidTr="000A5A58">
        <w:trPr>
          <w:trHeight w:val="311"/>
          <w:jc w:val="center"/>
        </w:trPr>
        <w:tc>
          <w:tcPr>
            <w:tcW w:w="1147" w:type="pct"/>
            <w:tcBorders>
              <w:top w:val="single" w:sz="4" w:space="0" w:color="auto"/>
              <w:left w:val="nil"/>
              <w:bottom w:val="single" w:sz="4" w:space="0" w:color="auto"/>
              <w:right w:val="nil"/>
            </w:tcBorders>
            <w:shd w:val="clear" w:color="auto" w:fill="F2F2F2"/>
            <w:noWrap/>
            <w:vAlign w:val="center"/>
            <w:hideMark/>
          </w:tcPr>
          <w:p w14:paraId="4D86ECB4" w14:textId="77777777" w:rsidR="0003299B" w:rsidRPr="003F4772" w:rsidRDefault="0003299B" w:rsidP="000A5A58">
            <w:pPr>
              <w:widowControl w:val="0"/>
              <w:spacing w:after="0"/>
              <w:rPr>
                <w:rFonts w:eastAsia="Times New Roman" w:cs="Times New Roman"/>
                <w:b/>
                <w:snapToGrid w:val="0"/>
                <w:color w:val="000000"/>
                <w:sz w:val="20"/>
                <w:szCs w:val="24"/>
              </w:rPr>
            </w:pPr>
            <w:r w:rsidRPr="003F4772">
              <w:rPr>
                <w:rFonts w:eastAsia="Times New Roman" w:cs="Times New Roman"/>
                <w:b/>
                <w:snapToGrid w:val="0"/>
                <w:color w:val="000000"/>
                <w:sz w:val="20"/>
                <w:szCs w:val="24"/>
              </w:rPr>
              <w:t>Material</w:t>
            </w:r>
          </w:p>
        </w:tc>
        <w:tc>
          <w:tcPr>
            <w:tcW w:w="1275" w:type="pct"/>
            <w:tcBorders>
              <w:top w:val="single" w:sz="4" w:space="0" w:color="auto"/>
              <w:left w:val="nil"/>
              <w:bottom w:val="single" w:sz="4" w:space="0" w:color="auto"/>
              <w:right w:val="nil"/>
            </w:tcBorders>
            <w:shd w:val="clear" w:color="auto" w:fill="F2F2F2"/>
            <w:noWrap/>
            <w:vAlign w:val="center"/>
            <w:hideMark/>
          </w:tcPr>
          <w:p w14:paraId="4C3392C0" w14:textId="77777777" w:rsidR="0003299B" w:rsidRPr="003F4772" w:rsidRDefault="0003299B" w:rsidP="000A5A58">
            <w:pPr>
              <w:widowControl w:val="0"/>
              <w:spacing w:after="0"/>
              <w:rPr>
                <w:rFonts w:eastAsia="Times New Roman" w:cs="Times New Roman"/>
                <w:b/>
                <w:bCs/>
                <w:snapToGrid w:val="0"/>
                <w:color w:val="000000"/>
                <w:sz w:val="20"/>
                <w:szCs w:val="24"/>
              </w:rPr>
            </w:pPr>
            <w:r w:rsidRPr="003F4772">
              <w:rPr>
                <w:rFonts w:eastAsia="Times New Roman" w:cs="Times New Roman"/>
                <w:b/>
                <w:bCs/>
                <w:snapToGrid w:val="0"/>
                <w:color w:val="000000"/>
                <w:sz w:val="20"/>
                <w:szCs w:val="24"/>
              </w:rPr>
              <w:t>Density</w:t>
            </w:r>
            <w:r w:rsidRPr="003F4772">
              <w:rPr>
                <w:rFonts w:eastAsia="Times New Roman" w:cs="Times New Roman"/>
                <w:b/>
                <w:bCs/>
                <w:snapToGrid w:val="0"/>
                <w:color w:val="000000"/>
                <w:sz w:val="20"/>
                <w:szCs w:val="24"/>
              </w:rPr>
              <w:br/>
              <w:t>(g/cm</w:t>
            </w:r>
            <w:r w:rsidRPr="003F4772">
              <w:rPr>
                <w:rFonts w:eastAsia="Times New Roman" w:cs="Times New Roman"/>
                <w:b/>
                <w:bCs/>
                <w:snapToGrid w:val="0"/>
                <w:color w:val="000000"/>
                <w:sz w:val="20"/>
                <w:szCs w:val="24"/>
                <w:vertAlign w:val="superscript"/>
              </w:rPr>
              <w:t>3</w:t>
            </w:r>
            <w:r w:rsidRPr="003F4772">
              <w:rPr>
                <w:rFonts w:eastAsia="Times New Roman" w:cs="Times New Roman"/>
                <w:b/>
                <w:bCs/>
                <w:snapToGrid w:val="0"/>
                <w:color w:val="000000"/>
                <w:sz w:val="20"/>
                <w:szCs w:val="24"/>
              </w:rPr>
              <w:t>)</w:t>
            </w:r>
          </w:p>
        </w:tc>
        <w:tc>
          <w:tcPr>
            <w:tcW w:w="2578" w:type="pct"/>
            <w:tcBorders>
              <w:top w:val="single" w:sz="4" w:space="0" w:color="auto"/>
              <w:left w:val="nil"/>
              <w:bottom w:val="single" w:sz="4" w:space="0" w:color="auto"/>
              <w:right w:val="nil"/>
            </w:tcBorders>
            <w:shd w:val="clear" w:color="auto" w:fill="F2F2F2"/>
            <w:noWrap/>
            <w:vAlign w:val="center"/>
            <w:hideMark/>
          </w:tcPr>
          <w:p w14:paraId="7191B606" w14:textId="77777777" w:rsidR="0003299B" w:rsidRPr="003F4772" w:rsidRDefault="0003299B" w:rsidP="000A5A58">
            <w:pPr>
              <w:widowControl w:val="0"/>
              <w:spacing w:after="0"/>
              <w:rPr>
                <w:rFonts w:eastAsia="Times New Roman" w:cs="Times New Roman"/>
                <w:b/>
                <w:bCs/>
                <w:snapToGrid w:val="0"/>
                <w:color w:val="000000"/>
                <w:sz w:val="20"/>
                <w:szCs w:val="24"/>
              </w:rPr>
            </w:pPr>
            <w:r w:rsidRPr="003F4772">
              <w:rPr>
                <w:rFonts w:eastAsia="Times New Roman" w:cs="Times New Roman"/>
                <w:b/>
                <w:bCs/>
                <w:snapToGrid w:val="0"/>
                <w:color w:val="000000"/>
                <w:sz w:val="20"/>
                <w:szCs w:val="24"/>
              </w:rPr>
              <w:t>Microscopic thermal</w:t>
            </w:r>
          </w:p>
          <w:p w14:paraId="7E01020E" w14:textId="77777777" w:rsidR="0003299B" w:rsidRPr="003F4772" w:rsidRDefault="0003299B" w:rsidP="000A5A58">
            <w:pPr>
              <w:widowControl w:val="0"/>
              <w:spacing w:after="0"/>
              <w:rPr>
                <w:rFonts w:eastAsia="Times New Roman" w:cs="Times New Roman"/>
                <w:b/>
                <w:bCs/>
                <w:snapToGrid w:val="0"/>
                <w:color w:val="000000"/>
                <w:sz w:val="20"/>
                <w:szCs w:val="24"/>
              </w:rPr>
            </w:pPr>
            <w:r w:rsidRPr="003F4772">
              <w:rPr>
                <w:rFonts w:eastAsia="Times New Roman" w:cs="Times New Roman"/>
                <w:b/>
                <w:bCs/>
                <w:snapToGrid w:val="0"/>
                <w:color w:val="000000"/>
                <w:sz w:val="20"/>
                <w:szCs w:val="24"/>
              </w:rPr>
              <w:t>neutron absorption</w:t>
            </w:r>
          </w:p>
          <w:p w14:paraId="07B8D949" w14:textId="77777777" w:rsidR="0003299B" w:rsidRPr="003F4772" w:rsidRDefault="0003299B" w:rsidP="000A5A58">
            <w:pPr>
              <w:widowControl w:val="0"/>
              <w:spacing w:after="0"/>
              <w:rPr>
                <w:rFonts w:eastAsia="Times New Roman" w:cs="Times New Roman"/>
                <w:b/>
                <w:bCs/>
                <w:snapToGrid w:val="0"/>
                <w:color w:val="000000"/>
                <w:sz w:val="20"/>
                <w:szCs w:val="24"/>
              </w:rPr>
            </w:pPr>
            <w:r w:rsidRPr="003F4772">
              <w:rPr>
                <w:rFonts w:eastAsia="Times New Roman" w:cs="Times New Roman"/>
                <w:b/>
                <w:bCs/>
                <w:snapToGrid w:val="0"/>
                <w:color w:val="000000"/>
                <w:sz w:val="20"/>
                <w:szCs w:val="24"/>
              </w:rPr>
              <w:t>cross section (barns)</w:t>
            </w:r>
          </w:p>
        </w:tc>
      </w:tr>
      <w:tr w:rsidR="0003299B" w:rsidRPr="003F4772" w14:paraId="4B83A865" w14:textId="77777777" w:rsidTr="000A5A58">
        <w:trPr>
          <w:trHeight w:val="311"/>
          <w:jc w:val="center"/>
        </w:trPr>
        <w:tc>
          <w:tcPr>
            <w:tcW w:w="1147" w:type="pct"/>
            <w:tcBorders>
              <w:top w:val="single" w:sz="4" w:space="0" w:color="auto"/>
              <w:left w:val="nil"/>
              <w:bottom w:val="nil"/>
              <w:right w:val="nil"/>
            </w:tcBorders>
            <w:shd w:val="clear" w:color="auto" w:fill="auto"/>
            <w:noWrap/>
            <w:vAlign w:val="center"/>
            <w:hideMark/>
          </w:tcPr>
          <w:p w14:paraId="662A0B19" w14:textId="77777777" w:rsidR="0003299B" w:rsidRPr="003F4772" w:rsidRDefault="0003299B" w:rsidP="000A5A58">
            <w:pPr>
              <w:widowControl w:val="0"/>
              <w:spacing w:after="0"/>
              <w:rPr>
                <w:rFonts w:eastAsia="Times New Roman" w:cs="Times New Roman"/>
                <w:b/>
                <w:bCs/>
                <w:snapToGrid w:val="0"/>
                <w:color w:val="000000"/>
                <w:sz w:val="20"/>
                <w:szCs w:val="24"/>
              </w:rPr>
            </w:pPr>
            <w:r>
              <w:rPr>
                <w:rFonts w:eastAsia="Times New Roman" w:cs="Times New Roman"/>
                <w:b/>
                <w:bCs/>
                <w:snapToGrid w:val="0"/>
                <w:color w:val="000000"/>
                <w:sz w:val="20"/>
                <w:szCs w:val="24"/>
              </w:rPr>
              <w:t>Zircaloy</w:t>
            </w:r>
          </w:p>
        </w:tc>
        <w:tc>
          <w:tcPr>
            <w:tcW w:w="1275" w:type="pct"/>
            <w:tcBorders>
              <w:top w:val="nil"/>
              <w:left w:val="nil"/>
              <w:bottom w:val="nil"/>
              <w:right w:val="nil"/>
            </w:tcBorders>
            <w:shd w:val="clear" w:color="auto" w:fill="auto"/>
            <w:noWrap/>
            <w:vAlign w:val="center"/>
            <w:hideMark/>
          </w:tcPr>
          <w:p w14:paraId="75F8A628" w14:textId="77777777" w:rsidR="0003299B" w:rsidRPr="003F4772" w:rsidRDefault="0003299B" w:rsidP="000A5A58">
            <w:pPr>
              <w:widowControl w:val="0"/>
              <w:tabs>
                <w:tab w:val="decimal" w:pos="470"/>
              </w:tabs>
              <w:spacing w:after="0"/>
              <w:ind w:right="263"/>
              <w:rPr>
                <w:rFonts w:eastAsia="Times New Roman" w:cs="Times New Roman"/>
                <w:snapToGrid w:val="0"/>
                <w:color w:val="000000"/>
                <w:sz w:val="20"/>
                <w:szCs w:val="24"/>
              </w:rPr>
            </w:pPr>
            <w:r w:rsidRPr="003F4772">
              <w:rPr>
                <w:rFonts w:eastAsia="Times New Roman" w:cs="Times New Roman"/>
                <w:snapToGrid w:val="0"/>
                <w:color w:val="000000"/>
                <w:sz w:val="20"/>
                <w:szCs w:val="24"/>
              </w:rPr>
              <w:t>6.56</w:t>
            </w:r>
          </w:p>
        </w:tc>
        <w:tc>
          <w:tcPr>
            <w:tcW w:w="2578" w:type="pct"/>
            <w:tcBorders>
              <w:top w:val="nil"/>
              <w:left w:val="nil"/>
              <w:bottom w:val="nil"/>
              <w:right w:val="nil"/>
            </w:tcBorders>
            <w:shd w:val="clear" w:color="auto" w:fill="auto"/>
            <w:noWrap/>
            <w:vAlign w:val="center"/>
            <w:hideMark/>
          </w:tcPr>
          <w:p w14:paraId="5F0B31D5" w14:textId="77777777" w:rsidR="0003299B" w:rsidRPr="003F4772" w:rsidRDefault="0003299B" w:rsidP="000A5A58">
            <w:pPr>
              <w:widowControl w:val="0"/>
              <w:tabs>
                <w:tab w:val="decimal" w:pos="941"/>
              </w:tabs>
              <w:spacing w:after="0"/>
              <w:ind w:right="700"/>
              <w:rPr>
                <w:rFonts w:eastAsia="Times New Roman" w:cs="Times New Roman"/>
                <w:snapToGrid w:val="0"/>
                <w:color w:val="000000"/>
                <w:sz w:val="20"/>
                <w:szCs w:val="24"/>
              </w:rPr>
            </w:pPr>
            <w:r w:rsidRPr="003F4772">
              <w:rPr>
                <w:rFonts w:eastAsia="Times New Roman" w:cs="Times New Roman"/>
                <w:snapToGrid w:val="0"/>
                <w:color w:val="000000"/>
                <w:sz w:val="20"/>
                <w:szCs w:val="24"/>
              </w:rPr>
              <w:t>0.20</w:t>
            </w:r>
          </w:p>
        </w:tc>
      </w:tr>
      <w:tr w:rsidR="0003299B" w:rsidRPr="003F4772" w14:paraId="038C3BA5" w14:textId="77777777" w:rsidTr="000A5A58">
        <w:trPr>
          <w:trHeight w:val="311"/>
          <w:jc w:val="center"/>
        </w:trPr>
        <w:tc>
          <w:tcPr>
            <w:tcW w:w="1147" w:type="pct"/>
            <w:tcBorders>
              <w:top w:val="nil"/>
              <w:left w:val="nil"/>
              <w:bottom w:val="nil"/>
              <w:right w:val="nil"/>
            </w:tcBorders>
            <w:shd w:val="clear" w:color="auto" w:fill="auto"/>
            <w:noWrap/>
            <w:vAlign w:val="center"/>
            <w:hideMark/>
          </w:tcPr>
          <w:p w14:paraId="14E019BD" w14:textId="77777777" w:rsidR="0003299B" w:rsidRPr="003F4772" w:rsidRDefault="0003299B" w:rsidP="000A5A58">
            <w:pPr>
              <w:widowControl w:val="0"/>
              <w:spacing w:after="0"/>
              <w:rPr>
                <w:rFonts w:eastAsia="Times New Roman" w:cs="Times New Roman"/>
                <w:b/>
                <w:bCs/>
                <w:snapToGrid w:val="0"/>
                <w:color w:val="000000"/>
                <w:sz w:val="20"/>
                <w:szCs w:val="24"/>
              </w:rPr>
            </w:pPr>
            <w:r w:rsidRPr="003F4772">
              <w:rPr>
                <w:rFonts w:eastAsia="Times New Roman" w:cs="Times New Roman"/>
                <w:b/>
                <w:bCs/>
                <w:snapToGrid w:val="0"/>
                <w:color w:val="000000"/>
                <w:sz w:val="20"/>
                <w:szCs w:val="24"/>
              </w:rPr>
              <w:t>304SS</w:t>
            </w:r>
          </w:p>
        </w:tc>
        <w:tc>
          <w:tcPr>
            <w:tcW w:w="1275" w:type="pct"/>
            <w:tcBorders>
              <w:top w:val="nil"/>
              <w:left w:val="nil"/>
              <w:bottom w:val="nil"/>
              <w:right w:val="nil"/>
            </w:tcBorders>
            <w:shd w:val="clear" w:color="auto" w:fill="auto"/>
            <w:noWrap/>
            <w:vAlign w:val="center"/>
            <w:hideMark/>
          </w:tcPr>
          <w:p w14:paraId="7448227A" w14:textId="77777777" w:rsidR="0003299B" w:rsidRPr="003F4772" w:rsidRDefault="0003299B" w:rsidP="000A5A58">
            <w:pPr>
              <w:widowControl w:val="0"/>
              <w:tabs>
                <w:tab w:val="decimal" w:pos="470"/>
              </w:tabs>
              <w:spacing w:after="0"/>
              <w:ind w:right="263"/>
              <w:rPr>
                <w:rFonts w:eastAsia="Times New Roman" w:cs="Times New Roman"/>
                <w:snapToGrid w:val="0"/>
                <w:color w:val="000000"/>
                <w:sz w:val="20"/>
                <w:szCs w:val="24"/>
              </w:rPr>
            </w:pPr>
            <w:r w:rsidRPr="003F4772">
              <w:rPr>
                <w:rFonts w:eastAsia="Times New Roman" w:cs="Times New Roman"/>
                <w:snapToGrid w:val="0"/>
                <w:color w:val="000000"/>
                <w:sz w:val="20"/>
                <w:szCs w:val="24"/>
              </w:rPr>
              <w:t>7.9</w:t>
            </w:r>
          </w:p>
        </w:tc>
        <w:tc>
          <w:tcPr>
            <w:tcW w:w="2578" w:type="pct"/>
            <w:tcBorders>
              <w:top w:val="nil"/>
              <w:left w:val="nil"/>
              <w:bottom w:val="nil"/>
              <w:right w:val="nil"/>
            </w:tcBorders>
            <w:shd w:val="clear" w:color="auto" w:fill="auto"/>
            <w:noWrap/>
            <w:vAlign w:val="center"/>
            <w:hideMark/>
          </w:tcPr>
          <w:p w14:paraId="0E5F92B7" w14:textId="77777777" w:rsidR="0003299B" w:rsidRPr="003F4772" w:rsidRDefault="0003299B" w:rsidP="000A5A58">
            <w:pPr>
              <w:widowControl w:val="0"/>
              <w:tabs>
                <w:tab w:val="decimal" w:pos="941"/>
              </w:tabs>
              <w:spacing w:after="0"/>
              <w:ind w:right="700"/>
              <w:rPr>
                <w:rFonts w:eastAsia="Times New Roman" w:cs="Times New Roman"/>
                <w:snapToGrid w:val="0"/>
                <w:color w:val="000000"/>
                <w:sz w:val="20"/>
                <w:szCs w:val="24"/>
              </w:rPr>
            </w:pPr>
            <w:r w:rsidRPr="003F4772">
              <w:rPr>
                <w:rFonts w:eastAsia="Times New Roman" w:cs="Times New Roman"/>
                <w:snapToGrid w:val="0"/>
                <w:color w:val="000000"/>
                <w:sz w:val="20"/>
                <w:szCs w:val="24"/>
              </w:rPr>
              <w:t>2.86</w:t>
            </w:r>
          </w:p>
        </w:tc>
      </w:tr>
      <w:tr w:rsidR="0003299B" w:rsidRPr="003F4772" w14:paraId="380AADCD" w14:textId="77777777" w:rsidTr="000A5A58">
        <w:trPr>
          <w:trHeight w:val="311"/>
          <w:jc w:val="center"/>
        </w:trPr>
        <w:tc>
          <w:tcPr>
            <w:tcW w:w="1147" w:type="pct"/>
            <w:tcBorders>
              <w:top w:val="nil"/>
              <w:left w:val="nil"/>
              <w:bottom w:val="nil"/>
              <w:right w:val="nil"/>
            </w:tcBorders>
            <w:shd w:val="clear" w:color="auto" w:fill="auto"/>
            <w:noWrap/>
            <w:vAlign w:val="center"/>
            <w:hideMark/>
          </w:tcPr>
          <w:p w14:paraId="35D8CF28" w14:textId="77777777" w:rsidR="0003299B" w:rsidRPr="003F4772" w:rsidRDefault="0003299B" w:rsidP="000A5A58">
            <w:pPr>
              <w:widowControl w:val="0"/>
              <w:spacing w:after="0"/>
              <w:rPr>
                <w:rFonts w:eastAsia="Times New Roman" w:cs="Times New Roman"/>
                <w:b/>
                <w:bCs/>
                <w:snapToGrid w:val="0"/>
                <w:color w:val="000000"/>
                <w:sz w:val="20"/>
                <w:szCs w:val="24"/>
              </w:rPr>
            </w:pPr>
            <w:r w:rsidRPr="003F4772">
              <w:rPr>
                <w:rFonts w:eastAsia="Times New Roman" w:cs="Times New Roman"/>
                <w:b/>
                <w:bCs/>
                <w:snapToGrid w:val="0"/>
                <w:color w:val="000000"/>
                <w:sz w:val="20"/>
                <w:szCs w:val="24"/>
              </w:rPr>
              <w:t>310SS</w:t>
            </w:r>
          </w:p>
        </w:tc>
        <w:tc>
          <w:tcPr>
            <w:tcW w:w="1275" w:type="pct"/>
            <w:tcBorders>
              <w:top w:val="nil"/>
              <w:left w:val="nil"/>
              <w:bottom w:val="nil"/>
              <w:right w:val="nil"/>
            </w:tcBorders>
            <w:shd w:val="clear" w:color="auto" w:fill="auto"/>
            <w:noWrap/>
            <w:vAlign w:val="center"/>
            <w:hideMark/>
          </w:tcPr>
          <w:p w14:paraId="598FFD6F" w14:textId="77777777" w:rsidR="0003299B" w:rsidRPr="003F4772" w:rsidRDefault="0003299B" w:rsidP="000A5A58">
            <w:pPr>
              <w:widowControl w:val="0"/>
              <w:tabs>
                <w:tab w:val="decimal" w:pos="470"/>
              </w:tabs>
              <w:spacing w:after="0"/>
              <w:ind w:right="263"/>
              <w:rPr>
                <w:rFonts w:eastAsia="Times New Roman" w:cs="Times New Roman"/>
                <w:snapToGrid w:val="0"/>
                <w:color w:val="000000"/>
                <w:sz w:val="20"/>
                <w:szCs w:val="24"/>
              </w:rPr>
            </w:pPr>
            <w:r w:rsidRPr="003F4772">
              <w:rPr>
                <w:rFonts w:eastAsia="Times New Roman" w:cs="Times New Roman"/>
                <w:snapToGrid w:val="0"/>
                <w:color w:val="000000"/>
                <w:sz w:val="20"/>
                <w:szCs w:val="24"/>
              </w:rPr>
              <w:t>8.03</w:t>
            </w:r>
          </w:p>
        </w:tc>
        <w:tc>
          <w:tcPr>
            <w:tcW w:w="2578" w:type="pct"/>
            <w:tcBorders>
              <w:top w:val="nil"/>
              <w:left w:val="nil"/>
              <w:bottom w:val="nil"/>
              <w:right w:val="nil"/>
            </w:tcBorders>
            <w:shd w:val="clear" w:color="auto" w:fill="auto"/>
            <w:noWrap/>
            <w:vAlign w:val="center"/>
            <w:hideMark/>
          </w:tcPr>
          <w:p w14:paraId="03FA653E" w14:textId="77777777" w:rsidR="0003299B" w:rsidRPr="003F4772" w:rsidRDefault="0003299B" w:rsidP="000A5A58">
            <w:pPr>
              <w:widowControl w:val="0"/>
              <w:tabs>
                <w:tab w:val="decimal" w:pos="941"/>
              </w:tabs>
              <w:spacing w:after="0"/>
              <w:ind w:right="700"/>
              <w:rPr>
                <w:rFonts w:eastAsia="Times New Roman" w:cs="Times New Roman"/>
                <w:snapToGrid w:val="0"/>
                <w:color w:val="000000"/>
                <w:sz w:val="20"/>
                <w:szCs w:val="24"/>
              </w:rPr>
            </w:pPr>
            <w:r w:rsidRPr="003F4772">
              <w:rPr>
                <w:rFonts w:eastAsia="Times New Roman" w:cs="Times New Roman"/>
                <w:snapToGrid w:val="0"/>
                <w:color w:val="000000"/>
                <w:sz w:val="20"/>
                <w:szCs w:val="24"/>
              </w:rPr>
              <w:t>3.21</w:t>
            </w:r>
          </w:p>
        </w:tc>
      </w:tr>
      <w:tr w:rsidR="0003299B" w:rsidRPr="003F4772" w14:paraId="2368B7CC" w14:textId="77777777" w:rsidTr="000A5A58">
        <w:trPr>
          <w:trHeight w:val="311"/>
          <w:jc w:val="center"/>
        </w:trPr>
        <w:tc>
          <w:tcPr>
            <w:tcW w:w="1147" w:type="pct"/>
            <w:tcBorders>
              <w:top w:val="nil"/>
              <w:left w:val="nil"/>
              <w:right w:val="nil"/>
            </w:tcBorders>
            <w:shd w:val="clear" w:color="auto" w:fill="auto"/>
            <w:noWrap/>
            <w:vAlign w:val="center"/>
            <w:hideMark/>
          </w:tcPr>
          <w:p w14:paraId="0CBA66BF" w14:textId="77777777" w:rsidR="0003299B" w:rsidRPr="003F4772" w:rsidRDefault="0003299B" w:rsidP="000A5A58">
            <w:pPr>
              <w:widowControl w:val="0"/>
              <w:spacing w:after="0"/>
              <w:rPr>
                <w:rFonts w:eastAsia="Times New Roman" w:cs="Times New Roman"/>
                <w:b/>
                <w:bCs/>
                <w:snapToGrid w:val="0"/>
                <w:color w:val="000000"/>
                <w:sz w:val="20"/>
                <w:szCs w:val="24"/>
              </w:rPr>
            </w:pPr>
            <w:r w:rsidRPr="003F4772">
              <w:rPr>
                <w:rFonts w:eastAsia="Times New Roman" w:cs="Times New Roman"/>
                <w:b/>
                <w:bCs/>
                <w:snapToGrid w:val="0"/>
                <w:color w:val="000000"/>
                <w:sz w:val="20"/>
                <w:szCs w:val="24"/>
              </w:rPr>
              <w:t>FeCrAl</w:t>
            </w:r>
          </w:p>
        </w:tc>
        <w:tc>
          <w:tcPr>
            <w:tcW w:w="1275" w:type="pct"/>
            <w:tcBorders>
              <w:top w:val="nil"/>
              <w:left w:val="nil"/>
              <w:right w:val="nil"/>
            </w:tcBorders>
            <w:shd w:val="clear" w:color="auto" w:fill="auto"/>
            <w:noWrap/>
            <w:vAlign w:val="center"/>
            <w:hideMark/>
          </w:tcPr>
          <w:p w14:paraId="6604559F" w14:textId="77777777" w:rsidR="0003299B" w:rsidRPr="003F4772" w:rsidRDefault="0003299B" w:rsidP="000A5A58">
            <w:pPr>
              <w:widowControl w:val="0"/>
              <w:tabs>
                <w:tab w:val="decimal" w:pos="470"/>
              </w:tabs>
              <w:spacing w:after="0"/>
              <w:ind w:right="263"/>
              <w:rPr>
                <w:rFonts w:eastAsia="Times New Roman" w:cs="Times New Roman"/>
                <w:snapToGrid w:val="0"/>
                <w:color w:val="000000"/>
                <w:sz w:val="20"/>
                <w:szCs w:val="24"/>
              </w:rPr>
            </w:pPr>
            <w:r w:rsidRPr="003F4772">
              <w:rPr>
                <w:rFonts w:eastAsia="Times New Roman" w:cs="Times New Roman"/>
                <w:snapToGrid w:val="0"/>
                <w:color w:val="000000"/>
                <w:sz w:val="20"/>
                <w:szCs w:val="24"/>
              </w:rPr>
              <w:t>7.1</w:t>
            </w:r>
          </w:p>
        </w:tc>
        <w:tc>
          <w:tcPr>
            <w:tcW w:w="2578" w:type="pct"/>
            <w:tcBorders>
              <w:top w:val="nil"/>
              <w:left w:val="nil"/>
              <w:right w:val="nil"/>
            </w:tcBorders>
            <w:shd w:val="clear" w:color="auto" w:fill="auto"/>
            <w:noWrap/>
            <w:vAlign w:val="center"/>
            <w:hideMark/>
          </w:tcPr>
          <w:p w14:paraId="4F55A35B" w14:textId="77777777" w:rsidR="0003299B" w:rsidRPr="003F4772" w:rsidRDefault="0003299B" w:rsidP="000A5A58">
            <w:pPr>
              <w:widowControl w:val="0"/>
              <w:tabs>
                <w:tab w:val="decimal" w:pos="941"/>
              </w:tabs>
              <w:spacing w:after="0"/>
              <w:ind w:right="700"/>
              <w:rPr>
                <w:rFonts w:eastAsia="Times New Roman" w:cs="Times New Roman"/>
                <w:snapToGrid w:val="0"/>
                <w:color w:val="000000"/>
                <w:sz w:val="20"/>
                <w:szCs w:val="24"/>
              </w:rPr>
            </w:pPr>
            <w:r w:rsidRPr="003F4772">
              <w:rPr>
                <w:rFonts w:eastAsia="Times New Roman" w:cs="Times New Roman"/>
                <w:snapToGrid w:val="0"/>
                <w:color w:val="000000"/>
                <w:sz w:val="20"/>
                <w:szCs w:val="24"/>
              </w:rPr>
              <w:t>2.43</w:t>
            </w:r>
          </w:p>
        </w:tc>
      </w:tr>
      <w:tr w:rsidR="0003299B" w:rsidRPr="003F4772" w14:paraId="019C76AA" w14:textId="77777777" w:rsidTr="000A5A58">
        <w:trPr>
          <w:trHeight w:val="311"/>
          <w:jc w:val="center"/>
        </w:trPr>
        <w:tc>
          <w:tcPr>
            <w:tcW w:w="1147" w:type="pct"/>
            <w:tcBorders>
              <w:top w:val="nil"/>
              <w:left w:val="nil"/>
              <w:bottom w:val="nil"/>
              <w:right w:val="nil"/>
            </w:tcBorders>
            <w:shd w:val="clear" w:color="auto" w:fill="auto"/>
            <w:noWrap/>
            <w:vAlign w:val="center"/>
            <w:hideMark/>
          </w:tcPr>
          <w:p w14:paraId="035FC981" w14:textId="77777777" w:rsidR="0003299B" w:rsidRPr="00CD6077" w:rsidRDefault="0003299B" w:rsidP="000A5A58">
            <w:pPr>
              <w:widowControl w:val="0"/>
              <w:spacing w:after="0"/>
              <w:rPr>
                <w:rFonts w:eastAsia="Times New Roman" w:cs="Times New Roman"/>
                <w:b/>
                <w:bCs/>
                <w:snapToGrid w:val="0"/>
                <w:color w:val="000000"/>
                <w:sz w:val="20"/>
                <w:szCs w:val="24"/>
                <w:vertAlign w:val="superscript"/>
              </w:rPr>
            </w:pPr>
            <w:r w:rsidRPr="003F4772">
              <w:rPr>
                <w:rFonts w:eastAsia="Times New Roman" w:cs="Times New Roman"/>
                <w:b/>
                <w:bCs/>
                <w:snapToGrid w:val="0"/>
                <w:color w:val="000000"/>
                <w:sz w:val="20"/>
                <w:szCs w:val="24"/>
              </w:rPr>
              <w:t>APMT</w:t>
            </w:r>
            <w:r>
              <w:rPr>
                <w:rFonts w:eastAsia="Times New Roman" w:cs="Times New Roman"/>
                <w:b/>
                <w:bCs/>
                <w:snapToGrid w:val="0"/>
                <w:color w:val="000000"/>
                <w:sz w:val="20"/>
                <w:szCs w:val="24"/>
                <w:vertAlign w:val="superscript"/>
              </w:rPr>
              <w:t>TM</w:t>
            </w:r>
          </w:p>
        </w:tc>
        <w:tc>
          <w:tcPr>
            <w:tcW w:w="1275" w:type="pct"/>
            <w:tcBorders>
              <w:top w:val="nil"/>
              <w:left w:val="nil"/>
              <w:bottom w:val="nil"/>
              <w:right w:val="nil"/>
            </w:tcBorders>
            <w:shd w:val="clear" w:color="auto" w:fill="auto"/>
            <w:noWrap/>
            <w:vAlign w:val="center"/>
            <w:hideMark/>
          </w:tcPr>
          <w:p w14:paraId="0CC21CC7" w14:textId="77777777" w:rsidR="0003299B" w:rsidRPr="003F4772" w:rsidRDefault="0003299B" w:rsidP="000A5A58">
            <w:pPr>
              <w:widowControl w:val="0"/>
              <w:tabs>
                <w:tab w:val="decimal" w:pos="470"/>
              </w:tabs>
              <w:spacing w:after="0"/>
              <w:ind w:right="263"/>
              <w:rPr>
                <w:rFonts w:eastAsia="Times New Roman" w:cs="Times New Roman"/>
                <w:snapToGrid w:val="0"/>
                <w:color w:val="000000"/>
                <w:sz w:val="20"/>
                <w:szCs w:val="24"/>
              </w:rPr>
            </w:pPr>
            <w:r w:rsidRPr="003F4772">
              <w:rPr>
                <w:rFonts w:eastAsia="Times New Roman" w:cs="Times New Roman"/>
                <w:snapToGrid w:val="0"/>
                <w:color w:val="000000"/>
                <w:sz w:val="20"/>
                <w:szCs w:val="24"/>
              </w:rPr>
              <w:t>7.3</w:t>
            </w:r>
          </w:p>
        </w:tc>
        <w:tc>
          <w:tcPr>
            <w:tcW w:w="2578" w:type="pct"/>
            <w:tcBorders>
              <w:top w:val="nil"/>
              <w:left w:val="nil"/>
              <w:bottom w:val="nil"/>
              <w:right w:val="nil"/>
            </w:tcBorders>
            <w:shd w:val="clear" w:color="auto" w:fill="auto"/>
            <w:noWrap/>
            <w:vAlign w:val="center"/>
            <w:hideMark/>
          </w:tcPr>
          <w:p w14:paraId="0DD6B9A4" w14:textId="77777777" w:rsidR="0003299B" w:rsidRPr="003F4772" w:rsidRDefault="0003299B" w:rsidP="000A5A58">
            <w:pPr>
              <w:widowControl w:val="0"/>
              <w:tabs>
                <w:tab w:val="decimal" w:pos="941"/>
              </w:tabs>
              <w:spacing w:after="0"/>
              <w:ind w:right="700"/>
              <w:rPr>
                <w:rFonts w:eastAsia="Times New Roman" w:cs="Times New Roman"/>
                <w:snapToGrid w:val="0"/>
                <w:color w:val="000000"/>
                <w:sz w:val="20"/>
                <w:szCs w:val="24"/>
              </w:rPr>
            </w:pPr>
            <w:r w:rsidRPr="003F4772">
              <w:rPr>
                <w:rFonts w:eastAsia="Times New Roman" w:cs="Times New Roman"/>
                <w:snapToGrid w:val="0"/>
                <w:color w:val="000000"/>
                <w:sz w:val="20"/>
                <w:szCs w:val="24"/>
              </w:rPr>
              <w:t>2.47</w:t>
            </w:r>
          </w:p>
        </w:tc>
      </w:tr>
      <w:tr w:rsidR="0003299B" w:rsidRPr="003F4772" w14:paraId="643A71D9" w14:textId="77777777" w:rsidTr="000A5A58">
        <w:trPr>
          <w:trHeight w:val="323"/>
          <w:jc w:val="center"/>
        </w:trPr>
        <w:tc>
          <w:tcPr>
            <w:tcW w:w="1147" w:type="pct"/>
            <w:tcBorders>
              <w:top w:val="nil"/>
              <w:left w:val="nil"/>
              <w:bottom w:val="single" w:sz="4" w:space="0" w:color="auto"/>
              <w:right w:val="nil"/>
            </w:tcBorders>
            <w:shd w:val="clear" w:color="auto" w:fill="auto"/>
            <w:noWrap/>
            <w:vAlign w:val="center"/>
          </w:tcPr>
          <w:p w14:paraId="6A810011" w14:textId="77777777" w:rsidR="0003299B" w:rsidRPr="003F4772" w:rsidRDefault="0003299B" w:rsidP="000A5A58">
            <w:pPr>
              <w:widowControl w:val="0"/>
              <w:spacing w:after="0"/>
              <w:rPr>
                <w:rFonts w:eastAsia="Times New Roman" w:cs="Times New Roman"/>
                <w:b/>
                <w:bCs/>
                <w:snapToGrid w:val="0"/>
                <w:sz w:val="20"/>
                <w:szCs w:val="24"/>
              </w:rPr>
            </w:pPr>
            <w:r w:rsidRPr="003F4772">
              <w:rPr>
                <w:rFonts w:eastAsia="Times New Roman" w:cs="Times New Roman"/>
                <w:b/>
                <w:bCs/>
                <w:snapToGrid w:val="0"/>
                <w:sz w:val="20"/>
                <w:szCs w:val="24"/>
              </w:rPr>
              <w:t>SiC</w:t>
            </w:r>
          </w:p>
        </w:tc>
        <w:tc>
          <w:tcPr>
            <w:tcW w:w="1275" w:type="pct"/>
            <w:tcBorders>
              <w:top w:val="nil"/>
              <w:left w:val="nil"/>
              <w:bottom w:val="single" w:sz="4" w:space="0" w:color="auto"/>
              <w:right w:val="nil"/>
            </w:tcBorders>
            <w:shd w:val="clear" w:color="auto" w:fill="auto"/>
            <w:noWrap/>
            <w:vAlign w:val="center"/>
          </w:tcPr>
          <w:p w14:paraId="71EC81BD" w14:textId="77777777" w:rsidR="0003299B" w:rsidRPr="003F4772" w:rsidRDefault="0003299B" w:rsidP="000A5A58">
            <w:pPr>
              <w:widowControl w:val="0"/>
              <w:tabs>
                <w:tab w:val="decimal" w:pos="470"/>
              </w:tabs>
              <w:spacing w:after="0"/>
              <w:ind w:right="263"/>
              <w:rPr>
                <w:rFonts w:eastAsia="Times New Roman" w:cs="Times New Roman"/>
                <w:snapToGrid w:val="0"/>
                <w:sz w:val="20"/>
                <w:szCs w:val="24"/>
              </w:rPr>
            </w:pPr>
            <w:r w:rsidRPr="003F4772">
              <w:rPr>
                <w:rFonts w:eastAsia="Times New Roman" w:cs="Times New Roman"/>
                <w:snapToGrid w:val="0"/>
                <w:sz w:val="20"/>
                <w:szCs w:val="24"/>
              </w:rPr>
              <w:t>2.58</w:t>
            </w:r>
          </w:p>
        </w:tc>
        <w:tc>
          <w:tcPr>
            <w:tcW w:w="2578" w:type="pct"/>
            <w:tcBorders>
              <w:top w:val="nil"/>
              <w:left w:val="nil"/>
              <w:bottom w:val="single" w:sz="4" w:space="0" w:color="auto"/>
              <w:right w:val="nil"/>
            </w:tcBorders>
            <w:shd w:val="clear" w:color="auto" w:fill="auto"/>
            <w:noWrap/>
            <w:vAlign w:val="center"/>
          </w:tcPr>
          <w:p w14:paraId="193A14BE" w14:textId="77777777" w:rsidR="0003299B" w:rsidRPr="003F4772" w:rsidRDefault="0003299B" w:rsidP="000A5A58">
            <w:pPr>
              <w:widowControl w:val="0"/>
              <w:tabs>
                <w:tab w:val="decimal" w:pos="941"/>
              </w:tabs>
              <w:spacing w:after="0"/>
              <w:ind w:right="700"/>
              <w:rPr>
                <w:rFonts w:eastAsia="Times New Roman" w:cs="Times New Roman"/>
                <w:snapToGrid w:val="0"/>
                <w:sz w:val="20"/>
                <w:szCs w:val="24"/>
              </w:rPr>
            </w:pPr>
            <w:r w:rsidRPr="003F4772">
              <w:rPr>
                <w:rFonts w:eastAsia="Times New Roman" w:cs="Times New Roman"/>
                <w:snapToGrid w:val="0"/>
                <w:sz w:val="20"/>
                <w:szCs w:val="24"/>
              </w:rPr>
              <w:t>0.086</w:t>
            </w:r>
          </w:p>
        </w:tc>
      </w:tr>
    </w:tbl>
    <w:p w14:paraId="5D38D368" w14:textId="77777777" w:rsidR="00FE0F6C" w:rsidRDefault="00FE0F6C" w:rsidP="0091793B">
      <w:pPr>
        <w:spacing w:line="360" w:lineRule="auto"/>
        <w:jc w:val="both"/>
        <w:rPr>
          <w:rFonts w:cs="Times New Roman"/>
          <w:szCs w:val="24"/>
        </w:rPr>
      </w:pPr>
      <w:r>
        <w:rPr>
          <w:rFonts w:cs="Times New Roman"/>
          <w:szCs w:val="24"/>
        </w:rPr>
        <w:lastRenderedPageBreak/>
        <w:t xml:space="preserve">Due to the neutronic </w:t>
      </w:r>
      <w:r w:rsidRPr="00D72C4B">
        <w:rPr>
          <w:rFonts w:cs="Times New Roman"/>
          <w:szCs w:val="24"/>
        </w:rPr>
        <w:t>penalties associated with</w:t>
      </w:r>
      <w:r>
        <w:rPr>
          <w:rFonts w:cs="Times New Roman"/>
          <w:szCs w:val="24"/>
        </w:rPr>
        <w:t xml:space="preserve"> the hi</w:t>
      </w:r>
      <w:r w:rsidR="001676C5">
        <w:rPr>
          <w:rFonts w:cs="Times New Roman"/>
          <w:szCs w:val="24"/>
        </w:rPr>
        <w:t>gher absorbing materials</w:t>
      </w:r>
      <w:r>
        <w:rPr>
          <w:rFonts w:cs="Times New Roman"/>
          <w:szCs w:val="24"/>
        </w:rPr>
        <w:t>,</w:t>
      </w:r>
      <w:r w:rsidRPr="00D72C4B">
        <w:rPr>
          <w:rFonts w:cs="Times New Roman"/>
          <w:szCs w:val="24"/>
        </w:rPr>
        <w:t xml:space="preserve"> a parametric study </w:t>
      </w:r>
      <w:r>
        <w:rPr>
          <w:rFonts w:cs="Times New Roman"/>
          <w:szCs w:val="24"/>
        </w:rPr>
        <w:t xml:space="preserve">was performed to </w:t>
      </w:r>
      <w:r w:rsidRPr="00D72C4B">
        <w:rPr>
          <w:rFonts w:cs="Times New Roman"/>
          <w:szCs w:val="24"/>
        </w:rPr>
        <w:t xml:space="preserve">determine the geometric conditions required to match cycle length requirements for each alternate cladding </w:t>
      </w:r>
      <w:r w:rsidR="001676C5">
        <w:rPr>
          <w:rFonts w:cs="Times New Roman"/>
          <w:szCs w:val="24"/>
        </w:rPr>
        <w:t>concept</w:t>
      </w:r>
      <w:r w:rsidRPr="00D72C4B">
        <w:rPr>
          <w:rFonts w:cs="Times New Roman"/>
          <w:szCs w:val="24"/>
        </w:rPr>
        <w:t xml:space="preserve"> in a PWR. Perturbations to the cladding thickness as well as enrichment of the UO</w:t>
      </w:r>
      <w:r w:rsidRPr="00D72C4B">
        <w:rPr>
          <w:rFonts w:cs="Times New Roman"/>
          <w:szCs w:val="24"/>
          <w:vertAlign w:val="subscript"/>
        </w:rPr>
        <w:t>2</w:t>
      </w:r>
      <w:r w:rsidRPr="00D72C4B">
        <w:rPr>
          <w:rFonts w:cs="Times New Roman"/>
          <w:szCs w:val="24"/>
        </w:rPr>
        <w:t xml:space="preserve"> fuel were investigated to increase the loading of fissile material in the </w:t>
      </w:r>
      <w:r w:rsidRPr="00F851A1">
        <w:rPr>
          <w:rFonts w:cs="Times New Roman"/>
          <w:szCs w:val="24"/>
        </w:rPr>
        <w:t>design.</w:t>
      </w:r>
      <w:r>
        <w:rPr>
          <w:rFonts w:cs="Times New Roman"/>
          <w:szCs w:val="24"/>
        </w:rPr>
        <w:t xml:space="preserve"> A similar reactivity model as mentioned in the FCM study was used once again </w:t>
      </w:r>
      <w:r w:rsidRPr="00F851A1">
        <w:rPr>
          <w:rFonts w:cs="Times New Roman"/>
          <w:szCs w:val="24"/>
        </w:rPr>
        <w:t xml:space="preserve">to compare each </w:t>
      </w:r>
      <w:r>
        <w:rPr>
          <w:rFonts w:cs="Times New Roman"/>
          <w:szCs w:val="24"/>
        </w:rPr>
        <w:t>alternate cladding geometry/material change</w:t>
      </w:r>
      <w:r w:rsidRPr="00F851A1">
        <w:rPr>
          <w:rFonts w:cs="Times New Roman"/>
          <w:szCs w:val="24"/>
        </w:rPr>
        <w:t xml:space="preserve"> to that of standard </w:t>
      </w:r>
      <w:r>
        <w:rPr>
          <w:rFonts w:cs="Times New Roman"/>
          <w:szCs w:val="24"/>
        </w:rPr>
        <w:t>Zircaloy</w:t>
      </w:r>
      <w:r w:rsidRPr="00F851A1">
        <w:rPr>
          <w:rFonts w:cs="Times New Roman"/>
          <w:szCs w:val="24"/>
        </w:rPr>
        <w:t>-4 cladding</w:t>
      </w:r>
      <w:r>
        <w:rPr>
          <w:rFonts w:cs="Times New Roman"/>
          <w:szCs w:val="24"/>
        </w:rPr>
        <w:t xml:space="preserve">. </w:t>
      </w:r>
      <w:r w:rsidRPr="00F851A1">
        <w:rPr>
          <w:rFonts w:cs="Times New Roman"/>
          <w:szCs w:val="24"/>
        </w:rPr>
        <w:t xml:space="preserve">This methodology in addition to the </w:t>
      </w:r>
      <w:r w:rsidRPr="00005FF3">
        <w:rPr>
          <w:rFonts w:cs="Times New Roman"/>
          <w:szCs w:val="24"/>
        </w:rPr>
        <w:t>specified input parameters associated with each cladding material will be discussed later in detail.</w:t>
      </w:r>
    </w:p>
    <w:p w14:paraId="681311BF" w14:textId="77777777" w:rsidR="0003299B" w:rsidRDefault="00FE0F6C" w:rsidP="0091793B">
      <w:pPr>
        <w:spacing w:line="360" w:lineRule="auto"/>
        <w:jc w:val="both"/>
        <w:rPr>
          <w:rFonts w:cs="Times New Roman"/>
          <w:szCs w:val="24"/>
        </w:rPr>
      </w:pPr>
      <w:r w:rsidRPr="00005FF3">
        <w:rPr>
          <w:rFonts w:cs="Times New Roman"/>
          <w:szCs w:val="24"/>
        </w:rPr>
        <w:t>In keeping with the safety standards of operational PWRs, it is imperative that each cladding materi</w:t>
      </w:r>
      <w:r>
        <w:rPr>
          <w:rFonts w:cs="Times New Roman"/>
          <w:szCs w:val="24"/>
        </w:rPr>
        <w:t>al maintain negative moderator</w:t>
      </w:r>
      <w:r w:rsidRPr="00005FF3">
        <w:rPr>
          <w:rFonts w:cs="Times New Roman"/>
          <w:szCs w:val="24"/>
        </w:rPr>
        <w:t xml:space="preserve"> </w:t>
      </w:r>
      <w:r>
        <w:rPr>
          <w:rFonts w:cs="Times New Roman"/>
          <w:szCs w:val="24"/>
        </w:rPr>
        <w:t>temperature and void coefficients</w:t>
      </w:r>
      <w:r w:rsidRPr="00005FF3">
        <w:rPr>
          <w:rFonts w:cs="Times New Roman"/>
          <w:szCs w:val="24"/>
        </w:rPr>
        <w:t xml:space="preserve">. </w:t>
      </w:r>
      <w:r>
        <w:rPr>
          <w:rFonts w:cs="Times New Roman"/>
          <w:szCs w:val="24"/>
        </w:rPr>
        <w:t>Therefore, the</w:t>
      </w:r>
      <w:r w:rsidRPr="00005FF3">
        <w:rPr>
          <w:rFonts w:cs="Times New Roman"/>
          <w:szCs w:val="24"/>
        </w:rPr>
        <w:t xml:space="preserve"> study analyzed </w:t>
      </w:r>
      <w:r w:rsidR="00D65CDA">
        <w:rPr>
          <w:rFonts w:cs="Times New Roman"/>
          <w:szCs w:val="24"/>
        </w:rPr>
        <w:t>moderator temperature coefficients (</w:t>
      </w:r>
      <w:r>
        <w:rPr>
          <w:rFonts w:cs="Times New Roman"/>
          <w:szCs w:val="24"/>
        </w:rPr>
        <w:t>MTC</w:t>
      </w:r>
      <w:r w:rsidR="00D65CDA">
        <w:rPr>
          <w:rFonts w:cs="Times New Roman"/>
          <w:szCs w:val="24"/>
        </w:rPr>
        <w:t>)</w:t>
      </w:r>
      <w:r>
        <w:rPr>
          <w:rFonts w:cs="Times New Roman"/>
          <w:szCs w:val="24"/>
        </w:rPr>
        <w:t xml:space="preserve"> </w:t>
      </w:r>
      <w:r w:rsidR="006224E8">
        <w:rPr>
          <w:rFonts w:cs="Times New Roman"/>
          <w:szCs w:val="24"/>
        </w:rPr>
        <w:t>and void fraction at BOL</w:t>
      </w:r>
      <w:r>
        <w:rPr>
          <w:rFonts w:cs="Times New Roman"/>
          <w:szCs w:val="24"/>
        </w:rPr>
        <w:t>, middle (MOL) and end of life (EOL).</w:t>
      </w:r>
      <w:r w:rsidRPr="00005FF3">
        <w:rPr>
          <w:rFonts w:cs="Times New Roman"/>
          <w:szCs w:val="24"/>
        </w:rPr>
        <w:t xml:space="preserve"> Due to the hardening of the neutron spectrum that was </w:t>
      </w:r>
      <w:r>
        <w:rPr>
          <w:rFonts w:cs="Times New Roman"/>
          <w:szCs w:val="24"/>
        </w:rPr>
        <w:t>discovered</w:t>
      </w:r>
      <w:r w:rsidRPr="00005FF3">
        <w:rPr>
          <w:rFonts w:cs="Times New Roman"/>
          <w:szCs w:val="24"/>
        </w:rPr>
        <w:t xml:space="preserve"> early on in the study</w:t>
      </w:r>
      <w:r>
        <w:rPr>
          <w:rFonts w:cs="Times New Roman"/>
          <w:szCs w:val="24"/>
        </w:rPr>
        <w:t xml:space="preserve"> when employing the iron-based alternate cladding materials</w:t>
      </w:r>
      <w:r w:rsidRPr="00005FF3">
        <w:rPr>
          <w:rFonts w:cs="Times New Roman"/>
          <w:szCs w:val="24"/>
        </w:rPr>
        <w:t xml:space="preserve">, plutonium inventory was </w:t>
      </w:r>
      <w:r>
        <w:rPr>
          <w:rFonts w:cs="Times New Roman"/>
          <w:szCs w:val="24"/>
        </w:rPr>
        <w:t xml:space="preserve">also </w:t>
      </w:r>
      <w:r w:rsidRPr="00005FF3">
        <w:rPr>
          <w:rFonts w:cs="Times New Roman"/>
          <w:szCs w:val="24"/>
        </w:rPr>
        <w:t xml:space="preserve">investigated for each cladding </w:t>
      </w:r>
      <w:r w:rsidR="00E95585">
        <w:rPr>
          <w:rFonts w:cs="Times New Roman"/>
          <w:szCs w:val="24"/>
        </w:rPr>
        <w:t>concept.</w:t>
      </w:r>
    </w:p>
    <w:p w14:paraId="3E9CCBD7" w14:textId="77777777" w:rsidR="0003299B" w:rsidRDefault="0003299B" w:rsidP="0091793B">
      <w:pPr>
        <w:spacing w:line="360" w:lineRule="auto"/>
        <w:jc w:val="both"/>
        <w:rPr>
          <w:rFonts w:cs="Times New Roman"/>
          <w:szCs w:val="24"/>
        </w:rPr>
      </w:pPr>
    </w:p>
    <w:p w14:paraId="2044CFD3" w14:textId="65AA850B" w:rsidR="00FE0F6C" w:rsidRDefault="00FE0F6C" w:rsidP="0091793B">
      <w:pPr>
        <w:spacing w:line="360" w:lineRule="auto"/>
        <w:jc w:val="both"/>
        <w:rPr>
          <w:rFonts w:cs="Times New Roman"/>
          <w:b/>
          <w:sz w:val="28"/>
          <w:szCs w:val="24"/>
        </w:rPr>
      </w:pPr>
      <w:proofErr w:type="gramStart"/>
      <w:r w:rsidRPr="002F6460">
        <w:rPr>
          <w:rFonts w:cs="Times New Roman"/>
          <w:b/>
          <w:sz w:val="28"/>
          <w:szCs w:val="24"/>
        </w:rPr>
        <w:t>I.</w:t>
      </w:r>
      <w:r w:rsidR="001701D9">
        <w:rPr>
          <w:rFonts w:cs="Times New Roman"/>
          <w:b/>
          <w:sz w:val="28"/>
          <w:szCs w:val="24"/>
        </w:rPr>
        <w:t>C</w:t>
      </w:r>
      <w:r w:rsidRPr="002F6460">
        <w:rPr>
          <w:rFonts w:cs="Times New Roman"/>
          <w:b/>
          <w:sz w:val="28"/>
          <w:szCs w:val="24"/>
        </w:rPr>
        <w:t>.</w:t>
      </w:r>
      <w:proofErr w:type="gramEnd"/>
      <w:r w:rsidRPr="002F6460">
        <w:rPr>
          <w:rFonts w:cs="Times New Roman"/>
          <w:b/>
          <w:sz w:val="28"/>
          <w:szCs w:val="24"/>
        </w:rPr>
        <w:t xml:space="preserve"> </w:t>
      </w:r>
      <w:r w:rsidRPr="002F6460">
        <w:rPr>
          <w:rFonts w:cs="Times New Roman"/>
          <w:b/>
          <w:sz w:val="28"/>
          <w:szCs w:val="24"/>
        </w:rPr>
        <w:tab/>
      </w:r>
      <w:r w:rsidR="001D553C">
        <w:rPr>
          <w:rFonts w:cs="Times New Roman"/>
          <w:b/>
          <w:sz w:val="28"/>
          <w:szCs w:val="24"/>
        </w:rPr>
        <w:tab/>
      </w:r>
      <w:r w:rsidRPr="002F6460">
        <w:rPr>
          <w:rFonts w:cs="Times New Roman"/>
          <w:b/>
          <w:sz w:val="28"/>
          <w:szCs w:val="24"/>
        </w:rPr>
        <w:t>Alternate Cladding Concepts in BWRs</w:t>
      </w:r>
    </w:p>
    <w:p w14:paraId="0AE58788" w14:textId="5A274FAA" w:rsidR="00FE0F6C" w:rsidRDefault="00FE0F6C" w:rsidP="0091793B">
      <w:pPr>
        <w:spacing w:line="360" w:lineRule="auto"/>
        <w:jc w:val="both"/>
        <w:rPr>
          <w:rFonts w:cs="Times New Roman"/>
          <w:szCs w:val="24"/>
        </w:rPr>
      </w:pPr>
      <w:r>
        <w:rPr>
          <w:rFonts w:cs="Times New Roman"/>
          <w:szCs w:val="24"/>
        </w:rPr>
        <w:t xml:space="preserve">Considering the high amount of steam present, the necessity for less oxidizing safety systems in BWRs is even greater than PWRs. Work has been done recently at </w:t>
      </w:r>
      <w:r w:rsidR="00506B4A">
        <w:rPr>
          <w:rFonts w:cs="Times New Roman"/>
          <w:szCs w:val="24"/>
        </w:rPr>
        <w:t>Oak Ridge National Laboratory (</w:t>
      </w:r>
      <w:r>
        <w:rPr>
          <w:rFonts w:cs="Times New Roman"/>
          <w:szCs w:val="24"/>
        </w:rPr>
        <w:t>ORNL</w:t>
      </w:r>
      <w:r w:rsidR="00506B4A">
        <w:rPr>
          <w:rFonts w:cs="Times New Roman"/>
          <w:szCs w:val="24"/>
        </w:rPr>
        <w:t>)</w:t>
      </w:r>
      <w:r>
        <w:rPr>
          <w:rFonts w:cs="Times New Roman"/>
          <w:szCs w:val="24"/>
        </w:rPr>
        <w:t xml:space="preserve"> investigating the implementation of alternate fuel cladding in BWR systems. </w:t>
      </w:r>
      <w:r w:rsidR="0021358A">
        <w:rPr>
          <w:rFonts w:cs="Times New Roman"/>
          <w:szCs w:val="24"/>
        </w:rPr>
        <w:t xml:space="preserve">Iron-based/SiC cladding reacts with steam to produce free hydrogen at a much slower rate than Zircaloy. Use of these cladding materials would have mitigated hydrogen production during the accident at Fukushima Daiichi and may have prevented the explosions that ruined the reactor building and released radioactive material. However even iron-based/SiC cladding materials would likely have been unable to prevent core melting at such accident conditions. </w:t>
      </w:r>
      <w:r w:rsidR="00B75E89">
        <w:rPr>
          <w:rFonts w:cs="Times New Roman"/>
          <w:szCs w:val="24"/>
        </w:rPr>
        <w:t>This dissertation develops</w:t>
      </w:r>
      <w:r>
        <w:rPr>
          <w:rFonts w:cs="Times New Roman"/>
          <w:szCs w:val="24"/>
        </w:rPr>
        <w:t xml:space="preserve"> the lattice physics simulation of advanced </w:t>
      </w:r>
      <w:r w:rsidR="00B75E89">
        <w:rPr>
          <w:rFonts w:cs="Times New Roman"/>
          <w:szCs w:val="24"/>
        </w:rPr>
        <w:t xml:space="preserve">ATF </w:t>
      </w:r>
      <w:r>
        <w:rPr>
          <w:rFonts w:cs="Times New Roman"/>
          <w:szCs w:val="24"/>
        </w:rPr>
        <w:t>BWR fuel bundles leading up to full-core modeling</w:t>
      </w:r>
      <w:r w:rsidR="001676C5">
        <w:rPr>
          <w:rFonts w:cs="Times New Roman"/>
          <w:szCs w:val="24"/>
        </w:rPr>
        <w:t xml:space="preserve"> and optimization</w:t>
      </w:r>
      <w:r>
        <w:rPr>
          <w:rFonts w:cs="Times New Roman"/>
          <w:szCs w:val="24"/>
        </w:rPr>
        <w:t xml:space="preserve"> with the nodal diffusion code NESTLE. </w:t>
      </w:r>
      <w:r w:rsidRPr="00DC064D">
        <w:rPr>
          <w:rFonts w:cs="Times New Roman"/>
          <w:color w:val="FF0000"/>
          <w:szCs w:val="24"/>
        </w:rPr>
        <w:t xml:space="preserve"> </w:t>
      </w:r>
    </w:p>
    <w:p w14:paraId="228D1086" w14:textId="5F877390" w:rsidR="00FE0F6C" w:rsidRDefault="00FE0F6C" w:rsidP="0091793B">
      <w:pPr>
        <w:spacing w:line="360" w:lineRule="auto"/>
        <w:jc w:val="both"/>
        <w:rPr>
          <w:rFonts w:cs="Times New Roman"/>
          <w:szCs w:val="24"/>
        </w:rPr>
      </w:pPr>
      <w:r>
        <w:rPr>
          <w:rFonts w:cs="Times New Roman"/>
          <w:szCs w:val="24"/>
        </w:rPr>
        <w:lastRenderedPageBreak/>
        <w:t>It was considered early on that the cladding geometry alterations and enrichment levels required for 310SS, 304SS and APMT</w:t>
      </w:r>
      <w:r w:rsidRPr="00CD6077">
        <w:rPr>
          <w:rFonts w:cs="Times New Roman"/>
          <w:szCs w:val="24"/>
          <w:vertAlign w:val="superscript"/>
        </w:rPr>
        <w:t>TM</w:t>
      </w:r>
      <w:r>
        <w:rPr>
          <w:rFonts w:cs="Times New Roman"/>
          <w:szCs w:val="24"/>
        </w:rPr>
        <w:t xml:space="preserve"> to meet lifetime requirements of </w:t>
      </w:r>
      <w:r w:rsidR="001676C5">
        <w:rPr>
          <w:rFonts w:cs="Times New Roman"/>
          <w:szCs w:val="24"/>
        </w:rPr>
        <w:t>Zircaloy</w:t>
      </w:r>
      <w:r>
        <w:rPr>
          <w:rFonts w:cs="Times New Roman"/>
          <w:szCs w:val="24"/>
        </w:rPr>
        <w:t xml:space="preserve"> fuel were prohibitively high for commercialization. This is due to the higher neutron absorbing elements within these alloys; which in turn produce large neutronic penalties under normal operating conditions. Because of this, FeCrAl and SiC </w:t>
      </w:r>
      <w:r w:rsidR="00DE69D0">
        <w:rPr>
          <w:rFonts w:cs="Times New Roman"/>
          <w:szCs w:val="24"/>
        </w:rPr>
        <w:t xml:space="preserve">were </w:t>
      </w:r>
      <w:r>
        <w:rPr>
          <w:rFonts w:cs="Times New Roman"/>
          <w:szCs w:val="24"/>
        </w:rPr>
        <w:t xml:space="preserve">of primary interest when modeling alternate cladding concepts in BWRs. </w:t>
      </w:r>
      <w:r w:rsidR="009154E3">
        <w:rPr>
          <w:rFonts w:cs="Times New Roman"/>
          <w:szCs w:val="24"/>
        </w:rPr>
        <w:t xml:space="preserve">The </w:t>
      </w:r>
      <w:r w:rsidR="00080D61">
        <w:rPr>
          <w:rFonts w:cs="Times New Roman"/>
          <w:szCs w:val="24"/>
        </w:rPr>
        <w:t xml:space="preserve">majority of fuel bundles modeled </w:t>
      </w:r>
      <w:r w:rsidR="0022658F">
        <w:rPr>
          <w:rFonts w:cs="Times New Roman"/>
          <w:szCs w:val="24"/>
        </w:rPr>
        <w:t>consisted</w:t>
      </w:r>
      <w:r w:rsidR="00080D61">
        <w:rPr>
          <w:rFonts w:cs="Times New Roman"/>
          <w:szCs w:val="24"/>
        </w:rPr>
        <w:t xml:space="preserve"> of FeCrAl cladding and </w:t>
      </w:r>
      <w:r w:rsidR="00F155F8" w:rsidRPr="00F155F8">
        <w:rPr>
          <w:rFonts w:cs="Times New Roman"/>
          <w:szCs w:val="24"/>
        </w:rPr>
        <w:t>channel box</w:t>
      </w:r>
      <w:r w:rsidR="00080D61">
        <w:rPr>
          <w:rFonts w:cs="Times New Roman"/>
          <w:szCs w:val="24"/>
        </w:rPr>
        <w:t xml:space="preserve">. </w:t>
      </w:r>
      <w:r w:rsidR="000B1DFA">
        <w:rPr>
          <w:rFonts w:cs="Times New Roman"/>
          <w:szCs w:val="24"/>
        </w:rPr>
        <w:t>Despite various</w:t>
      </w:r>
      <w:r w:rsidR="009154E3">
        <w:rPr>
          <w:rFonts w:cs="Times New Roman"/>
          <w:szCs w:val="24"/>
        </w:rPr>
        <w:t xml:space="preserve"> manufacturing concerns with SiC cladding</w:t>
      </w:r>
      <w:r w:rsidR="000B1DFA">
        <w:rPr>
          <w:rFonts w:cs="Times New Roman"/>
          <w:szCs w:val="24"/>
        </w:rPr>
        <w:t xml:space="preserve">, the material remains a strong candidate for the </w:t>
      </w:r>
      <w:r w:rsidR="00F155F8" w:rsidRPr="00F155F8">
        <w:rPr>
          <w:rFonts w:cs="Times New Roman"/>
          <w:szCs w:val="24"/>
        </w:rPr>
        <w:t>channel box</w:t>
      </w:r>
      <w:r w:rsidR="000B1DFA">
        <w:rPr>
          <w:rFonts w:cs="Times New Roman"/>
          <w:szCs w:val="24"/>
        </w:rPr>
        <w:t>. Therefore</w:t>
      </w:r>
      <w:r w:rsidR="009154E3">
        <w:rPr>
          <w:rFonts w:cs="Times New Roman"/>
          <w:szCs w:val="24"/>
        </w:rPr>
        <w:t xml:space="preserve"> a side study was performed with FeCrAl cl</w:t>
      </w:r>
      <w:r w:rsidR="000B1DFA">
        <w:rPr>
          <w:rFonts w:cs="Times New Roman"/>
          <w:szCs w:val="24"/>
        </w:rPr>
        <w:t>adding in combination with a SiC</w:t>
      </w:r>
      <w:r w:rsidR="00DE69D0">
        <w:rPr>
          <w:rFonts w:cs="Times New Roman"/>
          <w:szCs w:val="24"/>
        </w:rPr>
        <w:t xml:space="preserve"> channel box</w:t>
      </w:r>
      <w:r w:rsidR="009154E3">
        <w:rPr>
          <w:rFonts w:cs="Times New Roman"/>
          <w:szCs w:val="24"/>
        </w:rPr>
        <w:t>. To improve the resistance to water corrosion</w:t>
      </w:r>
      <w:r w:rsidR="00080D61">
        <w:rPr>
          <w:rFonts w:cs="Times New Roman"/>
          <w:szCs w:val="24"/>
        </w:rPr>
        <w:t>, t</w:t>
      </w:r>
      <w:r w:rsidR="00A258D0">
        <w:rPr>
          <w:rFonts w:cs="Times New Roman"/>
          <w:szCs w:val="24"/>
        </w:rPr>
        <w:t xml:space="preserve">he SiC was layered with </w:t>
      </w:r>
      <w:r w:rsidR="00080D61">
        <w:rPr>
          <w:rFonts w:cs="Times New Roman"/>
          <w:szCs w:val="24"/>
        </w:rPr>
        <w:t>Ni and Cr</w:t>
      </w:r>
      <w:r w:rsidR="009154E3">
        <w:rPr>
          <w:rFonts w:cs="Times New Roman"/>
          <w:szCs w:val="24"/>
        </w:rPr>
        <w:t xml:space="preserve">. </w:t>
      </w:r>
    </w:p>
    <w:p w14:paraId="18BFAD4A" w14:textId="709819E3" w:rsidR="00FE0F6C" w:rsidRDefault="00FE0F6C" w:rsidP="0091793B">
      <w:pPr>
        <w:spacing w:line="360" w:lineRule="auto"/>
        <w:jc w:val="both"/>
        <w:rPr>
          <w:rFonts w:cs="Times New Roman"/>
          <w:szCs w:val="24"/>
        </w:rPr>
      </w:pPr>
      <w:r>
        <w:rPr>
          <w:rFonts w:cs="Times New Roman"/>
          <w:szCs w:val="24"/>
        </w:rPr>
        <w:t xml:space="preserve">In order to check the validity of each design on a material basis, the fuel performance of the alternate cladding was analyzed. Although a design might be considered neutronically optimized (with a given cladding material, enrichment and geometric specification), if the combination of materials involved are prone to failure during normal or accident scenarios, then the optimization process must be re-evaluated. </w:t>
      </w:r>
      <w:r w:rsidR="00E709A2">
        <w:rPr>
          <w:rFonts w:cs="Times New Roman"/>
          <w:szCs w:val="24"/>
        </w:rPr>
        <w:t>Therefore, r</w:t>
      </w:r>
      <w:r>
        <w:rPr>
          <w:rFonts w:cs="Times New Roman"/>
          <w:szCs w:val="24"/>
        </w:rPr>
        <w:t xml:space="preserve">esults from the fuel performance code, </w:t>
      </w:r>
      <w:r w:rsidR="00007C03">
        <w:rPr>
          <w:rFonts w:cs="Times New Roman"/>
          <w:szCs w:val="24"/>
        </w:rPr>
        <w:t>BISON-CASL</w:t>
      </w:r>
      <w:r>
        <w:rPr>
          <w:rFonts w:cs="Times New Roman"/>
          <w:szCs w:val="24"/>
        </w:rPr>
        <w:t xml:space="preserve"> will prove to be an added validation tool in analyzing the alternate cladding material. </w:t>
      </w:r>
    </w:p>
    <w:p w14:paraId="0C67A3BD" w14:textId="4C5C93D2" w:rsidR="00FE0F6C" w:rsidRDefault="00FE0F6C" w:rsidP="0091793B">
      <w:pPr>
        <w:spacing w:line="360" w:lineRule="auto"/>
        <w:jc w:val="both"/>
        <w:rPr>
          <w:rFonts w:cs="Times New Roman"/>
          <w:szCs w:val="24"/>
        </w:rPr>
      </w:pPr>
      <w:r>
        <w:rPr>
          <w:rFonts w:cs="Times New Roman"/>
          <w:szCs w:val="24"/>
        </w:rPr>
        <w:t xml:space="preserve">Modeling an entire reactor requires many steps leading up to the full-core model. The following flow chart describes the progression of simulations throughout the BWR analysis. Each process </w:t>
      </w:r>
      <w:r w:rsidR="00F06275">
        <w:rPr>
          <w:rFonts w:cs="Times New Roman"/>
          <w:szCs w:val="24"/>
        </w:rPr>
        <w:t xml:space="preserve">performed along with the respective modeling shown </w:t>
      </w:r>
      <w:r w:rsidR="009120DE">
        <w:rPr>
          <w:rFonts w:cs="Times New Roman"/>
          <w:szCs w:val="24"/>
        </w:rPr>
        <w:t>in Figure 1</w:t>
      </w:r>
      <w:r w:rsidR="00F06275">
        <w:rPr>
          <w:rFonts w:cs="Times New Roman"/>
          <w:szCs w:val="24"/>
        </w:rPr>
        <w:t xml:space="preserve"> </w:t>
      </w:r>
      <w:r>
        <w:rPr>
          <w:rFonts w:cs="Times New Roman"/>
          <w:szCs w:val="24"/>
        </w:rPr>
        <w:t>will be described in de</w:t>
      </w:r>
      <w:r w:rsidR="00F06275">
        <w:rPr>
          <w:rFonts w:cs="Times New Roman"/>
          <w:szCs w:val="24"/>
        </w:rPr>
        <w:t>tail in the methodology section.</w:t>
      </w:r>
    </w:p>
    <w:p w14:paraId="57899FFF" w14:textId="068C9131" w:rsidR="00E9251E" w:rsidRDefault="00E9251E" w:rsidP="00E9251E">
      <w:pPr>
        <w:spacing w:line="360" w:lineRule="auto"/>
        <w:jc w:val="both"/>
        <w:rPr>
          <w:rFonts w:cs="Times New Roman"/>
          <w:szCs w:val="24"/>
        </w:rPr>
      </w:pPr>
      <w:r>
        <w:rPr>
          <w:rFonts w:cs="Times New Roman"/>
          <w:szCs w:val="24"/>
        </w:rPr>
        <w:t xml:space="preserve">In accordance with Figure 1, lattice physics calculations were run first in order to obtain few-group cross-sections. Those cross-sections were then </w:t>
      </w:r>
      <w:r w:rsidR="00E709A2">
        <w:rPr>
          <w:rFonts w:cs="Times New Roman"/>
          <w:szCs w:val="24"/>
        </w:rPr>
        <w:t xml:space="preserve">post-processed </w:t>
      </w:r>
      <w:r>
        <w:rPr>
          <w:rFonts w:cs="Times New Roman"/>
          <w:szCs w:val="24"/>
        </w:rPr>
        <w:t xml:space="preserve">in a way that the </w:t>
      </w:r>
      <w:r w:rsidR="00E709A2">
        <w:rPr>
          <w:rFonts w:cs="Times New Roman"/>
          <w:szCs w:val="24"/>
        </w:rPr>
        <w:t xml:space="preserve">nodal </w:t>
      </w:r>
      <w:r>
        <w:rPr>
          <w:rFonts w:cs="Times New Roman"/>
          <w:szCs w:val="24"/>
        </w:rPr>
        <w:t xml:space="preserve">diffusion </w:t>
      </w:r>
      <w:r w:rsidR="00E709A2">
        <w:rPr>
          <w:rFonts w:cs="Times New Roman"/>
          <w:szCs w:val="24"/>
        </w:rPr>
        <w:t>simulator</w:t>
      </w:r>
      <w:r>
        <w:rPr>
          <w:rFonts w:cs="Times New Roman"/>
          <w:szCs w:val="24"/>
        </w:rPr>
        <w:t xml:space="preserve"> can interpret them. After the full-core model was established, optimization of the </w:t>
      </w:r>
      <w:r w:rsidR="00E709A2">
        <w:rPr>
          <w:rFonts w:cs="Times New Roman"/>
          <w:szCs w:val="24"/>
        </w:rPr>
        <w:t xml:space="preserve">core loading </w:t>
      </w:r>
      <w:r>
        <w:rPr>
          <w:rFonts w:cs="Times New Roman"/>
          <w:szCs w:val="24"/>
        </w:rPr>
        <w:t xml:space="preserve">and CB patterns was performed to maximize cycle length and reduce power peaking all while maintaining criticality. Lastly, once the limiting fuel cells and bundles were established by the lattice physics and full-core models, the fuel performance of the limiting fuel rod was analyzed. </w:t>
      </w:r>
    </w:p>
    <w:p w14:paraId="6F847C4A" w14:textId="77777777" w:rsidR="00C82BE9" w:rsidRDefault="00C82BE9" w:rsidP="0091793B">
      <w:pPr>
        <w:spacing w:line="360" w:lineRule="auto"/>
        <w:jc w:val="both"/>
        <w:rPr>
          <w:rFonts w:cs="Times New Roman"/>
          <w:szCs w:val="24"/>
        </w:rPr>
      </w:pPr>
    </w:p>
    <w:p w14:paraId="6BD2CD8F" w14:textId="41870D05" w:rsidR="00FE0F6C" w:rsidRDefault="00C82BE9" w:rsidP="00C82BE9">
      <w:pPr>
        <w:spacing w:line="360" w:lineRule="auto"/>
        <w:rPr>
          <w:rFonts w:cs="Times New Roman"/>
          <w:szCs w:val="24"/>
        </w:rPr>
      </w:pPr>
      <w:r>
        <w:rPr>
          <w:rFonts w:cs="Times New Roman"/>
          <w:noProof/>
          <w:szCs w:val="24"/>
        </w:rPr>
        <w:lastRenderedPageBreak/>
        <w:drawing>
          <wp:inline distT="0" distB="0" distL="0" distR="0" wp14:anchorId="41D899E6" wp14:editId="47DECD70">
            <wp:extent cx="5462649" cy="2382419"/>
            <wp:effectExtent l="0" t="0" r="5080" b="0"/>
            <wp:docPr id="7169" name="Picture 71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468355" cy="2384908"/>
                    </a:xfrm>
                    <a:prstGeom prst="rect">
                      <a:avLst/>
                    </a:prstGeom>
                    <a:noFill/>
                  </pic:spPr>
                </pic:pic>
              </a:graphicData>
            </a:graphic>
          </wp:inline>
        </w:drawing>
      </w:r>
    </w:p>
    <w:p w14:paraId="1124DD90" w14:textId="77777777" w:rsidR="00FE0F6C" w:rsidRDefault="00FE0F6C" w:rsidP="0091793B">
      <w:pPr>
        <w:spacing w:line="360" w:lineRule="auto"/>
        <w:contextualSpacing/>
      </w:pPr>
      <w:bookmarkStart w:id="3" w:name="_Toc416993440"/>
      <w:r>
        <w:t xml:space="preserve">Figure </w:t>
      </w:r>
      <w:fldSimple w:instr=" SEQ Figure \* ARABIC ">
        <w:r w:rsidR="00F3244B">
          <w:rPr>
            <w:noProof/>
          </w:rPr>
          <w:t>1</w:t>
        </w:r>
      </w:fldSimple>
      <w:r>
        <w:t xml:space="preserve">: </w:t>
      </w:r>
      <w:r w:rsidRPr="008E6F87">
        <w:t>Progression of BWR Analysis</w:t>
      </w:r>
      <w:bookmarkEnd w:id="3"/>
    </w:p>
    <w:p w14:paraId="4BB65782" w14:textId="77777777" w:rsidR="00FE0F6C" w:rsidRDefault="00FE0F6C" w:rsidP="0091793B">
      <w:pPr>
        <w:spacing w:line="360" w:lineRule="auto"/>
        <w:jc w:val="both"/>
        <w:rPr>
          <w:rFonts w:cs="Times New Roman"/>
          <w:szCs w:val="24"/>
        </w:rPr>
      </w:pPr>
    </w:p>
    <w:p w14:paraId="2D47FB75" w14:textId="77777777" w:rsidR="00F06275" w:rsidRDefault="00F06275" w:rsidP="0091793B">
      <w:pPr>
        <w:spacing w:line="360" w:lineRule="auto"/>
        <w:jc w:val="both"/>
        <w:rPr>
          <w:rFonts w:cs="Times New Roman"/>
          <w:szCs w:val="24"/>
        </w:rPr>
      </w:pPr>
    </w:p>
    <w:p w14:paraId="3D867A31" w14:textId="77777777" w:rsidR="00F06275" w:rsidRDefault="00F06275" w:rsidP="0091793B">
      <w:pPr>
        <w:spacing w:line="360" w:lineRule="auto"/>
        <w:jc w:val="both"/>
        <w:rPr>
          <w:rFonts w:cs="Times New Roman"/>
          <w:szCs w:val="24"/>
        </w:rPr>
      </w:pPr>
    </w:p>
    <w:p w14:paraId="6B0A769A" w14:textId="77777777" w:rsidR="00F06275" w:rsidRDefault="00F06275" w:rsidP="0091793B">
      <w:pPr>
        <w:spacing w:line="360" w:lineRule="auto"/>
        <w:jc w:val="both"/>
        <w:rPr>
          <w:rFonts w:cs="Times New Roman"/>
          <w:szCs w:val="24"/>
        </w:rPr>
      </w:pPr>
    </w:p>
    <w:p w14:paraId="0B74D2C2" w14:textId="77777777" w:rsidR="00F06275" w:rsidRDefault="00F06275" w:rsidP="0091793B">
      <w:pPr>
        <w:spacing w:line="360" w:lineRule="auto"/>
        <w:jc w:val="both"/>
        <w:rPr>
          <w:rFonts w:cs="Times New Roman"/>
          <w:szCs w:val="24"/>
        </w:rPr>
      </w:pPr>
    </w:p>
    <w:p w14:paraId="1BC603AB" w14:textId="77777777" w:rsidR="00A258D0" w:rsidRDefault="00A258D0" w:rsidP="0091793B">
      <w:pPr>
        <w:spacing w:line="360" w:lineRule="auto"/>
        <w:jc w:val="both"/>
        <w:rPr>
          <w:rFonts w:cs="Times New Roman"/>
          <w:szCs w:val="24"/>
        </w:rPr>
      </w:pPr>
    </w:p>
    <w:p w14:paraId="16876A86" w14:textId="77777777" w:rsidR="00A258D0" w:rsidRDefault="00A258D0" w:rsidP="0091793B">
      <w:pPr>
        <w:spacing w:line="360" w:lineRule="auto"/>
        <w:jc w:val="both"/>
        <w:rPr>
          <w:rFonts w:cs="Times New Roman"/>
          <w:szCs w:val="24"/>
        </w:rPr>
      </w:pPr>
    </w:p>
    <w:p w14:paraId="55CBE1A3" w14:textId="77777777" w:rsidR="00E9251E" w:rsidRDefault="00E9251E" w:rsidP="0091793B">
      <w:pPr>
        <w:spacing w:line="360" w:lineRule="auto"/>
        <w:jc w:val="both"/>
        <w:rPr>
          <w:rFonts w:cs="Times New Roman"/>
          <w:szCs w:val="24"/>
        </w:rPr>
      </w:pPr>
    </w:p>
    <w:p w14:paraId="099C088E" w14:textId="77777777" w:rsidR="00E9251E" w:rsidRDefault="00E9251E" w:rsidP="0091793B">
      <w:pPr>
        <w:spacing w:line="360" w:lineRule="auto"/>
        <w:jc w:val="both"/>
        <w:rPr>
          <w:rFonts w:cs="Times New Roman"/>
          <w:szCs w:val="24"/>
        </w:rPr>
      </w:pPr>
    </w:p>
    <w:p w14:paraId="4200D700" w14:textId="77777777" w:rsidR="00E9251E" w:rsidRDefault="00E9251E" w:rsidP="0091793B">
      <w:pPr>
        <w:spacing w:line="360" w:lineRule="auto"/>
        <w:jc w:val="both"/>
        <w:rPr>
          <w:rFonts w:cs="Times New Roman"/>
          <w:szCs w:val="24"/>
        </w:rPr>
      </w:pPr>
    </w:p>
    <w:p w14:paraId="3544E34F" w14:textId="77777777" w:rsidR="00E9251E" w:rsidRDefault="00E9251E" w:rsidP="0091793B">
      <w:pPr>
        <w:spacing w:line="360" w:lineRule="auto"/>
        <w:jc w:val="both"/>
        <w:rPr>
          <w:rFonts w:cs="Times New Roman"/>
          <w:szCs w:val="24"/>
        </w:rPr>
      </w:pPr>
    </w:p>
    <w:p w14:paraId="2ED10C0A" w14:textId="77777777" w:rsidR="00E9251E" w:rsidRDefault="00E9251E" w:rsidP="0091793B">
      <w:pPr>
        <w:spacing w:line="360" w:lineRule="auto"/>
        <w:jc w:val="both"/>
        <w:rPr>
          <w:rFonts w:cs="Times New Roman"/>
          <w:szCs w:val="24"/>
        </w:rPr>
      </w:pPr>
    </w:p>
    <w:p w14:paraId="640E6162" w14:textId="77777777" w:rsidR="00E95585" w:rsidRDefault="00E95585" w:rsidP="0091793B">
      <w:pPr>
        <w:spacing w:line="360" w:lineRule="auto"/>
        <w:jc w:val="both"/>
        <w:rPr>
          <w:rFonts w:cs="Times New Roman"/>
          <w:szCs w:val="24"/>
        </w:rPr>
      </w:pPr>
    </w:p>
    <w:p w14:paraId="0D4BBD30" w14:textId="77777777" w:rsidR="00904996" w:rsidRPr="00930141" w:rsidRDefault="00B42EF8" w:rsidP="0091793B">
      <w:pPr>
        <w:spacing w:line="360" w:lineRule="auto"/>
        <w:jc w:val="both"/>
        <w:rPr>
          <w:rFonts w:cs="Times New Roman"/>
          <w:b/>
          <w:sz w:val="32"/>
        </w:rPr>
      </w:pPr>
      <w:r>
        <w:rPr>
          <w:rFonts w:cs="Times New Roman"/>
          <w:b/>
          <w:sz w:val="32"/>
        </w:rPr>
        <w:lastRenderedPageBreak/>
        <w:t>I</w:t>
      </w:r>
      <w:r w:rsidR="00EB013A">
        <w:rPr>
          <w:rFonts w:cs="Times New Roman"/>
          <w:b/>
          <w:sz w:val="32"/>
        </w:rPr>
        <w:t xml:space="preserve">I. </w:t>
      </w:r>
      <w:r w:rsidR="00733F30">
        <w:rPr>
          <w:rFonts w:cs="Times New Roman"/>
          <w:b/>
          <w:sz w:val="32"/>
        </w:rPr>
        <w:tab/>
      </w:r>
      <w:r w:rsidR="00733F30">
        <w:rPr>
          <w:rFonts w:cs="Times New Roman"/>
          <w:b/>
          <w:sz w:val="32"/>
        </w:rPr>
        <w:tab/>
      </w:r>
      <w:r w:rsidR="00904996" w:rsidRPr="00930141">
        <w:rPr>
          <w:rFonts w:cs="Times New Roman"/>
          <w:b/>
          <w:sz w:val="32"/>
        </w:rPr>
        <w:t>LITERATURE REVIEW</w:t>
      </w:r>
    </w:p>
    <w:p w14:paraId="2DA59CD3" w14:textId="77777777" w:rsidR="00966579" w:rsidRPr="00930141" w:rsidRDefault="00EB013A" w:rsidP="0091793B">
      <w:pPr>
        <w:spacing w:line="360" w:lineRule="auto"/>
        <w:jc w:val="both"/>
        <w:rPr>
          <w:rFonts w:cs="Times New Roman"/>
          <w:b/>
          <w:sz w:val="28"/>
        </w:rPr>
      </w:pPr>
      <w:r>
        <w:rPr>
          <w:rFonts w:cs="Times New Roman"/>
          <w:b/>
          <w:sz w:val="28"/>
        </w:rPr>
        <w:t>II</w:t>
      </w:r>
      <w:r w:rsidR="00930141" w:rsidRPr="00930141">
        <w:rPr>
          <w:rFonts w:cs="Times New Roman"/>
          <w:b/>
          <w:sz w:val="28"/>
        </w:rPr>
        <w:t>.</w:t>
      </w:r>
      <w:r w:rsidR="00317220">
        <w:rPr>
          <w:rFonts w:cs="Times New Roman"/>
          <w:b/>
          <w:sz w:val="28"/>
        </w:rPr>
        <w:t>A</w:t>
      </w:r>
      <w:r w:rsidR="00930141" w:rsidRPr="00930141">
        <w:rPr>
          <w:rFonts w:cs="Times New Roman"/>
          <w:b/>
          <w:sz w:val="28"/>
        </w:rPr>
        <w:t>.</w:t>
      </w:r>
      <w:r w:rsidR="00317220">
        <w:rPr>
          <w:rFonts w:cs="Times New Roman"/>
          <w:b/>
          <w:sz w:val="28"/>
        </w:rPr>
        <w:tab/>
      </w:r>
      <w:r w:rsidR="00317220">
        <w:rPr>
          <w:rFonts w:cs="Times New Roman"/>
          <w:b/>
          <w:sz w:val="28"/>
        </w:rPr>
        <w:tab/>
      </w:r>
      <w:r w:rsidR="0055332F" w:rsidRPr="00930141">
        <w:rPr>
          <w:rFonts w:cs="Times New Roman"/>
          <w:b/>
          <w:sz w:val="28"/>
        </w:rPr>
        <w:t>History of Cladding in Light Water Reactors</w:t>
      </w:r>
    </w:p>
    <w:p w14:paraId="457E21F2" w14:textId="068072AD" w:rsidR="00D7135A" w:rsidRPr="00930141" w:rsidRDefault="002050B6" w:rsidP="0091793B">
      <w:pPr>
        <w:spacing w:line="360" w:lineRule="auto"/>
        <w:jc w:val="both"/>
        <w:rPr>
          <w:rStyle w:val="apple-converted-space"/>
          <w:rFonts w:cs="Times New Roman"/>
          <w:color w:val="252525"/>
        </w:rPr>
      </w:pPr>
      <w:r w:rsidRPr="00930141">
        <w:rPr>
          <w:rFonts w:cs="Times New Roman"/>
        </w:rPr>
        <w:t xml:space="preserve">The United States has produced clean nuclear energy since the first power plant went </w:t>
      </w:r>
      <w:r w:rsidR="00D2484D">
        <w:rPr>
          <w:rFonts w:cs="Times New Roman"/>
        </w:rPr>
        <w:t>critical</w:t>
      </w:r>
      <w:r w:rsidRPr="00930141">
        <w:rPr>
          <w:rFonts w:cs="Times New Roman"/>
        </w:rPr>
        <w:t xml:space="preserve"> </w:t>
      </w:r>
      <w:r w:rsidRPr="00DB5EBF">
        <w:rPr>
          <w:rFonts w:cs="Times New Roman"/>
        </w:rPr>
        <w:t>in Shippingport, PA in 195</w:t>
      </w:r>
      <w:r w:rsidR="00046F32" w:rsidRPr="00DB5EBF">
        <w:rPr>
          <w:rFonts w:cs="Times New Roman"/>
        </w:rPr>
        <w:t>7</w:t>
      </w:r>
      <w:r w:rsidR="00E9175B">
        <w:rPr>
          <w:rFonts w:cs="Times New Roman"/>
        </w:rPr>
        <w:t xml:space="preserve"> </w:t>
      </w:r>
      <w:r w:rsidR="007B7031" w:rsidRPr="00DB5EBF">
        <w:rPr>
          <w:rFonts w:cs="Times New Roman"/>
        </w:rPr>
        <w:fldChar w:fldCharType="begin"/>
      </w:r>
      <w:r w:rsidR="007B7031" w:rsidRPr="00DB5EBF">
        <w:rPr>
          <w:rFonts w:cs="Times New Roman"/>
        </w:rPr>
        <w:instrText xml:space="preserve"> ADDIN EN.CITE &lt;EndNote&gt;&lt;Cite&gt;&lt;Author&gt;Nicol&lt;/Author&gt;&lt;Year&gt;2010&lt;/Year&gt;&lt;RecNum&gt;103&lt;/RecNum&gt;&lt;DisplayText&gt;[4]&lt;/DisplayText&gt;&lt;record&gt;&lt;rec-number&gt;103&lt;/rec-number&gt;&lt;foreign-keys&gt;&lt;key app="EN" db-id="trfxzx057wwv0qe0vz1vttttwf0522tvtwpt" timestamp="1422390274"&gt;103&lt;/key&gt;&lt;/foreign-keys&gt;&lt;ref-type name="Web Page"&gt;12&lt;/ref-type&gt;&lt;contributors&gt;&lt;authors&gt;&lt;author&gt;Katherine Nicol&lt;/author&gt;&lt;/authors&gt;&lt;/contributors&gt;&lt;titles&gt;&lt;title&gt;America&amp;apos;s First Civilian Nuclear Plant&lt;/title&gt;&lt;secondary-title&gt;Penn State Libraries&lt;/secondary-title&gt;&lt;/titles&gt;&lt;dates&gt;&lt;year&gt;2010&lt;/year&gt;&lt;/dates&gt;&lt;pub-location&gt;Penn State Libraries&lt;/pub-location&gt;&lt;urls&gt;&lt;/urls&gt;&lt;/record&gt;&lt;/Cite&gt;&lt;/EndNote&gt;</w:instrText>
      </w:r>
      <w:r w:rsidR="007B7031" w:rsidRPr="00DB5EBF">
        <w:rPr>
          <w:rFonts w:cs="Times New Roman"/>
        </w:rPr>
        <w:fldChar w:fldCharType="separate"/>
      </w:r>
      <w:r w:rsidR="007B7031" w:rsidRPr="00DB5EBF">
        <w:rPr>
          <w:rFonts w:cs="Times New Roman"/>
          <w:noProof/>
        </w:rPr>
        <w:t>[</w:t>
      </w:r>
      <w:hyperlink w:anchor="_ENREF_4" w:tooltip="Nicol, 2010 #103" w:history="1">
        <w:r w:rsidR="00DF20CB" w:rsidRPr="00DB5EBF">
          <w:rPr>
            <w:rFonts w:cs="Times New Roman"/>
            <w:noProof/>
          </w:rPr>
          <w:t>4</w:t>
        </w:r>
      </w:hyperlink>
      <w:r w:rsidR="007B7031" w:rsidRPr="00DB5EBF">
        <w:rPr>
          <w:rFonts w:cs="Times New Roman"/>
          <w:noProof/>
        </w:rPr>
        <w:t>]</w:t>
      </w:r>
      <w:r w:rsidR="007B7031" w:rsidRPr="00DB5EBF">
        <w:rPr>
          <w:rFonts w:cs="Times New Roman"/>
        </w:rPr>
        <w:fldChar w:fldCharType="end"/>
      </w:r>
      <w:r w:rsidR="00E9175B">
        <w:rPr>
          <w:rFonts w:cs="Times New Roman"/>
        </w:rPr>
        <w:t>.</w:t>
      </w:r>
      <w:r w:rsidR="007B7031" w:rsidRPr="00DB5EBF">
        <w:rPr>
          <w:rFonts w:cs="Times New Roman"/>
        </w:rPr>
        <w:t xml:space="preserve"> </w:t>
      </w:r>
      <w:r w:rsidRPr="00DB5EBF">
        <w:rPr>
          <w:rStyle w:val="apple-converted-space"/>
          <w:rFonts w:cs="Times New Roman"/>
          <w:color w:val="252525"/>
        </w:rPr>
        <w:t>Shippingport</w:t>
      </w:r>
      <w:r w:rsidR="009E7A56">
        <w:rPr>
          <w:rStyle w:val="apple-converted-space"/>
          <w:rFonts w:cs="Times New Roman"/>
          <w:color w:val="252525"/>
        </w:rPr>
        <w:t xml:space="preserve"> and nearly all other</w:t>
      </w:r>
      <w:r w:rsidRPr="00930141">
        <w:rPr>
          <w:rStyle w:val="apple-converted-space"/>
          <w:rFonts w:cs="Times New Roman"/>
          <w:color w:val="252525"/>
        </w:rPr>
        <w:t xml:space="preserve"> commercial plants </w:t>
      </w:r>
      <w:r w:rsidR="009E7A56">
        <w:rPr>
          <w:rStyle w:val="apple-converted-space"/>
          <w:rFonts w:cs="Times New Roman"/>
          <w:color w:val="252525"/>
        </w:rPr>
        <w:t>that have operated</w:t>
      </w:r>
      <w:r w:rsidRPr="00930141">
        <w:rPr>
          <w:rStyle w:val="apple-converted-space"/>
          <w:rFonts w:cs="Times New Roman"/>
          <w:color w:val="252525"/>
        </w:rPr>
        <w:t xml:space="preserve"> in the US since then have </w:t>
      </w:r>
      <w:r w:rsidR="0087523B">
        <w:rPr>
          <w:rStyle w:val="apple-converted-space"/>
          <w:rFonts w:cs="Times New Roman"/>
          <w:color w:val="252525"/>
        </w:rPr>
        <w:t>been</w:t>
      </w:r>
      <w:r w:rsidR="00170DF3" w:rsidRPr="00D2484D">
        <w:rPr>
          <w:rStyle w:val="apple-converted-space"/>
          <w:rFonts w:cs="Times New Roman"/>
          <w:color w:val="252525"/>
        </w:rPr>
        <w:t xml:space="preserve"> </w:t>
      </w:r>
      <w:r w:rsidR="00255C7D">
        <w:rPr>
          <w:rStyle w:val="apple-converted-space"/>
          <w:rFonts w:cs="Times New Roman"/>
          <w:color w:val="252525"/>
        </w:rPr>
        <w:t>LWR</w:t>
      </w:r>
      <w:r w:rsidR="0087523B">
        <w:rPr>
          <w:rStyle w:val="apple-converted-space"/>
          <w:rFonts w:cs="Times New Roman"/>
          <w:color w:val="252525"/>
        </w:rPr>
        <w:t>s</w:t>
      </w:r>
      <w:r w:rsidRPr="00D2484D">
        <w:rPr>
          <w:rStyle w:val="apple-converted-space"/>
          <w:rFonts w:cs="Times New Roman"/>
          <w:color w:val="252525"/>
        </w:rPr>
        <w:t xml:space="preserve">. </w:t>
      </w:r>
      <w:r w:rsidR="0087523B">
        <w:rPr>
          <w:rStyle w:val="apple-converted-space"/>
          <w:rFonts w:cs="Times New Roman"/>
          <w:color w:val="252525"/>
        </w:rPr>
        <w:t>These</w:t>
      </w:r>
      <w:r w:rsidR="00D2484D" w:rsidRPr="00D2484D">
        <w:rPr>
          <w:rStyle w:val="apple-converted-space"/>
          <w:rFonts w:cs="Times New Roman"/>
          <w:color w:val="252525"/>
        </w:rPr>
        <w:t xml:space="preserve"> </w:t>
      </w:r>
      <w:r w:rsidR="00255C7D">
        <w:rPr>
          <w:rStyle w:val="apple-converted-space"/>
          <w:rFonts w:cs="Times New Roman"/>
          <w:color w:val="252525"/>
        </w:rPr>
        <w:t>include PWRs</w:t>
      </w:r>
      <w:r w:rsidRPr="00D2484D">
        <w:rPr>
          <w:rStyle w:val="apple-converted-space"/>
          <w:rFonts w:cs="Times New Roman"/>
          <w:color w:val="252525"/>
        </w:rPr>
        <w:t xml:space="preserve"> a</w:t>
      </w:r>
      <w:r w:rsidR="00255C7D">
        <w:rPr>
          <w:rStyle w:val="apple-converted-space"/>
          <w:rFonts w:cs="Times New Roman"/>
          <w:color w:val="252525"/>
        </w:rPr>
        <w:t>nd BWRs</w:t>
      </w:r>
      <w:r w:rsidR="0087523B">
        <w:rPr>
          <w:rStyle w:val="apple-converted-space"/>
          <w:rFonts w:cs="Times New Roman"/>
          <w:color w:val="252525"/>
        </w:rPr>
        <w:t xml:space="preserve"> which</w:t>
      </w:r>
      <w:r w:rsidR="00D2484D" w:rsidRPr="00D2484D">
        <w:rPr>
          <w:rStyle w:val="apple-converted-space"/>
          <w:rFonts w:cs="Times New Roman"/>
          <w:color w:val="252525"/>
        </w:rPr>
        <w:t xml:space="preserve"> </w:t>
      </w:r>
      <w:r w:rsidRPr="00D2484D">
        <w:rPr>
          <w:rStyle w:val="apple-converted-space"/>
          <w:rFonts w:cs="Times New Roman"/>
          <w:color w:val="252525"/>
        </w:rPr>
        <w:t>use H</w:t>
      </w:r>
      <w:r w:rsidRPr="00D2484D">
        <w:rPr>
          <w:rStyle w:val="apple-converted-space"/>
          <w:rFonts w:cs="Times New Roman"/>
          <w:color w:val="252525"/>
          <w:vertAlign w:val="subscript"/>
        </w:rPr>
        <w:softHyphen/>
        <w:t>2</w:t>
      </w:r>
      <w:r w:rsidR="004E0751" w:rsidRPr="00D2484D">
        <w:rPr>
          <w:rStyle w:val="apple-converted-space"/>
          <w:rFonts w:cs="Times New Roman"/>
          <w:color w:val="252525"/>
        </w:rPr>
        <w:t>O to cool</w:t>
      </w:r>
      <w:r w:rsidR="00170DF3" w:rsidRPr="00D2484D">
        <w:rPr>
          <w:rStyle w:val="apple-converted-space"/>
          <w:rFonts w:cs="Times New Roman"/>
          <w:color w:val="252525"/>
        </w:rPr>
        <w:t xml:space="preserve"> and moderate the fuel rods in the</w:t>
      </w:r>
      <w:r w:rsidRPr="00D2484D">
        <w:rPr>
          <w:rStyle w:val="apple-converted-space"/>
          <w:rFonts w:cs="Times New Roman"/>
          <w:color w:val="252525"/>
        </w:rPr>
        <w:t xml:space="preserve"> reactor core. </w:t>
      </w:r>
      <w:r w:rsidR="00170DF3" w:rsidRPr="00D2484D">
        <w:rPr>
          <w:rStyle w:val="apple-converted-space"/>
          <w:rFonts w:cs="Times New Roman"/>
          <w:color w:val="252525"/>
        </w:rPr>
        <w:t>LWR</w:t>
      </w:r>
      <w:r w:rsidR="00170DF3" w:rsidRPr="00930141">
        <w:rPr>
          <w:rStyle w:val="apple-converted-space"/>
          <w:rFonts w:cs="Times New Roman"/>
          <w:color w:val="252525"/>
        </w:rPr>
        <w:t xml:space="preserve"> fuel rods consist of UO</w:t>
      </w:r>
      <w:r w:rsidR="00170DF3" w:rsidRPr="00930141">
        <w:rPr>
          <w:rStyle w:val="apple-converted-space"/>
          <w:rFonts w:cs="Times New Roman"/>
          <w:color w:val="252525"/>
          <w:vertAlign w:val="subscript"/>
        </w:rPr>
        <w:t>2</w:t>
      </w:r>
      <w:r w:rsidR="00170DF3" w:rsidRPr="00930141">
        <w:rPr>
          <w:rStyle w:val="apple-converted-space"/>
          <w:rFonts w:cs="Times New Roman"/>
          <w:color w:val="252525"/>
        </w:rPr>
        <w:t xml:space="preserve"> pellets that are surrounded by a protective cladding material. Representing the first line of defense, the cladding encapsulates dangerous </w:t>
      </w:r>
      <w:r w:rsidR="0087523B">
        <w:rPr>
          <w:rStyle w:val="apple-converted-space"/>
          <w:rFonts w:cs="Times New Roman"/>
          <w:color w:val="252525"/>
        </w:rPr>
        <w:t xml:space="preserve">radioactive </w:t>
      </w:r>
      <w:r w:rsidR="00170DF3" w:rsidRPr="00930141">
        <w:rPr>
          <w:rStyle w:val="apple-converted-space"/>
          <w:rFonts w:cs="Times New Roman"/>
          <w:color w:val="252525"/>
        </w:rPr>
        <w:t xml:space="preserve">fission products that accumulate </w:t>
      </w:r>
      <w:r w:rsidR="0087523B">
        <w:rPr>
          <w:rStyle w:val="apple-converted-space"/>
          <w:rFonts w:cs="Times New Roman"/>
          <w:color w:val="252525"/>
        </w:rPr>
        <w:t xml:space="preserve">after </w:t>
      </w:r>
      <w:r w:rsidR="00170DF3" w:rsidRPr="00930141">
        <w:rPr>
          <w:rStyle w:val="apple-converted-space"/>
          <w:rFonts w:cs="Times New Roman"/>
          <w:color w:val="252525"/>
        </w:rPr>
        <w:t xml:space="preserve">every fission reaction. </w:t>
      </w:r>
      <w:r w:rsidR="0093330B" w:rsidRPr="00930141">
        <w:rPr>
          <w:rStyle w:val="apple-converted-space"/>
          <w:rFonts w:cs="Times New Roman"/>
          <w:color w:val="252525"/>
        </w:rPr>
        <w:t xml:space="preserve">In the 1950’s, the US Navy </w:t>
      </w:r>
      <w:r w:rsidR="0087523B">
        <w:rPr>
          <w:rStyle w:val="apple-converted-space"/>
          <w:rFonts w:cs="Times New Roman"/>
          <w:color w:val="252525"/>
        </w:rPr>
        <w:t>Nuclear Propulsion</w:t>
      </w:r>
      <w:r w:rsidR="0093330B" w:rsidRPr="00930141">
        <w:rPr>
          <w:rStyle w:val="apple-converted-space"/>
          <w:rFonts w:cs="Times New Roman"/>
          <w:color w:val="252525"/>
        </w:rPr>
        <w:t xml:space="preserve"> program </w:t>
      </w:r>
      <w:r w:rsidR="00294790" w:rsidRPr="00930141">
        <w:rPr>
          <w:rStyle w:val="apple-converted-space"/>
          <w:rFonts w:cs="Times New Roman"/>
          <w:color w:val="252525"/>
        </w:rPr>
        <w:t>bega</w:t>
      </w:r>
      <w:r w:rsidR="0093330B" w:rsidRPr="00930141">
        <w:rPr>
          <w:rStyle w:val="apple-converted-space"/>
          <w:rFonts w:cs="Times New Roman"/>
          <w:color w:val="252525"/>
        </w:rPr>
        <w:t xml:space="preserve">n using </w:t>
      </w:r>
      <w:r w:rsidR="00294790" w:rsidRPr="00930141">
        <w:rPr>
          <w:rStyle w:val="apple-converted-space"/>
          <w:rFonts w:cs="Times New Roman"/>
          <w:color w:val="252525"/>
        </w:rPr>
        <w:t>a zirconium-based alloy (</w:t>
      </w:r>
      <w:r w:rsidR="00F4572D">
        <w:rPr>
          <w:rStyle w:val="apple-converted-space"/>
          <w:rFonts w:cs="Times New Roman"/>
          <w:color w:val="252525"/>
        </w:rPr>
        <w:t>Zircaloy</w:t>
      </w:r>
      <w:r w:rsidR="00294790" w:rsidRPr="00930141">
        <w:rPr>
          <w:rStyle w:val="apple-converted-space"/>
          <w:rFonts w:cs="Times New Roman"/>
          <w:color w:val="252525"/>
        </w:rPr>
        <w:t xml:space="preserve">) due to its excellent thermal conductivity, ability to withstand heavy neutron irradiation, and low propensity to absorb neutrons </w:t>
      </w:r>
      <w:r w:rsidR="00D00A8B">
        <w:rPr>
          <w:rStyle w:val="apple-converted-space"/>
          <w:rFonts w:cs="Times New Roman"/>
          <w:color w:val="252525"/>
        </w:rPr>
        <w:fldChar w:fldCharType="begin"/>
      </w:r>
      <w:r w:rsidR="00D00A8B">
        <w:rPr>
          <w:rStyle w:val="apple-converted-space"/>
          <w:rFonts w:cs="Times New Roman"/>
          <w:color w:val="252525"/>
        </w:rPr>
        <w:instrText xml:space="preserve"> ADDIN EN.CITE &lt;EndNote&gt;&lt;Cite&gt;&lt;Author&gt;Azevedo&lt;/Author&gt;&lt;Year&gt;2011&lt;/Year&gt;&lt;RecNum&gt;1&lt;/RecNum&gt;&lt;DisplayText&gt;[2]&lt;/DisplayText&gt;&lt;record&gt;&lt;rec-number&gt;1&lt;/rec-number&gt;&lt;foreign-keys&gt;&lt;key app="EN" db-id="trfxzx057wwv0qe0vz1vttttwf0522tvtwpt" timestamp="1422123582"&gt;1&lt;/key&gt;&lt;/foreign-keys&gt;&lt;ref-type name="Journal Article"&gt;17&lt;/ref-type&gt;&lt;contributors&gt;&lt;authors&gt;&lt;author&gt;Azevedo, CRF&lt;/author&gt;&lt;/authors&gt;&lt;/contributors&gt;&lt;titles&gt;&lt;title&gt;Selection of fuel cladding material for nuclear fission reactors&lt;/title&gt;&lt;secondary-title&gt;Engineering Failure Analysis&lt;/secondary-title&gt;&lt;/titles&gt;&lt;periodical&gt;&lt;full-title&gt;Engineering Failure Analysis&lt;/full-title&gt;&lt;/periodical&gt;&lt;pages&gt;1943-1962&lt;/pages&gt;&lt;volume&gt;18&lt;/volume&gt;&lt;number&gt;8&lt;/number&gt;&lt;dates&gt;&lt;year&gt;2011&lt;/year&gt;&lt;/dates&gt;&lt;isbn&gt;1350-6307&lt;/isbn&gt;&lt;urls&gt;&lt;/urls&gt;&lt;/record&gt;&lt;/Cite&gt;&lt;/EndNote&gt;</w:instrText>
      </w:r>
      <w:r w:rsidR="00D00A8B">
        <w:rPr>
          <w:rStyle w:val="apple-converted-space"/>
          <w:rFonts w:cs="Times New Roman"/>
          <w:color w:val="252525"/>
        </w:rPr>
        <w:fldChar w:fldCharType="separate"/>
      </w:r>
      <w:r w:rsidR="00D00A8B">
        <w:rPr>
          <w:rStyle w:val="apple-converted-space"/>
          <w:rFonts w:cs="Times New Roman"/>
          <w:noProof/>
          <w:color w:val="252525"/>
        </w:rPr>
        <w:t>[</w:t>
      </w:r>
      <w:hyperlink w:anchor="_ENREF_2" w:tooltip="Azevedo, 2011 #1" w:history="1">
        <w:r w:rsidR="00DF20CB">
          <w:rPr>
            <w:rStyle w:val="apple-converted-space"/>
            <w:rFonts w:cs="Times New Roman"/>
            <w:noProof/>
            <w:color w:val="252525"/>
          </w:rPr>
          <w:t>2</w:t>
        </w:r>
      </w:hyperlink>
      <w:r w:rsidR="00D00A8B">
        <w:rPr>
          <w:rStyle w:val="apple-converted-space"/>
          <w:rFonts w:cs="Times New Roman"/>
          <w:noProof/>
          <w:color w:val="252525"/>
        </w:rPr>
        <w:t>]</w:t>
      </w:r>
      <w:r w:rsidR="00D00A8B">
        <w:rPr>
          <w:rStyle w:val="apple-converted-space"/>
          <w:rFonts w:cs="Times New Roman"/>
          <w:color w:val="252525"/>
        </w:rPr>
        <w:fldChar w:fldCharType="end"/>
      </w:r>
      <w:r w:rsidR="00787CEA">
        <w:rPr>
          <w:rStyle w:val="apple-converted-space"/>
          <w:rFonts w:cs="Times New Roman"/>
          <w:color w:val="252525"/>
        </w:rPr>
        <w:t>.</w:t>
      </w:r>
      <w:r w:rsidR="00294790" w:rsidRPr="00930141">
        <w:rPr>
          <w:rStyle w:val="apple-converted-space"/>
          <w:rFonts w:cs="Times New Roman"/>
          <w:color w:val="252525"/>
        </w:rPr>
        <w:t xml:space="preserve"> Since then,</w:t>
      </w:r>
      <w:r w:rsidR="00170DF3" w:rsidRPr="00930141">
        <w:rPr>
          <w:rStyle w:val="apple-converted-space"/>
          <w:rFonts w:cs="Times New Roman"/>
          <w:color w:val="252525"/>
        </w:rPr>
        <w:t xml:space="preserve"> the vast majority of </w:t>
      </w:r>
      <w:r w:rsidR="00294790" w:rsidRPr="00930141">
        <w:rPr>
          <w:rStyle w:val="apple-converted-space"/>
          <w:rFonts w:cs="Times New Roman"/>
          <w:color w:val="252525"/>
        </w:rPr>
        <w:t xml:space="preserve">commercial </w:t>
      </w:r>
      <w:r w:rsidR="00170DF3" w:rsidRPr="00930141">
        <w:rPr>
          <w:rStyle w:val="apple-converted-space"/>
          <w:rFonts w:cs="Times New Roman"/>
          <w:color w:val="252525"/>
        </w:rPr>
        <w:t xml:space="preserve">reactors operating in the United States have used </w:t>
      </w:r>
      <w:r w:rsidR="00F4572D">
        <w:rPr>
          <w:rStyle w:val="apple-converted-space"/>
          <w:rFonts w:cs="Times New Roman"/>
          <w:color w:val="252525"/>
        </w:rPr>
        <w:t>Zircaloy</w:t>
      </w:r>
      <w:r w:rsidR="00DD2196" w:rsidRPr="00930141">
        <w:rPr>
          <w:rStyle w:val="apple-converted-space"/>
          <w:rFonts w:cs="Times New Roman"/>
          <w:color w:val="252525"/>
        </w:rPr>
        <w:t xml:space="preserve"> for the cladding material, spacer grids, and </w:t>
      </w:r>
      <w:r w:rsidR="00F155F8" w:rsidRPr="00F155F8">
        <w:rPr>
          <w:rStyle w:val="apple-converted-space"/>
          <w:rFonts w:cs="Times New Roman"/>
          <w:color w:val="252525"/>
        </w:rPr>
        <w:t>channel box</w:t>
      </w:r>
      <w:r w:rsidR="00F155F8">
        <w:rPr>
          <w:rStyle w:val="apple-converted-space"/>
          <w:rFonts w:cs="Times New Roman"/>
          <w:color w:val="252525"/>
        </w:rPr>
        <w:t>es</w:t>
      </w:r>
      <w:r w:rsidR="00DD2196" w:rsidRPr="00930141">
        <w:rPr>
          <w:rStyle w:val="apple-converted-space"/>
          <w:rFonts w:cs="Times New Roman"/>
          <w:color w:val="252525"/>
        </w:rPr>
        <w:t xml:space="preserve"> </w:t>
      </w:r>
      <w:r w:rsidR="00383743">
        <w:rPr>
          <w:rStyle w:val="apple-converted-space"/>
          <w:rFonts w:cs="Times New Roman"/>
          <w:color w:val="252525"/>
        </w:rPr>
        <w:t>(</w:t>
      </w:r>
      <w:r w:rsidR="00DD2196" w:rsidRPr="00930141">
        <w:rPr>
          <w:rStyle w:val="apple-converted-space"/>
          <w:rFonts w:cs="Times New Roman"/>
          <w:color w:val="252525"/>
        </w:rPr>
        <w:t>for BWRs</w:t>
      </w:r>
      <w:r w:rsidR="00383743">
        <w:rPr>
          <w:rStyle w:val="apple-converted-space"/>
          <w:rFonts w:cs="Times New Roman"/>
          <w:color w:val="252525"/>
        </w:rPr>
        <w:t>)</w:t>
      </w:r>
      <w:r w:rsidR="00170DF3" w:rsidRPr="00930141">
        <w:rPr>
          <w:rStyle w:val="apple-converted-space"/>
          <w:rFonts w:cs="Times New Roman"/>
          <w:color w:val="252525"/>
        </w:rPr>
        <w:t>.</w:t>
      </w:r>
      <w:r w:rsidR="00992F42" w:rsidRPr="00930141">
        <w:rPr>
          <w:rStyle w:val="apple-converted-space"/>
          <w:rFonts w:cs="Times New Roman"/>
          <w:color w:val="252525"/>
        </w:rPr>
        <w:t xml:space="preserve"> </w:t>
      </w:r>
    </w:p>
    <w:p w14:paraId="12E90BD8" w14:textId="3BF38C08" w:rsidR="00017CD4" w:rsidRPr="00930141" w:rsidRDefault="00D32861" w:rsidP="0091793B">
      <w:pPr>
        <w:spacing w:line="360" w:lineRule="auto"/>
        <w:jc w:val="both"/>
        <w:rPr>
          <w:rStyle w:val="apple-converted-space"/>
          <w:rFonts w:cs="Times New Roman"/>
          <w:color w:val="252525"/>
        </w:rPr>
      </w:pPr>
      <w:r w:rsidRPr="00930141">
        <w:rPr>
          <w:rStyle w:val="apple-converted-space"/>
          <w:rFonts w:cs="Times New Roman"/>
          <w:color w:val="252525"/>
        </w:rPr>
        <w:t>Because of zirconium’s poor oxidation qualities in the environment of high-temperature steam</w:t>
      </w:r>
      <w:r w:rsidR="00D7135A" w:rsidRPr="00930141">
        <w:rPr>
          <w:rStyle w:val="apple-converted-space"/>
          <w:rFonts w:cs="Times New Roman"/>
          <w:color w:val="252525"/>
        </w:rPr>
        <w:t>, s</w:t>
      </w:r>
      <w:r w:rsidR="00017CD4" w:rsidRPr="00930141">
        <w:rPr>
          <w:rStyle w:val="apple-converted-space"/>
          <w:rFonts w:cs="Times New Roman"/>
          <w:color w:val="252525"/>
        </w:rPr>
        <w:t xml:space="preserve">tainless steel </w:t>
      </w:r>
      <w:r w:rsidR="00D7135A" w:rsidRPr="00930141">
        <w:rPr>
          <w:rStyle w:val="apple-converted-space"/>
          <w:rFonts w:cs="Times New Roman"/>
          <w:color w:val="252525"/>
        </w:rPr>
        <w:t>was investigated and utilized</w:t>
      </w:r>
      <w:r w:rsidR="00017CD4" w:rsidRPr="00930141">
        <w:rPr>
          <w:rStyle w:val="apple-converted-space"/>
          <w:rFonts w:cs="Times New Roman"/>
          <w:color w:val="252525"/>
        </w:rPr>
        <w:t xml:space="preserve"> as an alternative cladding material in fiv</w:t>
      </w:r>
      <w:r w:rsidR="00D7135A" w:rsidRPr="00930141">
        <w:rPr>
          <w:rStyle w:val="apple-converted-space"/>
          <w:rFonts w:cs="Times New Roman"/>
          <w:color w:val="252525"/>
        </w:rPr>
        <w:t xml:space="preserve">e U.S. LWRs up until the 1990s. </w:t>
      </w:r>
      <w:r w:rsidR="00266A74" w:rsidRPr="00930141">
        <w:rPr>
          <w:rStyle w:val="apple-converted-space"/>
          <w:rFonts w:cs="Times New Roman"/>
          <w:color w:val="252525"/>
        </w:rPr>
        <w:t>The use of stainless steel</w:t>
      </w:r>
      <w:r w:rsidR="00D7135A" w:rsidRPr="00930141">
        <w:rPr>
          <w:rStyle w:val="apple-converted-space"/>
          <w:rFonts w:cs="Times New Roman"/>
          <w:color w:val="252525"/>
        </w:rPr>
        <w:t xml:space="preserve"> reduce</w:t>
      </w:r>
      <w:r w:rsidR="00266A74" w:rsidRPr="00930141">
        <w:rPr>
          <w:rStyle w:val="apple-converted-space"/>
          <w:rFonts w:cs="Times New Roman"/>
          <w:color w:val="252525"/>
        </w:rPr>
        <w:t>d,</w:t>
      </w:r>
      <w:r w:rsidR="00D7135A" w:rsidRPr="00930141">
        <w:rPr>
          <w:rStyle w:val="apple-converted-space"/>
          <w:rFonts w:cs="Times New Roman"/>
          <w:color w:val="252525"/>
        </w:rPr>
        <w:t xml:space="preserve"> but did not eliminate the problem of hydrogen gene</w:t>
      </w:r>
      <w:r w:rsidR="00865240">
        <w:rPr>
          <w:rStyle w:val="apple-converted-space"/>
          <w:rFonts w:cs="Times New Roman"/>
          <w:color w:val="252525"/>
        </w:rPr>
        <w:t xml:space="preserve">ration </w:t>
      </w:r>
      <w:r w:rsidR="00E54D37">
        <w:rPr>
          <w:rStyle w:val="apple-converted-space"/>
          <w:rFonts w:cs="Times New Roman"/>
          <w:color w:val="252525"/>
        </w:rPr>
        <w:fldChar w:fldCharType="begin"/>
      </w:r>
      <w:r w:rsidR="00046F32">
        <w:rPr>
          <w:rStyle w:val="apple-converted-space"/>
          <w:rFonts w:cs="Times New Roman"/>
          <w:color w:val="252525"/>
        </w:rPr>
        <w:instrText xml:space="preserve"> ADDIN EN.CITE &lt;EndNote&gt;&lt;Cite&gt;&lt;Author&gt;Makhijani&lt;/Author&gt;&lt;Year&gt;2011&lt;/Year&gt;&lt;RecNum&gt;97&lt;/RecNum&gt;&lt;DisplayText&gt;[5]&lt;/DisplayText&gt;&lt;record&gt;&lt;rec-number&gt;97&lt;/rec-number&gt;&lt;foreign-keys&gt;&lt;key app="EN" db-id="trfxzx057wwv0qe0vz1vttttwf0522tvtwpt" timestamp="1422338793"&gt;97&lt;/key&gt;&lt;/foreign-keys&gt;&lt;ref-type name="Journal Article"&gt;17&lt;/ref-type&gt;&lt;contributors&gt;&lt;authors&gt;&lt;author&gt;Arjun Makhijani&lt;/author&gt;&lt;/authors&gt;&lt;/contributors&gt;&lt;titles&gt;&lt;title&gt;Nuclear fuel rod cladding material&lt;/title&gt;&lt;secondary-title&gt;Institute for Energy and Environmental Research&lt;/secondary-title&gt;&lt;/titles&gt;&lt;periodical&gt;&lt;full-title&gt;Institute for Energy and Environmental Research&lt;/full-title&gt;&lt;/periodical&gt;&lt;dates&gt;&lt;year&gt;2011&lt;/year&gt;&lt;/dates&gt;&lt;urls&gt;&lt;/urls&gt;&lt;/record&gt;&lt;/Cite&gt;&lt;/EndNote&gt;</w:instrText>
      </w:r>
      <w:r w:rsidR="00E54D37">
        <w:rPr>
          <w:rStyle w:val="apple-converted-space"/>
          <w:rFonts w:cs="Times New Roman"/>
          <w:color w:val="252525"/>
        </w:rPr>
        <w:fldChar w:fldCharType="separate"/>
      </w:r>
      <w:r w:rsidR="00046F32">
        <w:rPr>
          <w:rStyle w:val="apple-converted-space"/>
          <w:rFonts w:cs="Times New Roman"/>
          <w:noProof/>
          <w:color w:val="252525"/>
        </w:rPr>
        <w:t>[</w:t>
      </w:r>
      <w:hyperlink w:anchor="_ENREF_5" w:tooltip="Makhijani, 2011 #97" w:history="1">
        <w:r w:rsidR="00DF20CB">
          <w:rPr>
            <w:rStyle w:val="apple-converted-space"/>
            <w:rFonts w:cs="Times New Roman"/>
            <w:noProof/>
            <w:color w:val="252525"/>
          </w:rPr>
          <w:t>5</w:t>
        </w:r>
      </w:hyperlink>
      <w:r w:rsidR="00046F32">
        <w:rPr>
          <w:rStyle w:val="apple-converted-space"/>
          <w:rFonts w:cs="Times New Roman"/>
          <w:noProof/>
          <w:color w:val="252525"/>
        </w:rPr>
        <w:t>]</w:t>
      </w:r>
      <w:r w:rsidR="00E54D37">
        <w:rPr>
          <w:rStyle w:val="apple-converted-space"/>
          <w:rFonts w:cs="Times New Roman"/>
          <w:color w:val="252525"/>
        </w:rPr>
        <w:fldChar w:fldCharType="end"/>
      </w:r>
      <w:r w:rsidR="00266A74" w:rsidRPr="00930141">
        <w:rPr>
          <w:rStyle w:val="apple-converted-space"/>
          <w:rFonts w:cs="Times New Roman"/>
          <w:color w:val="252525"/>
        </w:rPr>
        <w:t xml:space="preserve">. Also, </w:t>
      </w:r>
      <w:r w:rsidR="00D825AD" w:rsidRPr="00930141">
        <w:rPr>
          <w:rStyle w:val="apple-converted-space"/>
          <w:rFonts w:cs="Times New Roman"/>
          <w:color w:val="252525"/>
        </w:rPr>
        <w:t xml:space="preserve">due to </w:t>
      </w:r>
      <w:r w:rsidR="009E7A56">
        <w:rPr>
          <w:rStyle w:val="apple-converted-space"/>
          <w:rFonts w:cs="Times New Roman"/>
          <w:color w:val="252525"/>
        </w:rPr>
        <w:t>the</w:t>
      </w:r>
      <w:r w:rsidR="00D825AD" w:rsidRPr="00930141">
        <w:rPr>
          <w:rStyle w:val="apple-converted-space"/>
          <w:rFonts w:cs="Times New Roman"/>
          <w:color w:val="252525"/>
        </w:rPr>
        <w:t xml:space="preserve"> higher absorption </w:t>
      </w:r>
      <w:r w:rsidR="00266A74" w:rsidRPr="00930141">
        <w:rPr>
          <w:rStyle w:val="apple-converted-space"/>
          <w:rFonts w:cs="Times New Roman"/>
          <w:color w:val="252525"/>
        </w:rPr>
        <w:t>properties of the</w:t>
      </w:r>
      <w:r w:rsidR="00383743">
        <w:rPr>
          <w:rStyle w:val="apple-converted-space"/>
          <w:rFonts w:cs="Times New Roman"/>
          <w:color w:val="252525"/>
        </w:rPr>
        <w:t>se</w:t>
      </w:r>
      <w:r w:rsidR="00266A74" w:rsidRPr="00930141">
        <w:rPr>
          <w:rStyle w:val="apple-converted-space"/>
          <w:rFonts w:cs="Times New Roman"/>
          <w:color w:val="252525"/>
        </w:rPr>
        <w:t xml:space="preserve"> iron-alloys, the steel cladding </w:t>
      </w:r>
      <w:r w:rsidR="009E7A56">
        <w:rPr>
          <w:rStyle w:val="apple-converted-space"/>
          <w:rFonts w:cs="Times New Roman"/>
          <w:color w:val="252525"/>
        </w:rPr>
        <w:t>was</w:t>
      </w:r>
      <w:r w:rsidR="00D825AD" w:rsidRPr="00930141">
        <w:rPr>
          <w:rStyle w:val="apple-converted-space"/>
          <w:rFonts w:cs="Times New Roman"/>
          <w:color w:val="252525"/>
        </w:rPr>
        <w:t xml:space="preserve"> a detriment to the neutron economy in the core. After fuel cladding damage was discovered at Haddam Neck Plant</w:t>
      </w:r>
      <w:r w:rsidRPr="00930141">
        <w:rPr>
          <w:rStyle w:val="apple-converted-space"/>
          <w:rFonts w:cs="Times New Roman"/>
          <w:color w:val="252525"/>
        </w:rPr>
        <w:t>,</w:t>
      </w:r>
      <w:r w:rsidR="00D825AD" w:rsidRPr="00930141">
        <w:rPr>
          <w:rStyle w:val="apple-converted-space"/>
          <w:rFonts w:cs="Times New Roman"/>
          <w:color w:val="252525"/>
        </w:rPr>
        <w:t xml:space="preserve"> stainless steel cladding was no longer </w:t>
      </w:r>
      <w:r w:rsidR="00865BBD" w:rsidRPr="00930141">
        <w:rPr>
          <w:rStyle w:val="apple-converted-space"/>
          <w:rFonts w:cs="Times New Roman"/>
          <w:color w:val="252525"/>
        </w:rPr>
        <w:t>used</w:t>
      </w:r>
      <w:r w:rsidR="00D825AD" w:rsidRPr="00930141">
        <w:rPr>
          <w:rStyle w:val="apple-converted-space"/>
          <w:rFonts w:cs="Times New Roman"/>
          <w:color w:val="252525"/>
        </w:rPr>
        <w:t xml:space="preserve"> in U.S. nuclear reactors</w:t>
      </w:r>
      <w:r w:rsidR="00865240">
        <w:rPr>
          <w:rStyle w:val="apple-converted-space"/>
          <w:rFonts w:cs="Times New Roman"/>
          <w:color w:val="252525"/>
        </w:rPr>
        <w:t xml:space="preserve"> </w:t>
      </w:r>
      <w:r w:rsidR="00E54D37">
        <w:rPr>
          <w:rStyle w:val="apple-converted-space"/>
          <w:rFonts w:cs="Times New Roman"/>
          <w:color w:val="252525"/>
        </w:rPr>
        <w:fldChar w:fldCharType="begin"/>
      </w:r>
      <w:r w:rsidR="00046F32">
        <w:rPr>
          <w:rStyle w:val="apple-converted-space"/>
          <w:rFonts w:cs="Times New Roman"/>
          <w:color w:val="252525"/>
        </w:rPr>
        <w:instrText xml:space="preserve"> ADDIN EN.CITE &lt;EndNote&gt;&lt;Cite&gt;&lt;Author&gt;Makhijani&lt;/Author&gt;&lt;Year&gt;2011&lt;/Year&gt;&lt;RecNum&gt;97&lt;/RecNum&gt;&lt;DisplayText&gt;[5]&lt;/DisplayText&gt;&lt;record&gt;&lt;rec-number&gt;97&lt;/rec-number&gt;&lt;foreign-keys&gt;&lt;key app="EN" db-id="trfxzx057wwv0qe0vz1vttttwf0522tvtwpt" timestamp="1422338793"&gt;97&lt;/key&gt;&lt;/foreign-keys&gt;&lt;ref-type name="Journal Article"&gt;17&lt;/ref-type&gt;&lt;contributors&gt;&lt;authors&gt;&lt;author&gt;Arjun Makhijani&lt;/author&gt;&lt;/authors&gt;&lt;/contributors&gt;&lt;titles&gt;&lt;title&gt;Nuclear fuel rod cladding material&lt;/title&gt;&lt;secondary-title&gt;Institute for Energy and Environmental Research&lt;/secondary-title&gt;&lt;/titles&gt;&lt;periodical&gt;&lt;full-title&gt;Institute for Energy and Environmental Research&lt;/full-title&gt;&lt;/periodical&gt;&lt;dates&gt;&lt;year&gt;2011&lt;/year&gt;&lt;/dates&gt;&lt;urls&gt;&lt;/urls&gt;&lt;/record&gt;&lt;/Cite&gt;&lt;/EndNote&gt;</w:instrText>
      </w:r>
      <w:r w:rsidR="00E54D37">
        <w:rPr>
          <w:rStyle w:val="apple-converted-space"/>
          <w:rFonts w:cs="Times New Roman"/>
          <w:color w:val="252525"/>
        </w:rPr>
        <w:fldChar w:fldCharType="separate"/>
      </w:r>
      <w:r w:rsidR="00046F32">
        <w:rPr>
          <w:rStyle w:val="apple-converted-space"/>
          <w:rFonts w:cs="Times New Roman"/>
          <w:noProof/>
          <w:color w:val="252525"/>
        </w:rPr>
        <w:t>[</w:t>
      </w:r>
      <w:hyperlink w:anchor="_ENREF_5" w:tooltip="Makhijani, 2011 #97" w:history="1">
        <w:r w:rsidR="00DF20CB">
          <w:rPr>
            <w:rStyle w:val="apple-converted-space"/>
            <w:rFonts w:cs="Times New Roman"/>
            <w:noProof/>
            <w:color w:val="252525"/>
          </w:rPr>
          <w:t>5</w:t>
        </w:r>
      </w:hyperlink>
      <w:r w:rsidR="00046F32">
        <w:rPr>
          <w:rStyle w:val="apple-converted-space"/>
          <w:rFonts w:cs="Times New Roman"/>
          <w:noProof/>
          <w:color w:val="252525"/>
        </w:rPr>
        <w:t>]</w:t>
      </w:r>
      <w:r w:rsidR="00E54D37">
        <w:rPr>
          <w:rStyle w:val="apple-converted-space"/>
          <w:rFonts w:cs="Times New Roman"/>
          <w:color w:val="252525"/>
        </w:rPr>
        <w:fldChar w:fldCharType="end"/>
      </w:r>
      <w:r w:rsidR="00E9175B">
        <w:rPr>
          <w:rStyle w:val="apple-converted-space"/>
          <w:rFonts w:cs="Times New Roman"/>
          <w:color w:val="252525"/>
        </w:rPr>
        <w:t>.</w:t>
      </w:r>
      <w:r w:rsidR="00266A74" w:rsidRPr="00930141">
        <w:rPr>
          <w:rStyle w:val="apple-converted-space"/>
          <w:rFonts w:cs="Times New Roman"/>
          <w:color w:val="252525"/>
        </w:rPr>
        <w:t xml:space="preserve"> Today </w:t>
      </w:r>
      <w:r w:rsidR="00D2484D">
        <w:rPr>
          <w:rStyle w:val="apple-converted-space"/>
          <w:rFonts w:cs="Times New Roman"/>
          <w:color w:val="252525"/>
        </w:rPr>
        <w:t>all commercial</w:t>
      </w:r>
      <w:r w:rsidR="00266A74" w:rsidRPr="00930141">
        <w:rPr>
          <w:rStyle w:val="apple-converted-space"/>
          <w:rFonts w:cs="Times New Roman"/>
          <w:color w:val="252525"/>
        </w:rPr>
        <w:t xml:space="preserve"> U.S. nuclear plants</w:t>
      </w:r>
      <w:r w:rsidR="00D2484D">
        <w:rPr>
          <w:rStyle w:val="apple-converted-space"/>
          <w:rFonts w:cs="Times New Roman"/>
          <w:color w:val="252525"/>
        </w:rPr>
        <w:t xml:space="preserve"> operate with zirconium-based alloys</w:t>
      </w:r>
      <w:r w:rsidR="00266A74" w:rsidRPr="00930141">
        <w:rPr>
          <w:rStyle w:val="apple-converted-space"/>
          <w:rFonts w:cs="Times New Roman"/>
          <w:color w:val="252525"/>
        </w:rPr>
        <w:t xml:space="preserve"> for fuel rod cladding. </w:t>
      </w:r>
    </w:p>
    <w:p w14:paraId="11782986" w14:textId="5005082C" w:rsidR="00E76A37" w:rsidRPr="00930141" w:rsidRDefault="00266A74" w:rsidP="0091793B">
      <w:pPr>
        <w:spacing w:line="360" w:lineRule="auto"/>
        <w:jc w:val="both"/>
        <w:rPr>
          <w:rStyle w:val="citation"/>
          <w:rFonts w:cs="Times New Roman"/>
          <w:color w:val="252525"/>
          <w:szCs w:val="20"/>
        </w:rPr>
      </w:pPr>
      <w:r w:rsidRPr="00930141">
        <w:rPr>
          <w:rStyle w:val="apple-converted-space"/>
          <w:rFonts w:cs="Times New Roman"/>
          <w:color w:val="252525"/>
          <w:szCs w:val="20"/>
        </w:rPr>
        <w:t xml:space="preserve">In March of 2011, </w:t>
      </w:r>
      <w:r w:rsidR="009A603E" w:rsidRPr="00930141">
        <w:rPr>
          <w:rStyle w:val="apple-converted-space"/>
          <w:rFonts w:cs="Times New Roman"/>
          <w:color w:val="252525"/>
          <w:szCs w:val="20"/>
        </w:rPr>
        <w:t xml:space="preserve">Japan experienced a massive earthquake and tsunami causing </w:t>
      </w:r>
      <w:r w:rsidR="00502C31">
        <w:rPr>
          <w:rStyle w:val="apple-converted-space"/>
          <w:rFonts w:cs="Times New Roman"/>
          <w:color w:val="252525"/>
          <w:szCs w:val="20"/>
        </w:rPr>
        <w:t>total</w:t>
      </w:r>
      <w:r w:rsidR="009A603E" w:rsidRPr="00930141">
        <w:rPr>
          <w:rStyle w:val="apple-converted-space"/>
          <w:rFonts w:cs="Times New Roman"/>
          <w:color w:val="252525"/>
          <w:szCs w:val="20"/>
        </w:rPr>
        <w:t xml:space="preserve"> </w:t>
      </w:r>
      <w:r w:rsidR="00502C31">
        <w:rPr>
          <w:rStyle w:val="apple-converted-space"/>
          <w:rFonts w:cs="Times New Roman"/>
          <w:color w:val="252525"/>
          <w:szCs w:val="20"/>
        </w:rPr>
        <w:t xml:space="preserve">station blackouts, </w:t>
      </w:r>
      <w:r w:rsidR="009A603E" w:rsidRPr="00930141">
        <w:rPr>
          <w:rStyle w:val="apple-converted-space"/>
          <w:rFonts w:cs="Times New Roman"/>
          <w:color w:val="252525"/>
          <w:szCs w:val="20"/>
        </w:rPr>
        <w:t>loss of coolant accident</w:t>
      </w:r>
      <w:r w:rsidR="00502C31">
        <w:rPr>
          <w:rStyle w:val="apple-converted-space"/>
          <w:rFonts w:cs="Times New Roman"/>
          <w:color w:val="252525"/>
          <w:szCs w:val="20"/>
        </w:rPr>
        <w:t>s</w:t>
      </w:r>
      <w:r w:rsidR="00A50B66" w:rsidRPr="00930141">
        <w:rPr>
          <w:rStyle w:val="apple-converted-space"/>
          <w:rFonts w:cs="Times New Roman"/>
          <w:color w:val="252525"/>
          <w:szCs w:val="20"/>
        </w:rPr>
        <w:t xml:space="preserve"> and </w:t>
      </w:r>
      <w:r w:rsidR="00502C31">
        <w:rPr>
          <w:rStyle w:val="apple-converted-space"/>
          <w:rFonts w:cs="Times New Roman"/>
          <w:color w:val="252525"/>
          <w:szCs w:val="20"/>
        </w:rPr>
        <w:t>multiple</w:t>
      </w:r>
      <w:r w:rsidR="00A50B66" w:rsidRPr="00930141">
        <w:rPr>
          <w:rStyle w:val="apple-converted-space"/>
          <w:rFonts w:cs="Times New Roman"/>
          <w:color w:val="252525"/>
          <w:szCs w:val="20"/>
        </w:rPr>
        <w:t xml:space="preserve"> core meltdown</w:t>
      </w:r>
      <w:r w:rsidR="00502C31">
        <w:rPr>
          <w:rStyle w:val="apple-converted-space"/>
          <w:rFonts w:cs="Times New Roman"/>
          <w:color w:val="252525"/>
          <w:szCs w:val="20"/>
        </w:rPr>
        <w:t>s</w:t>
      </w:r>
      <w:r w:rsidR="009A603E" w:rsidRPr="00930141">
        <w:rPr>
          <w:rStyle w:val="apple-converted-space"/>
          <w:rFonts w:cs="Times New Roman"/>
          <w:color w:val="252525"/>
          <w:szCs w:val="20"/>
        </w:rPr>
        <w:t xml:space="preserve"> </w:t>
      </w:r>
      <w:r w:rsidR="00502C31">
        <w:rPr>
          <w:rStyle w:val="apple-converted-space"/>
          <w:rFonts w:cs="Times New Roman"/>
          <w:color w:val="252525"/>
          <w:szCs w:val="20"/>
        </w:rPr>
        <w:t>at</w:t>
      </w:r>
      <w:r w:rsidR="009A603E" w:rsidRPr="00930141">
        <w:rPr>
          <w:rStyle w:val="apple-converted-space"/>
          <w:rFonts w:cs="Times New Roman"/>
          <w:color w:val="252525"/>
          <w:szCs w:val="20"/>
        </w:rPr>
        <w:t xml:space="preserve"> the Fukushima Daiichi BWR </w:t>
      </w:r>
      <w:r w:rsidR="00502C31">
        <w:rPr>
          <w:rStyle w:val="apple-converted-space"/>
          <w:rFonts w:cs="Times New Roman"/>
          <w:color w:val="252525"/>
          <w:szCs w:val="20"/>
        </w:rPr>
        <w:t>site</w:t>
      </w:r>
      <w:r w:rsidR="00A50B66" w:rsidRPr="00930141">
        <w:rPr>
          <w:rStyle w:val="apple-converted-space"/>
          <w:rFonts w:cs="Times New Roman"/>
          <w:color w:val="252525"/>
          <w:szCs w:val="20"/>
        </w:rPr>
        <w:t xml:space="preserve"> </w:t>
      </w:r>
      <w:r w:rsidR="009A603E" w:rsidRPr="00930141">
        <w:rPr>
          <w:rStyle w:val="apple-converted-space"/>
          <w:rFonts w:cs="Times New Roman"/>
          <w:color w:val="252525"/>
          <w:szCs w:val="20"/>
        </w:rPr>
        <w:t xml:space="preserve">located on the eastern shore of Japan. </w:t>
      </w:r>
      <w:r w:rsidR="0055332F" w:rsidRPr="00930141">
        <w:rPr>
          <w:rStyle w:val="apple-converted-space"/>
          <w:rFonts w:cs="Times New Roman"/>
          <w:color w:val="252525"/>
          <w:szCs w:val="20"/>
        </w:rPr>
        <w:t>During the</w:t>
      </w:r>
      <w:r w:rsidR="00A50B66" w:rsidRPr="00930141">
        <w:rPr>
          <w:rStyle w:val="apple-converted-space"/>
          <w:rFonts w:cs="Times New Roman"/>
          <w:color w:val="252525"/>
          <w:szCs w:val="20"/>
        </w:rPr>
        <w:t xml:space="preserve"> accident, t</w:t>
      </w:r>
      <w:r w:rsidR="009A603E" w:rsidRPr="00930141">
        <w:rPr>
          <w:rStyle w:val="apple-converted-space"/>
          <w:rFonts w:cs="Times New Roman"/>
          <w:color w:val="252525"/>
          <w:szCs w:val="20"/>
        </w:rPr>
        <w:t xml:space="preserve">he diesel generators that </w:t>
      </w:r>
      <w:r w:rsidR="00383743">
        <w:rPr>
          <w:rStyle w:val="apple-converted-space"/>
          <w:rFonts w:cs="Times New Roman"/>
          <w:color w:val="252525"/>
          <w:szCs w:val="20"/>
        </w:rPr>
        <w:t>are used to</w:t>
      </w:r>
      <w:r w:rsidR="009A603E" w:rsidRPr="00930141">
        <w:rPr>
          <w:rStyle w:val="apple-converted-space"/>
          <w:rFonts w:cs="Times New Roman"/>
          <w:color w:val="252525"/>
          <w:szCs w:val="20"/>
        </w:rPr>
        <w:t xml:space="preserve"> pu</w:t>
      </w:r>
      <w:r w:rsidR="00A50B66" w:rsidRPr="00930141">
        <w:rPr>
          <w:rStyle w:val="apple-converted-space"/>
          <w:rFonts w:cs="Times New Roman"/>
          <w:color w:val="252525"/>
          <w:szCs w:val="20"/>
        </w:rPr>
        <w:t>mp backup coolant into the core</w:t>
      </w:r>
      <w:r w:rsidR="009A603E" w:rsidRPr="00930141">
        <w:rPr>
          <w:rStyle w:val="apple-converted-space"/>
          <w:rFonts w:cs="Times New Roman"/>
          <w:color w:val="252525"/>
          <w:szCs w:val="20"/>
        </w:rPr>
        <w:t xml:space="preserve"> were flooded and failed</w:t>
      </w:r>
      <w:r w:rsidR="00A50B66" w:rsidRPr="00930141">
        <w:rPr>
          <w:rStyle w:val="apple-converted-space"/>
          <w:rFonts w:cs="Times New Roman"/>
          <w:color w:val="252525"/>
          <w:szCs w:val="20"/>
        </w:rPr>
        <w:t>, causing</w:t>
      </w:r>
      <w:r w:rsidR="009A603E" w:rsidRPr="00930141">
        <w:rPr>
          <w:rStyle w:val="apple-converted-space"/>
          <w:rFonts w:cs="Times New Roman"/>
          <w:color w:val="252525"/>
          <w:szCs w:val="20"/>
        </w:rPr>
        <w:t xml:space="preserve"> the zirconium fuel rods to dramatically heat up and oxidize with the surrounding steam </w:t>
      </w:r>
      <w:r w:rsidR="00D00A8B">
        <w:rPr>
          <w:rStyle w:val="apple-converted-space"/>
          <w:rFonts w:cs="Times New Roman"/>
          <w:color w:val="252525"/>
          <w:szCs w:val="20"/>
        </w:rPr>
        <w:fldChar w:fldCharType="begin"/>
      </w:r>
      <w:r w:rsidR="00046F32">
        <w:rPr>
          <w:rStyle w:val="apple-converted-space"/>
          <w:rFonts w:cs="Times New Roman"/>
          <w:color w:val="252525"/>
          <w:szCs w:val="20"/>
        </w:rPr>
        <w:instrText xml:space="preserve"> ADDIN EN.CITE &lt;EndNote&gt;&lt;Cite&gt;&lt;Author&gt;Koo&lt;/Author&gt;&lt;Year&gt;2014&lt;/Year&gt;&lt;RecNum&gt;2&lt;/RecNum&gt;&lt;DisplayText&gt;[6]&lt;/DisplayText&gt;&lt;record&gt;&lt;rec-number&gt;2&lt;/rec-number&gt;&lt;foreign-keys&gt;&lt;key app="EN" db-id="trfxzx057wwv0qe0vz1vttttwf0522tvtwpt" timestamp="1422123814"&gt;2&lt;/key&gt;&lt;/foreign-keys&gt;&lt;ref-type name="Journal Article"&gt;17&lt;/ref-type&gt;&lt;contributors&gt;&lt;authors&gt;&lt;author&gt;Koo, Yang-Hyun&lt;/author&gt;&lt;author&gt;Yang, Yong-Sik&lt;/author&gt;&lt;author&gt;Song, Kun-Woo&lt;/author&gt;&lt;/authors&gt;&lt;/contributors&gt;&lt;titles&gt;&lt;title&gt;Radioactivity release from the Fukushima accident and its consequences: A review&lt;/title&gt;&lt;secondary-title&gt;Progress in Nuclear Energy&lt;/secondary-title&gt;&lt;/titles&gt;&lt;periodical&gt;&lt;full-title&gt;Progress in Nuclear Energy&lt;/full-title&gt;&lt;/periodical&gt;&lt;pages&gt;61-70&lt;/pages&gt;&lt;volume&gt;74&lt;/volume&gt;&lt;dates&gt;&lt;year&gt;2014&lt;/year&gt;&lt;/dates&gt;&lt;isbn&gt;0149-1970&lt;/isbn&gt;&lt;urls&gt;&lt;/urls&gt;&lt;/record&gt;&lt;/Cite&gt;&lt;/EndNote&gt;</w:instrText>
      </w:r>
      <w:r w:rsidR="00D00A8B">
        <w:rPr>
          <w:rStyle w:val="apple-converted-space"/>
          <w:rFonts w:cs="Times New Roman"/>
          <w:color w:val="252525"/>
          <w:szCs w:val="20"/>
        </w:rPr>
        <w:fldChar w:fldCharType="separate"/>
      </w:r>
      <w:r w:rsidR="00046F32">
        <w:rPr>
          <w:rStyle w:val="apple-converted-space"/>
          <w:rFonts w:cs="Times New Roman"/>
          <w:noProof/>
          <w:color w:val="252525"/>
          <w:szCs w:val="20"/>
        </w:rPr>
        <w:t>[</w:t>
      </w:r>
      <w:hyperlink w:anchor="_ENREF_6" w:tooltip="Koo, 2014 #2" w:history="1">
        <w:r w:rsidR="00DF20CB">
          <w:rPr>
            <w:rStyle w:val="apple-converted-space"/>
            <w:rFonts w:cs="Times New Roman"/>
            <w:noProof/>
            <w:color w:val="252525"/>
            <w:szCs w:val="20"/>
          </w:rPr>
          <w:t>6</w:t>
        </w:r>
      </w:hyperlink>
      <w:r w:rsidR="00046F32">
        <w:rPr>
          <w:rStyle w:val="apple-converted-space"/>
          <w:rFonts w:cs="Times New Roman"/>
          <w:noProof/>
          <w:color w:val="252525"/>
          <w:szCs w:val="20"/>
        </w:rPr>
        <w:t>]</w:t>
      </w:r>
      <w:r w:rsidR="00D00A8B">
        <w:rPr>
          <w:rStyle w:val="apple-converted-space"/>
          <w:rFonts w:cs="Times New Roman"/>
          <w:color w:val="252525"/>
          <w:szCs w:val="20"/>
        </w:rPr>
        <w:fldChar w:fldCharType="end"/>
      </w:r>
      <w:r w:rsidR="00502C31">
        <w:rPr>
          <w:rStyle w:val="apple-converted-space"/>
          <w:rFonts w:cs="Times New Roman"/>
          <w:color w:val="252525"/>
          <w:szCs w:val="20"/>
        </w:rPr>
        <w:t>.</w:t>
      </w:r>
      <w:r w:rsidR="006F53CE" w:rsidRPr="00930141">
        <w:rPr>
          <w:rStyle w:val="apple-converted-space"/>
          <w:rFonts w:cs="Times New Roman"/>
          <w:color w:val="252525"/>
          <w:szCs w:val="20"/>
        </w:rPr>
        <w:t xml:space="preserve"> </w:t>
      </w:r>
      <w:r w:rsidR="00A50B66" w:rsidRPr="00930141">
        <w:rPr>
          <w:rStyle w:val="apple-converted-space"/>
          <w:rFonts w:cs="Times New Roman"/>
          <w:color w:val="252525"/>
          <w:szCs w:val="20"/>
        </w:rPr>
        <w:t xml:space="preserve">This oxidation process caused large amounts of hydrogen gas to accrue and eventually </w:t>
      </w:r>
      <w:r w:rsidR="00502C31">
        <w:rPr>
          <w:rStyle w:val="apple-converted-space"/>
          <w:rFonts w:cs="Times New Roman"/>
          <w:color w:val="252525"/>
          <w:szCs w:val="20"/>
        </w:rPr>
        <w:t>ignite</w:t>
      </w:r>
      <w:r w:rsidR="00A55FC8">
        <w:rPr>
          <w:rStyle w:val="apple-converted-space"/>
          <w:rFonts w:cs="Times New Roman"/>
          <w:color w:val="252525"/>
          <w:szCs w:val="20"/>
        </w:rPr>
        <w:t xml:space="preserve"> producing dramatic explosions</w:t>
      </w:r>
      <w:r w:rsidR="006F53CE" w:rsidRPr="00930141">
        <w:rPr>
          <w:rStyle w:val="apple-converted-space"/>
          <w:rFonts w:cs="Times New Roman"/>
          <w:color w:val="252525"/>
          <w:szCs w:val="20"/>
        </w:rPr>
        <w:t xml:space="preserve">. </w:t>
      </w:r>
      <w:r w:rsidR="006920DA" w:rsidRPr="00930141">
        <w:rPr>
          <w:rStyle w:val="apple-converted-space"/>
          <w:rFonts w:cs="Times New Roman"/>
          <w:color w:val="252525"/>
          <w:szCs w:val="20"/>
        </w:rPr>
        <w:lastRenderedPageBreak/>
        <w:t xml:space="preserve">During the event, a large </w:t>
      </w:r>
      <w:r w:rsidR="003C4282" w:rsidRPr="00930141">
        <w:rPr>
          <w:rStyle w:val="apple-converted-space"/>
          <w:rFonts w:cs="Times New Roman"/>
          <w:color w:val="252525"/>
          <w:szCs w:val="20"/>
        </w:rPr>
        <w:t xml:space="preserve">amount of radioactivity </w:t>
      </w:r>
      <w:r w:rsidR="006920DA" w:rsidRPr="00930141">
        <w:rPr>
          <w:rStyle w:val="apple-converted-space"/>
          <w:rFonts w:cs="Times New Roman"/>
          <w:color w:val="252525"/>
          <w:szCs w:val="20"/>
        </w:rPr>
        <w:t>was</w:t>
      </w:r>
      <w:r w:rsidR="003C4282" w:rsidRPr="00930141">
        <w:rPr>
          <w:rStyle w:val="apple-converted-space"/>
          <w:rFonts w:cs="Times New Roman"/>
          <w:color w:val="252525"/>
          <w:szCs w:val="20"/>
        </w:rPr>
        <w:t xml:space="preserve"> released into both the atmosphere and the Pacific Ocean </w:t>
      </w:r>
      <w:r w:rsidR="00D00A8B">
        <w:rPr>
          <w:rStyle w:val="apple-converted-space"/>
          <w:rFonts w:cs="Times New Roman"/>
          <w:color w:val="252525"/>
          <w:szCs w:val="20"/>
        </w:rPr>
        <w:fldChar w:fldCharType="begin"/>
      </w:r>
      <w:r w:rsidR="00046F32">
        <w:rPr>
          <w:rStyle w:val="apple-converted-space"/>
          <w:rFonts w:cs="Times New Roman"/>
          <w:color w:val="252525"/>
          <w:szCs w:val="20"/>
        </w:rPr>
        <w:instrText xml:space="preserve"> ADDIN EN.CITE &lt;EndNote&gt;&lt;Cite&gt;&lt;Author&gt;Koo&lt;/Author&gt;&lt;Year&gt;2014&lt;/Year&gt;&lt;RecNum&gt;2&lt;/RecNum&gt;&lt;DisplayText&gt;[6]&lt;/DisplayText&gt;&lt;record&gt;&lt;rec-number&gt;2&lt;/rec-number&gt;&lt;foreign-keys&gt;&lt;key app="EN" db-id="trfxzx057wwv0qe0vz1vttttwf0522tvtwpt" timestamp="1422123814"&gt;2&lt;/key&gt;&lt;/foreign-keys&gt;&lt;ref-type name="Journal Article"&gt;17&lt;/ref-type&gt;&lt;contributors&gt;&lt;authors&gt;&lt;author&gt;Koo, Yang-Hyun&lt;/author&gt;&lt;author&gt;Yang, Yong-Sik&lt;/author&gt;&lt;author&gt;Song, Kun-Woo&lt;/author&gt;&lt;/authors&gt;&lt;/contributors&gt;&lt;titles&gt;&lt;title&gt;Radioactivity release from the Fukushima accident and its consequences: A review&lt;/title&gt;&lt;secondary-title&gt;Progress in Nuclear Energy&lt;/secondary-title&gt;&lt;/titles&gt;&lt;periodical&gt;&lt;full-title&gt;Progress in Nuclear Energy&lt;/full-title&gt;&lt;/periodical&gt;&lt;pages&gt;61-70&lt;/pages&gt;&lt;volume&gt;74&lt;/volume&gt;&lt;dates&gt;&lt;year&gt;2014&lt;/year&gt;&lt;/dates&gt;&lt;isbn&gt;0149-1970&lt;/isbn&gt;&lt;urls&gt;&lt;/urls&gt;&lt;/record&gt;&lt;/Cite&gt;&lt;/EndNote&gt;</w:instrText>
      </w:r>
      <w:r w:rsidR="00D00A8B">
        <w:rPr>
          <w:rStyle w:val="apple-converted-space"/>
          <w:rFonts w:cs="Times New Roman"/>
          <w:color w:val="252525"/>
          <w:szCs w:val="20"/>
        </w:rPr>
        <w:fldChar w:fldCharType="separate"/>
      </w:r>
      <w:r w:rsidR="00046F32">
        <w:rPr>
          <w:rStyle w:val="apple-converted-space"/>
          <w:rFonts w:cs="Times New Roman"/>
          <w:noProof/>
          <w:color w:val="252525"/>
          <w:szCs w:val="20"/>
        </w:rPr>
        <w:t>[</w:t>
      </w:r>
      <w:hyperlink w:anchor="_ENREF_6" w:tooltip="Koo, 2014 #2" w:history="1">
        <w:r w:rsidR="00DF20CB">
          <w:rPr>
            <w:rStyle w:val="apple-converted-space"/>
            <w:rFonts w:cs="Times New Roman"/>
            <w:noProof/>
            <w:color w:val="252525"/>
            <w:szCs w:val="20"/>
          </w:rPr>
          <w:t>6</w:t>
        </w:r>
      </w:hyperlink>
      <w:r w:rsidR="00046F32">
        <w:rPr>
          <w:rStyle w:val="apple-converted-space"/>
          <w:rFonts w:cs="Times New Roman"/>
          <w:noProof/>
          <w:color w:val="252525"/>
          <w:szCs w:val="20"/>
        </w:rPr>
        <w:t>]</w:t>
      </w:r>
      <w:r w:rsidR="00D00A8B">
        <w:rPr>
          <w:rStyle w:val="apple-converted-space"/>
          <w:rFonts w:cs="Times New Roman"/>
          <w:color w:val="252525"/>
          <w:szCs w:val="20"/>
        </w:rPr>
        <w:fldChar w:fldCharType="end"/>
      </w:r>
      <w:r w:rsidR="00E9175B">
        <w:rPr>
          <w:rStyle w:val="apple-converted-space"/>
          <w:rFonts w:cs="Times New Roman"/>
          <w:color w:val="252525"/>
          <w:szCs w:val="20"/>
        </w:rPr>
        <w:t>.</w:t>
      </w:r>
      <w:r w:rsidR="00787CEA">
        <w:rPr>
          <w:rStyle w:val="apple-converted-space"/>
          <w:rFonts w:cs="Times New Roman"/>
          <w:color w:val="252525"/>
          <w:szCs w:val="20"/>
        </w:rPr>
        <w:t xml:space="preserve"> </w:t>
      </w:r>
      <w:r w:rsidR="00865BBD" w:rsidRPr="00930141">
        <w:rPr>
          <w:rStyle w:val="apple-converted-space"/>
          <w:rFonts w:cs="Times New Roman"/>
          <w:color w:val="252525"/>
          <w:szCs w:val="20"/>
        </w:rPr>
        <w:t>Although there have been zero deaths thus far linked to radioactive exposure</w:t>
      </w:r>
      <w:r w:rsidR="00383743">
        <w:rPr>
          <w:rStyle w:val="apple-converted-space"/>
          <w:rFonts w:cs="Times New Roman"/>
          <w:color w:val="252525"/>
          <w:szCs w:val="20"/>
        </w:rPr>
        <w:t xml:space="preserve"> from the incident</w:t>
      </w:r>
      <w:r w:rsidR="00865BBD" w:rsidRPr="00930141">
        <w:rPr>
          <w:rStyle w:val="apple-converted-space"/>
          <w:rFonts w:cs="Times New Roman"/>
          <w:color w:val="252525"/>
          <w:szCs w:val="20"/>
        </w:rPr>
        <w:t>, d</w:t>
      </w:r>
      <w:r w:rsidR="003748F2" w:rsidRPr="00930141">
        <w:rPr>
          <w:rStyle w:val="apple-converted-space"/>
          <w:rFonts w:cs="Times New Roman"/>
          <w:color w:val="252525"/>
          <w:szCs w:val="20"/>
        </w:rPr>
        <w:t xml:space="preserve">ecommissioning of the </w:t>
      </w:r>
      <w:r w:rsidR="00A55FC8">
        <w:rPr>
          <w:rStyle w:val="apple-converted-space"/>
          <w:rFonts w:cs="Times New Roman"/>
          <w:color w:val="252525"/>
          <w:szCs w:val="20"/>
        </w:rPr>
        <w:t xml:space="preserve">facility </w:t>
      </w:r>
      <w:r w:rsidR="003748F2" w:rsidRPr="00930141">
        <w:rPr>
          <w:rStyle w:val="apple-converted-space"/>
          <w:rFonts w:cs="Times New Roman"/>
          <w:color w:val="252525"/>
          <w:szCs w:val="20"/>
        </w:rPr>
        <w:t>is expected to take up to 30 to 40 years</w:t>
      </w:r>
      <w:r w:rsidR="00176A5F">
        <w:rPr>
          <w:rStyle w:val="apple-converted-space"/>
          <w:rFonts w:cs="Times New Roman"/>
          <w:color w:val="252525"/>
          <w:szCs w:val="20"/>
        </w:rPr>
        <w:t xml:space="preserve"> </w:t>
      </w:r>
      <w:r w:rsidR="00176A5F">
        <w:rPr>
          <w:rStyle w:val="apple-converted-space"/>
          <w:rFonts w:cs="Times New Roman"/>
          <w:color w:val="252525"/>
          <w:szCs w:val="20"/>
        </w:rPr>
        <w:fldChar w:fldCharType="begin"/>
      </w:r>
      <w:r w:rsidR="00176A5F">
        <w:rPr>
          <w:rStyle w:val="apple-converted-space"/>
          <w:rFonts w:cs="Times New Roman"/>
          <w:color w:val="252525"/>
          <w:szCs w:val="20"/>
        </w:rPr>
        <w:instrText xml:space="preserve"> ADDIN EN.CITE &lt;EndNote&gt;&lt;Cite&gt;&lt;Author&gt;McCurry&lt;/Author&gt;&lt;Year&gt;2014&lt;/Year&gt;&lt;RecNum&gt;100&lt;/RecNum&gt;&lt;DisplayText&gt;[7]&lt;/DisplayText&gt;&lt;record&gt;&lt;rec-number&gt;100&lt;/rec-number&gt;&lt;foreign-keys&gt;&lt;key app="EN" db-id="trfxzx057wwv0qe0vz1vttttwf0522tvtwpt" timestamp="1422340038"&gt;100&lt;/key&gt;&lt;/foreign-keys&gt;&lt;ref-type name="Web Page"&gt;12&lt;/ref-type&gt;&lt;contributors&gt;&lt;authors&gt;&lt;author&gt;Justin McCurry&lt;/author&gt;&lt;/authors&gt;&lt;secondary-authors&gt;&lt;author&gt;The Guardian&lt;/author&gt;&lt;/secondary-authors&gt;&lt;/contributors&gt;&lt;titles&gt;&lt;title&gt;Fukushima operator may have to dump contaminated water into Pacific&lt;/title&gt;&lt;/titles&gt;&lt;dates&gt;&lt;year&gt;2014&lt;/year&gt;&lt;/dates&gt;&lt;urls&gt;&lt;/urls&gt;&lt;/record&gt;&lt;/Cite&gt;&lt;/EndNote&gt;</w:instrText>
      </w:r>
      <w:r w:rsidR="00176A5F">
        <w:rPr>
          <w:rStyle w:val="apple-converted-space"/>
          <w:rFonts w:cs="Times New Roman"/>
          <w:color w:val="252525"/>
          <w:szCs w:val="20"/>
        </w:rPr>
        <w:fldChar w:fldCharType="separate"/>
      </w:r>
      <w:r w:rsidR="00176A5F">
        <w:rPr>
          <w:rStyle w:val="apple-converted-space"/>
          <w:rFonts w:cs="Times New Roman"/>
          <w:noProof/>
          <w:color w:val="252525"/>
          <w:szCs w:val="20"/>
        </w:rPr>
        <w:t>[</w:t>
      </w:r>
      <w:hyperlink w:anchor="_ENREF_7" w:tooltip="McCurry, 2014 #100" w:history="1">
        <w:r w:rsidR="00176A5F">
          <w:rPr>
            <w:rStyle w:val="apple-converted-space"/>
            <w:rFonts w:cs="Times New Roman"/>
            <w:noProof/>
            <w:color w:val="252525"/>
            <w:szCs w:val="20"/>
          </w:rPr>
          <w:t>7</w:t>
        </w:r>
      </w:hyperlink>
      <w:r w:rsidR="00176A5F">
        <w:rPr>
          <w:rStyle w:val="apple-converted-space"/>
          <w:rFonts w:cs="Times New Roman"/>
          <w:noProof/>
          <w:color w:val="252525"/>
          <w:szCs w:val="20"/>
        </w:rPr>
        <w:t>]</w:t>
      </w:r>
      <w:r w:rsidR="00176A5F">
        <w:rPr>
          <w:rStyle w:val="apple-converted-space"/>
          <w:rFonts w:cs="Times New Roman"/>
          <w:color w:val="252525"/>
          <w:szCs w:val="20"/>
        </w:rPr>
        <w:fldChar w:fldCharType="end"/>
      </w:r>
      <w:r w:rsidR="003748F2" w:rsidRPr="00930141">
        <w:rPr>
          <w:rStyle w:val="apple-converted-space"/>
          <w:rFonts w:cs="Times New Roman"/>
          <w:color w:val="252525"/>
          <w:szCs w:val="20"/>
        </w:rPr>
        <w:t xml:space="preserve">. </w:t>
      </w:r>
    </w:p>
    <w:p w14:paraId="49DDBB2B" w14:textId="1EEE633B" w:rsidR="00966579" w:rsidRDefault="00A538F5" w:rsidP="0091793B">
      <w:pPr>
        <w:spacing w:line="360" w:lineRule="auto"/>
        <w:jc w:val="both"/>
        <w:rPr>
          <w:rFonts w:cs="Times New Roman"/>
        </w:rPr>
      </w:pPr>
      <w:r w:rsidRPr="00930141">
        <w:rPr>
          <w:rFonts w:cs="Times New Roman"/>
        </w:rPr>
        <w:t xml:space="preserve">Since the </w:t>
      </w:r>
      <w:r w:rsidR="00865BBD" w:rsidRPr="00930141">
        <w:rPr>
          <w:rFonts w:cs="Times New Roman"/>
        </w:rPr>
        <w:t>event</w:t>
      </w:r>
      <w:r w:rsidRPr="00930141">
        <w:rPr>
          <w:rFonts w:cs="Times New Roman"/>
        </w:rPr>
        <w:t xml:space="preserve"> three years a</w:t>
      </w:r>
      <w:r w:rsidR="00255C7D">
        <w:rPr>
          <w:rFonts w:cs="Times New Roman"/>
        </w:rPr>
        <w:t xml:space="preserve">go, </w:t>
      </w:r>
      <w:r w:rsidR="00092C2B">
        <w:rPr>
          <w:rFonts w:cs="Times New Roman"/>
        </w:rPr>
        <w:t xml:space="preserve">ATF </w:t>
      </w:r>
      <w:r w:rsidR="00092C2B" w:rsidRPr="00930141">
        <w:rPr>
          <w:rFonts w:cs="Times New Roman"/>
        </w:rPr>
        <w:t>research</w:t>
      </w:r>
      <w:r w:rsidRPr="00930141">
        <w:rPr>
          <w:rFonts w:cs="Times New Roman"/>
        </w:rPr>
        <w:t xml:space="preserve"> </w:t>
      </w:r>
      <w:r w:rsidR="00DA3965">
        <w:rPr>
          <w:rFonts w:cs="Times New Roman"/>
        </w:rPr>
        <w:t>has been given high priority</w:t>
      </w:r>
      <w:r w:rsidRPr="00930141">
        <w:rPr>
          <w:rFonts w:cs="Times New Roman"/>
        </w:rPr>
        <w:t xml:space="preserve"> </w:t>
      </w:r>
      <w:r w:rsidR="00DA3965">
        <w:rPr>
          <w:rFonts w:cs="Times New Roman"/>
        </w:rPr>
        <w:t xml:space="preserve">by </w:t>
      </w:r>
      <w:r w:rsidRPr="00930141">
        <w:rPr>
          <w:rFonts w:cs="Times New Roman"/>
        </w:rPr>
        <w:t xml:space="preserve">many </w:t>
      </w:r>
      <w:r w:rsidR="00A55FC8">
        <w:rPr>
          <w:rFonts w:cs="Times New Roman"/>
        </w:rPr>
        <w:t>scientific organizations</w:t>
      </w:r>
      <w:r w:rsidRPr="00930141">
        <w:rPr>
          <w:rFonts w:cs="Times New Roman"/>
        </w:rPr>
        <w:t xml:space="preserve"> arou</w:t>
      </w:r>
      <w:r w:rsidR="00B1011A">
        <w:rPr>
          <w:rFonts w:cs="Times New Roman"/>
        </w:rPr>
        <w:t>nd the world. National labs</w:t>
      </w:r>
      <w:r w:rsidRPr="00930141">
        <w:rPr>
          <w:rFonts w:cs="Times New Roman"/>
        </w:rPr>
        <w:t xml:space="preserve"> have been investi</w:t>
      </w:r>
      <w:r w:rsidR="009D5C35" w:rsidRPr="00930141">
        <w:rPr>
          <w:rFonts w:cs="Times New Roman"/>
        </w:rPr>
        <w:t xml:space="preserve">gating innovative fuel designs that meet </w:t>
      </w:r>
      <w:r w:rsidR="00B1011A">
        <w:rPr>
          <w:rFonts w:cs="Times New Roman"/>
        </w:rPr>
        <w:t>neutronic</w:t>
      </w:r>
      <w:r w:rsidR="00865BBD" w:rsidRPr="00930141">
        <w:rPr>
          <w:rFonts w:cs="Times New Roman"/>
        </w:rPr>
        <w:t xml:space="preserve"> </w:t>
      </w:r>
      <w:r w:rsidR="009D5C35" w:rsidRPr="00930141">
        <w:rPr>
          <w:rFonts w:cs="Times New Roman"/>
        </w:rPr>
        <w:t>performance standards of UO</w:t>
      </w:r>
      <w:r w:rsidR="009D5C35" w:rsidRPr="00930141">
        <w:rPr>
          <w:rFonts w:cs="Times New Roman"/>
          <w:vertAlign w:val="subscript"/>
        </w:rPr>
        <w:t>2</w:t>
      </w:r>
      <w:r w:rsidR="009D5C35" w:rsidRPr="00930141">
        <w:rPr>
          <w:rFonts w:cs="Times New Roman"/>
        </w:rPr>
        <w:t xml:space="preserve"> pellet fuel and perform safer under severe accident scenarios. However, before utilities consider changing out </w:t>
      </w:r>
      <w:r w:rsidR="00D2484D">
        <w:rPr>
          <w:rFonts w:cs="Times New Roman"/>
        </w:rPr>
        <w:t>UO</w:t>
      </w:r>
      <w:r w:rsidR="00D2484D">
        <w:rPr>
          <w:rFonts w:cs="Times New Roman"/>
          <w:vertAlign w:val="subscript"/>
        </w:rPr>
        <w:t>2</w:t>
      </w:r>
      <w:r w:rsidR="00D2484D">
        <w:rPr>
          <w:rFonts w:cs="Times New Roman"/>
        </w:rPr>
        <w:t>/Zircaloy</w:t>
      </w:r>
      <w:r w:rsidR="009D5C35" w:rsidRPr="00930141">
        <w:rPr>
          <w:rFonts w:cs="Times New Roman"/>
        </w:rPr>
        <w:t xml:space="preserve"> </w:t>
      </w:r>
      <w:r w:rsidR="00D2484D">
        <w:rPr>
          <w:rFonts w:cs="Times New Roman"/>
        </w:rPr>
        <w:t>fuel bundles</w:t>
      </w:r>
      <w:r w:rsidR="00865BBD" w:rsidRPr="00930141">
        <w:rPr>
          <w:rFonts w:cs="Times New Roman"/>
        </w:rPr>
        <w:t xml:space="preserve"> </w:t>
      </w:r>
      <w:r w:rsidR="009D5C35" w:rsidRPr="00930141">
        <w:rPr>
          <w:rFonts w:cs="Times New Roman"/>
        </w:rPr>
        <w:t xml:space="preserve">that have operated exceptionally for 60 years, ATFs must not only be able to </w:t>
      </w:r>
      <w:r w:rsidR="00865BBD" w:rsidRPr="00930141">
        <w:rPr>
          <w:rFonts w:cs="Times New Roman"/>
        </w:rPr>
        <w:t>match</w:t>
      </w:r>
      <w:r w:rsidR="009D5C35" w:rsidRPr="00930141">
        <w:rPr>
          <w:rFonts w:cs="Times New Roman"/>
        </w:rPr>
        <w:t xml:space="preserve"> reactivity lifetime requirements, but al</w:t>
      </w:r>
      <w:r w:rsidR="00383743">
        <w:rPr>
          <w:rFonts w:cs="Times New Roman"/>
        </w:rPr>
        <w:t xml:space="preserve">so </w:t>
      </w:r>
      <w:r w:rsidR="00A55FC8">
        <w:rPr>
          <w:rFonts w:cs="Times New Roman"/>
        </w:rPr>
        <w:t xml:space="preserve">satisfy </w:t>
      </w:r>
      <w:r w:rsidR="00D2484D">
        <w:rPr>
          <w:rFonts w:cs="Times New Roman"/>
        </w:rPr>
        <w:t xml:space="preserve">the same </w:t>
      </w:r>
      <w:r w:rsidR="009D5C35" w:rsidRPr="00930141">
        <w:rPr>
          <w:rFonts w:cs="Times New Roman"/>
        </w:rPr>
        <w:t>safety and performance standards UO</w:t>
      </w:r>
      <w:r w:rsidR="009D5C35" w:rsidRPr="00930141">
        <w:rPr>
          <w:rFonts w:cs="Times New Roman"/>
          <w:vertAlign w:val="subscript"/>
        </w:rPr>
        <w:t>2</w:t>
      </w:r>
      <w:r w:rsidR="009D5C35" w:rsidRPr="00930141">
        <w:rPr>
          <w:rFonts w:cs="Times New Roman"/>
        </w:rPr>
        <w:t xml:space="preserve"> pellet fuel has been licensed to meet.  </w:t>
      </w:r>
    </w:p>
    <w:p w14:paraId="5A623105" w14:textId="77777777" w:rsidR="00317220" w:rsidRPr="00930141" w:rsidRDefault="00317220" w:rsidP="0091793B">
      <w:pPr>
        <w:spacing w:line="360" w:lineRule="auto"/>
        <w:jc w:val="both"/>
        <w:rPr>
          <w:rFonts w:cs="Times New Roman"/>
        </w:rPr>
      </w:pPr>
    </w:p>
    <w:p w14:paraId="03FF62D7" w14:textId="77777777" w:rsidR="00FF13AC" w:rsidRPr="00930141" w:rsidRDefault="00317220" w:rsidP="0091793B">
      <w:pPr>
        <w:spacing w:line="360" w:lineRule="auto"/>
        <w:jc w:val="both"/>
        <w:rPr>
          <w:rFonts w:cs="Times New Roman"/>
          <w:b/>
          <w:sz w:val="28"/>
        </w:rPr>
      </w:pPr>
      <w:r>
        <w:rPr>
          <w:rFonts w:cs="Times New Roman"/>
          <w:b/>
          <w:sz w:val="28"/>
        </w:rPr>
        <w:t>II</w:t>
      </w:r>
      <w:r w:rsidR="00930141" w:rsidRPr="00930141">
        <w:rPr>
          <w:rFonts w:cs="Times New Roman"/>
          <w:b/>
          <w:sz w:val="28"/>
        </w:rPr>
        <w:t>.</w:t>
      </w:r>
      <w:r>
        <w:rPr>
          <w:rFonts w:cs="Times New Roman"/>
          <w:b/>
          <w:sz w:val="28"/>
        </w:rPr>
        <w:t>B.</w:t>
      </w:r>
      <w:r w:rsidR="00930141" w:rsidRPr="00930141">
        <w:rPr>
          <w:rFonts w:cs="Times New Roman"/>
          <w:b/>
          <w:sz w:val="28"/>
        </w:rPr>
        <w:tab/>
      </w:r>
      <w:r w:rsidR="00930141" w:rsidRPr="00930141">
        <w:rPr>
          <w:rFonts w:cs="Times New Roman"/>
          <w:b/>
          <w:sz w:val="28"/>
        </w:rPr>
        <w:tab/>
      </w:r>
      <w:r w:rsidR="00FF13AC" w:rsidRPr="00930141">
        <w:rPr>
          <w:rFonts w:cs="Times New Roman"/>
          <w:b/>
          <w:sz w:val="28"/>
        </w:rPr>
        <w:t>Fully Ceramic Micro-Encapsulated Fuel</w:t>
      </w:r>
    </w:p>
    <w:p w14:paraId="777F734C" w14:textId="52616B50" w:rsidR="00DE775F" w:rsidRPr="00E12E0E" w:rsidRDefault="00DE775F" w:rsidP="0091793B">
      <w:pPr>
        <w:spacing w:line="360" w:lineRule="auto"/>
        <w:jc w:val="both"/>
        <w:rPr>
          <w:rFonts w:cs="Times New Roman"/>
        </w:rPr>
      </w:pPr>
      <w:r w:rsidRPr="00930141">
        <w:rPr>
          <w:rFonts w:cs="Times New Roman"/>
        </w:rPr>
        <w:t>A recent concept for an innovative fuel form for use in LWRs has been proposed ba</w:t>
      </w:r>
      <w:r w:rsidR="00CF6E1B">
        <w:rPr>
          <w:rFonts w:cs="Times New Roman"/>
        </w:rPr>
        <w:t>sed on TRISO</w:t>
      </w:r>
      <w:r w:rsidRPr="00930141">
        <w:rPr>
          <w:rFonts w:cs="Times New Roman"/>
        </w:rPr>
        <w:t xml:space="preserve"> fuel particles </w:t>
      </w:r>
      <w:r w:rsidR="00A55FC8">
        <w:rPr>
          <w:rFonts w:cs="Times New Roman"/>
        </w:rPr>
        <w:t xml:space="preserve">embedded </w:t>
      </w:r>
      <w:r w:rsidRPr="00930141">
        <w:rPr>
          <w:rFonts w:cs="Times New Roman"/>
        </w:rPr>
        <w:t>in a silicon carbide ma</w:t>
      </w:r>
      <w:r w:rsidR="00383743">
        <w:rPr>
          <w:rFonts w:cs="Times New Roman"/>
        </w:rPr>
        <w:t>trix. This fuel form is known as</w:t>
      </w:r>
      <w:r w:rsidR="00255C7D">
        <w:rPr>
          <w:rFonts w:cs="Times New Roman"/>
        </w:rPr>
        <w:t xml:space="preserve"> </w:t>
      </w:r>
      <w:r w:rsidRPr="00930141">
        <w:rPr>
          <w:rFonts w:cs="Times New Roman"/>
        </w:rPr>
        <w:t>FCM</w:t>
      </w:r>
      <w:r w:rsidR="00255C7D">
        <w:rPr>
          <w:rFonts w:cs="Times New Roman"/>
        </w:rPr>
        <w:t xml:space="preserve"> fuel</w:t>
      </w:r>
      <w:r w:rsidRPr="00930141">
        <w:rPr>
          <w:rFonts w:cs="Times New Roman"/>
        </w:rPr>
        <w:t xml:space="preserve"> </w:t>
      </w:r>
      <w:r w:rsidR="00D00A8B">
        <w:rPr>
          <w:rFonts w:cs="Times New Roman"/>
        </w:rPr>
        <w:fldChar w:fldCharType="begin"/>
      </w:r>
      <w:r w:rsidR="00046F32">
        <w:rPr>
          <w:rFonts w:cs="Times New Roman"/>
        </w:rPr>
        <w:instrText xml:space="preserve"> ADDIN EN.CITE &lt;EndNote&gt;&lt;Cite&gt;&lt;Author&gt;Venneri&lt;/Author&gt;&lt;Year&gt;2011&lt;/Year&gt;&lt;RecNum&gt;3&lt;/RecNum&gt;&lt;DisplayText&gt;[1, 8]&lt;/DisplayText&gt;&lt;record&gt;&lt;rec-number&gt;3&lt;/rec-number&gt;&lt;foreign-keys&gt;&lt;key app="EN" db-id="trfxzx057wwv0qe0vz1vttttwf0522tvtwpt" timestamp="1422124043"&gt;3&lt;/key&gt;&lt;/foreign-keys&gt;&lt;ref-type name="Journal Article"&gt;17&lt;/ref-type&gt;&lt;contributors&gt;&lt;authors&gt;&lt;author&gt;Venneri, Francesco&lt;/author&gt;&lt;author&gt;Kim, Y&lt;/author&gt;&lt;author&gt;Snead, Lance Lewis&lt;/author&gt;&lt;author&gt;Terrani, Kurt A&lt;/author&gt;&lt;author&gt;Ougouag, A&lt;/author&gt;&lt;author&gt;Tulenko, JE&lt;/author&gt;&lt;author&gt;Forsberg, CW&lt;/author&gt;&lt;author&gt;Peterson, PF&lt;/author&gt;&lt;author&gt;Lahoda, EJ&lt;/author&gt;&lt;/authors&gt;&lt;/contributors&gt;&lt;titles&gt;&lt;title&gt;Fully Ceramic Microencapsulated Fuels: A Transformational Technology for Present and Next Generation Reactors-Preliminary Analysis of FCM Fuel Reactor Operation&lt;/title&gt;&lt;secondary-title&gt;Transactions of the American Nuclear Society&lt;/secondary-title&gt;&lt;/titles&gt;&lt;periodical&gt;&lt;full-title&gt;Transactions of the American Nuclear Society&lt;/full-title&gt;&lt;/periodical&gt;&lt;volume&gt;104&lt;/volume&gt;&lt;dates&gt;&lt;year&gt;2011&lt;/year&gt;&lt;/dates&gt;&lt;urls&gt;&lt;/urls&gt;&lt;/record&gt;&lt;/Cite&gt;&lt;Cite&gt;&lt;Author&gt;George&lt;/Author&gt;&lt;Year&gt;2014&lt;/Year&gt;&lt;RecNum&gt;4&lt;/RecNum&gt;&lt;record&gt;&lt;rec-number&gt;4&lt;/rec-number&gt;&lt;foreign-keys&gt;&lt;key app="EN" db-id="trfxzx057wwv0qe0vz1vttttwf0522tvtwpt" timestamp="1422124093"&gt;4&lt;/key&gt;&lt;/foreign-keys&gt;&lt;ref-type name="Journal Article"&gt;17&lt;/ref-type&gt;&lt;contributors&gt;&lt;authors&gt;&lt;author&gt;George, Nathan Michael&lt;/author&gt;&lt;author&gt;Maldonado, Ivan&lt;/author&gt;&lt;author&gt;Terrani, Kurt&lt;/author&gt;&lt;author&gt;Godfrey, Andrew&lt;/author&gt;&lt;author&gt;Gehin, Jess&lt;/author&gt;&lt;author&gt;Powers, Jeff&lt;/author&gt;&lt;/authors&gt;&lt;/contributors&gt;&lt;titles&gt;&lt;title&gt;Neutronics studies of uranium-bearing fully ceramic microencapsulated fuel for pressurized water reactors&lt;/title&gt;&lt;secondary-title&gt;Nuclear Technology&lt;/secondary-title&gt;&lt;/titles&gt;&lt;periodical&gt;&lt;full-title&gt;Nuclear Technology&lt;/full-title&gt;&lt;/periodical&gt;&lt;pages&gt;2&lt;/pages&gt;&lt;volume&gt;188&lt;/volume&gt;&lt;number&gt;3&lt;/number&gt;&lt;dates&gt;&lt;year&gt;2014&lt;/year&gt;&lt;/dates&gt;&lt;urls&gt;&lt;/urls&gt;&lt;/record&gt;&lt;/Cite&gt;&lt;/EndNote&gt;</w:instrText>
      </w:r>
      <w:r w:rsidR="00D00A8B">
        <w:rPr>
          <w:rFonts w:cs="Times New Roman"/>
        </w:rPr>
        <w:fldChar w:fldCharType="separate"/>
      </w:r>
      <w:r w:rsidR="00046F32">
        <w:rPr>
          <w:rFonts w:cs="Times New Roman"/>
          <w:noProof/>
        </w:rPr>
        <w:t>[</w:t>
      </w:r>
      <w:hyperlink w:anchor="_ENREF_1" w:tooltip="George, 2014 #4" w:history="1">
        <w:r w:rsidR="00DF20CB">
          <w:rPr>
            <w:rFonts w:cs="Times New Roman"/>
            <w:noProof/>
          </w:rPr>
          <w:t>1</w:t>
        </w:r>
      </w:hyperlink>
      <w:r w:rsidR="00046F32">
        <w:rPr>
          <w:rFonts w:cs="Times New Roman"/>
          <w:noProof/>
        </w:rPr>
        <w:t xml:space="preserve">, </w:t>
      </w:r>
      <w:hyperlink w:anchor="_ENREF_8" w:tooltip="Venneri, 2011 #3" w:history="1">
        <w:r w:rsidR="00DF20CB">
          <w:rPr>
            <w:rFonts w:cs="Times New Roman"/>
            <w:noProof/>
          </w:rPr>
          <w:t>8</w:t>
        </w:r>
      </w:hyperlink>
      <w:r w:rsidR="00046F32">
        <w:rPr>
          <w:rFonts w:cs="Times New Roman"/>
          <w:noProof/>
        </w:rPr>
        <w:t>]</w:t>
      </w:r>
      <w:r w:rsidR="00D00A8B">
        <w:rPr>
          <w:rFonts w:cs="Times New Roman"/>
        </w:rPr>
        <w:fldChar w:fldCharType="end"/>
      </w:r>
      <w:r w:rsidR="00A55FC8">
        <w:rPr>
          <w:rFonts w:cs="Times New Roman"/>
        </w:rPr>
        <w:t>.</w:t>
      </w:r>
      <w:r w:rsidR="00787CEA">
        <w:rPr>
          <w:rFonts w:cs="Times New Roman"/>
        </w:rPr>
        <w:t xml:space="preserve"> </w:t>
      </w:r>
      <w:r w:rsidRPr="00930141">
        <w:rPr>
          <w:rFonts w:cs="Times New Roman"/>
        </w:rPr>
        <w:t>TRISO fuel has been utilized previously in high temperature gas reactors and employs multiple barriers to</w:t>
      </w:r>
      <w:r w:rsidR="004D4E2B" w:rsidRPr="00930141">
        <w:rPr>
          <w:rFonts w:cs="Times New Roman"/>
        </w:rPr>
        <w:t xml:space="preserve"> prevent</w:t>
      </w:r>
      <w:r w:rsidRPr="00930141">
        <w:rPr>
          <w:rFonts w:cs="Times New Roman"/>
        </w:rPr>
        <w:t xml:space="preserve"> fission product release.  </w:t>
      </w:r>
      <w:r w:rsidR="00951D45" w:rsidRPr="00930141">
        <w:rPr>
          <w:rFonts w:cs="Times New Roman"/>
        </w:rPr>
        <w:t>A graphical representation of</w:t>
      </w:r>
      <w:r w:rsidRPr="00930141">
        <w:rPr>
          <w:rFonts w:cs="Times New Roman"/>
        </w:rPr>
        <w:t xml:space="preserve"> </w:t>
      </w:r>
      <w:r w:rsidR="00951D45" w:rsidRPr="00930141">
        <w:rPr>
          <w:rFonts w:cs="Times New Roman"/>
        </w:rPr>
        <w:t xml:space="preserve">a </w:t>
      </w:r>
      <w:r w:rsidRPr="00930141">
        <w:rPr>
          <w:rFonts w:cs="Times New Roman"/>
        </w:rPr>
        <w:t xml:space="preserve">TRISO </w:t>
      </w:r>
      <w:r w:rsidR="00FB28C4">
        <w:rPr>
          <w:rFonts w:cs="Times New Roman"/>
        </w:rPr>
        <w:t xml:space="preserve">fuel particle is </w:t>
      </w:r>
      <w:r w:rsidR="00FB28C4" w:rsidRPr="00E12E0E">
        <w:rPr>
          <w:rFonts w:cs="Times New Roman"/>
        </w:rPr>
        <w:t xml:space="preserve">shown in </w:t>
      </w:r>
      <w:r w:rsidR="00E12E0E" w:rsidRPr="00E12E0E">
        <w:rPr>
          <w:rFonts w:cs="Times New Roman"/>
          <w:szCs w:val="24"/>
        </w:rPr>
        <w:t>Figure</w:t>
      </w:r>
      <w:r w:rsidR="0091793B">
        <w:rPr>
          <w:rFonts w:cs="Times New Roman"/>
          <w:szCs w:val="24"/>
        </w:rPr>
        <w:t xml:space="preserve"> 2</w:t>
      </w:r>
      <w:r w:rsidRPr="00E12E0E">
        <w:rPr>
          <w:rFonts w:cs="Times New Roman"/>
        </w:rPr>
        <w:t>.</w:t>
      </w:r>
    </w:p>
    <w:p w14:paraId="6F77165B" w14:textId="77777777" w:rsidR="00D35009" w:rsidRPr="00930141" w:rsidRDefault="00D35009" w:rsidP="0091793B">
      <w:pPr>
        <w:spacing w:line="360" w:lineRule="auto"/>
        <w:jc w:val="both"/>
        <w:rPr>
          <w:rFonts w:cs="Times New Roman"/>
        </w:rPr>
      </w:pPr>
    </w:p>
    <w:p w14:paraId="46A182B1" w14:textId="4A59F276" w:rsidR="00DE775F" w:rsidRPr="0039764A" w:rsidRDefault="00C17F83" w:rsidP="0091793B">
      <w:pPr>
        <w:autoSpaceDE w:val="0"/>
        <w:autoSpaceDN w:val="0"/>
        <w:adjustRightInd w:val="0"/>
        <w:spacing w:after="0" w:line="360" w:lineRule="auto"/>
      </w:pPr>
      <w:r w:rsidRPr="00930141">
        <w:rPr>
          <w:rFonts w:cs="Times New Roman"/>
          <w:noProof/>
          <w:sz w:val="28"/>
          <w:szCs w:val="26"/>
        </w:rPr>
        <w:drawing>
          <wp:inline distT="0" distB="0" distL="0" distR="0" wp14:anchorId="0969E3D1" wp14:editId="3E558518">
            <wp:extent cx="2882469" cy="1781175"/>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882469" cy="1781175"/>
                    </a:xfrm>
                    <a:prstGeom prst="rect">
                      <a:avLst/>
                    </a:prstGeom>
                    <a:noFill/>
                    <a:ln>
                      <a:noFill/>
                    </a:ln>
                  </pic:spPr>
                </pic:pic>
              </a:graphicData>
            </a:graphic>
          </wp:inline>
        </w:drawing>
      </w:r>
    </w:p>
    <w:p w14:paraId="3D1F8DDA" w14:textId="7D716295" w:rsidR="00DE775F" w:rsidRPr="00DF20CB" w:rsidRDefault="00C17F83" w:rsidP="0091793B">
      <w:pPr>
        <w:pStyle w:val="Caption"/>
        <w:spacing w:line="360" w:lineRule="auto"/>
        <w:rPr>
          <w:rFonts w:cs="Times New Roman"/>
          <w:b w:val="0"/>
          <w:color w:val="auto"/>
          <w:sz w:val="24"/>
          <w:szCs w:val="24"/>
          <w:vertAlign w:val="superscript"/>
          <w:lang w:val="es-ES_tradnl"/>
        </w:rPr>
      </w:pPr>
      <w:bookmarkStart w:id="4" w:name="_Toc416993441"/>
      <w:r w:rsidRPr="0039764A">
        <w:rPr>
          <w:rFonts w:cs="Times New Roman"/>
          <w:b w:val="0"/>
          <w:color w:val="auto"/>
          <w:sz w:val="24"/>
          <w:szCs w:val="24"/>
        </w:rPr>
        <w:t xml:space="preserve">Figure </w:t>
      </w:r>
      <w:r w:rsidRPr="0039764A">
        <w:rPr>
          <w:rFonts w:cs="Times New Roman"/>
          <w:b w:val="0"/>
          <w:color w:val="auto"/>
          <w:sz w:val="24"/>
          <w:szCs w:val="24"/>
        </w:rPr>
        <w:fldChar w:fldCharType="begin"/>
      </w:r>
      <w:r w:rsidRPr="0039764A">
        <w:rPr>
          <w:rFonts w:cs="Times New Roman"/>
          <w:b w:val="0"/>
          <w:color w:val="auto"/>
          <w:sz w:val="24"/>
          <w:szCs w:val="24"/>
        </w:rPr>
        <w:instrText xml:space="preserve"> SEQ Figure \* ARABIC </w:instrText>
      </w:r>
      <w:r w:rsidRPr="0039764A">
        <w:rPr>
          <w:rFonts w:cs="Times New Roman"/>
          <w:b w:val="0"/>
          <w:color w:val="auto"/>
          <w:sz w:val="24"/>
          <w:szCs w:val="24"/>
        </w:rPr>
        <w:fldChar w:fldCharType="separate"/>
      </w:r>
      <w:r w:rsidR="00F3244B">
        <w:rPr>
          <w:rFonts w:cs="Times New Roman"/>
          <w:b w:val="0"/>
          <w:noProof/>
          <w:color w:val="auto"/>
          <w:sz w:val="24"/>
          <w:szCs w:val="24"/>
        </w:rPr>
        <w:t>2</w:t>
      </w:r>
      <w:r w:rsidRPr="0039764A">
        <w:rPr>
          <w:rFonts w:cs="Times New Roman"/>
          <w:b w:val="0"/>
          <w:color w:val="auto"/>
          <w:sz w:val="24"/>
          <w:szCs w:val="24"/>
        </w:rPr>
        <w:fldChar w:fldCharType="end"/>
      </w:r>
      <w:r w:rsidR="0039764A">
        <w:rPr>
          <w:rFonts w:cs="Times New Roman"/>
          <w:b w:val="0"/>
          <w:color w:val="auto"/>
          <w:sz w:val="24"/>
          <w:szCs w:val="24"/>
        </w:rPr>
        <w:t>:</w:t>
      </w:r>
      <w:r w:rsidRPr="0039764A">
        <w:rPr>
          <w:rFonts w:cs="Times New Roman"/>
          <w:b w:val="0"/>
          <w:color w:val="auto"/>
          <w:sz w:val="24"/>
          <w:szCs w:val="24"/>
        </w:rPr>
        <w:t xml:space="preserve"> TRISO fuel particle </w:t>
      </w:r>
      <w:r w:rsidRPr="00DF20CB">
        <w:rPr>
          <w:rFonts w:cs="Times New Roman"/>
          <w:b w:val="0"/>
          <w:color w:val="auto"/>
          <w:sz w:val="24"/>
          <w:szCs w:val="24"/>
        </w:rPr>
        <w:t>geometry</w:t>
      </w:r>
      <w:r w:rsidR="001B2BA2" w:rsidRPr="00DF20CB">
        <w:rPr>
          <w:rFonts w:cs="Times New Roman"/>
          <w:b w:val="0"/>
          <w:noProof/>
          <w:color w:val="auto"/>
          <w:sz w:val="24"/>
          <w:szCs w:val="24"/>
        </w:rPr>
        <w:t xml:space="preserve"> [1]</w:t>
      </w:r>
      <w:bookmarkEnd w:id="4"/>
    </w:p>
    <w:p w14:paraId="7E91BDF5" w14:textId="749B0E74" w:rsidR="00DE775F" w:rsidRPr="00930141" w:rsidRDefault="00DE775F" w:rsidP="0091793B">
      <w:pPr>
        <w:spacing w:line="360" w:lineRule="auto"/>
        <w:jc w:val="both"/>
        <w:rPr>
          <w:rFonts w:cs="Times New Roman"/>
        </w:rPr>
      </w:pPr>
      <w:r w:rsidRPr="00930141">
        <w:rPr>
          <w:rFonts w:cs="Times New Roman"/>
        </w:rPr>
        <w:lastRenderedPageBreak/>
        <w:t xml:space="preserve">As shown </w:t>
      </w:r>
      <w:r w:rsidR="00D51F92">
        <w:rPr>
          <w:rFonts w:cs="Times New Roman"/>
        </w:rPr>
        <w:t>in Figure 2</w:t>
      </w:r>
      <w:r w:rsidRPr="00930141">
        <w:rPr>
          <w:rFonts w:cs="Times New Roman"/>
        </w:rPr>
        <w:t>, the particle consists o</w:t>
      </w:r>
      <w:r w:rsidR="00A76E53">
        <w:rPr>
          <w:rFonts w:cs="Times New Roman"/>
        </w:rPr>
        <w:t>f a uranium-bearing fuel kernel, t</w:t>
      </w:r>
      <w:r w:rsidR="004D4E2B" w:rsidRPr="00930141">
        <w:rPr>
          <w:rFonts w:cs="Times New Roman"/>
        </w:rPr>
        <w:t xml:space="preserve">ypically </w:t>
      </w:r>
      <w:r w:rsidR="00A76E53">
        <w:rPr>
          <w:rFonts w:cs="Times New Roman"/>
        </w:rPr>
        <w:t>uranium oxycarbide (</w:t>
      </w:r>
      <w:r w:rsidR="004D4E2B" w:rsidRPr="00930141">
        <w:rPr>
          <w:rFonts w:cs="Times New Roman"/>
        </w:rPr>
        <w:t>UCO</w:t>
      </w:r>
      <w:r w:rsidR="00A76E53">
        <w:rPr>
          <w:rFonts w:cs="Times New Roman"/>
        </w:rPr>
        <w:t>)</w:t>
      </w:r>
      <w:r w:rsidR="004D4E2B" w:rsidRPr="00930141">
        <w:rPr>
          <w:rFonts w:cs="Times New Roman"/>
        </w:rPr>
        <w:t xml:space="preserve"> or </w:t>
      </w:r>
      <w:r w:rsidR="00A76E53">
        <w:rPr>
          <w:rFonts w:cs="Times New Roman"/>
        </w:rPr>
        <w:t>uranium mononitride (</w:t>
      </w:r>
      <w:r w:rsidR="004D4E2B" w:rsidRPr="00930141">
        <w:rPr>
          <w:rFonts w:cs="Times New Roman"/>
        </w:rPr>
        <w:t>UN)</w:t>
      </w:r>
      <w:r w:rsidR="00A76E53">
        <w:rPr>
          <w:rFonts w:cs="Times New Roman"/>
        </w:rPr>
        <w:t>,</w:t>
      </w:r>
      <w:r w:rsidR="004D4E2B" w:rsidRPr="00930141">
        <w:rPr>
          <w:rFonts w:cs="Times New Roman"/>
        </w:rPr>
        <w:t xml:space="preserve"> </w:t>
      </w:r>
      <w:r w:rsidRPr="00930141">
        <w:rPr>
          <w:rFonts w:cs="Times New Roman"/>
        </w:rPr>
        <w:t xml:space="preserve">surrounded by several layers of pyrolytic carbon (PyC) and silicon carbide (SiC). </w:t>
      </w:r>
      <w:r w:rsidRPr="00930141">
        <w:rPr>
          <w:rFonts w:cs="Times New Roman"/>
          <w:lang w:eastAsia="ko-KR"/>
        </w:rPr>
        <w:t xml:space="preserve">A porous carbon buffer surrounding the kernel attenuates fission fragments undergoing recoil release from the fuel kernel and accommodates internal gas buildup and dimensional changes. The outer layers consist of an inner PyC (IPyC) layer, a SiC layer, and an outer PyC (OPyC) layer. The PyC layers are dense pyrolytic carbon, typically about 90% of their theoretical density. The SiC layer acts as the main pressure vessel </w:t>
      </w:r>
      <w:r w:rsidR="00506B4A">
        <w:rPr>
          <w:rFonts w:cs="Times New Roman"/>
          <w:lang w:eastAsia="ko-KR"/>
        </w:rPr>
        <w:t xml:space="preserve">(PV) </w:t>
      </w:r>
      <w:r w:rsidRPr="00930141">
        <w:rPr>
          <w:rFonts w:cs="Times New Roman"/>
          <w:lang w:eastAsia="ko-KR"/>
        </w:rPr>
        <w:t>and provides a diffusion barrier to prevent fission product release from the particle. The PyC layers protect the SiC layer from chemical corrosion during TRISO particle irradiation and act as additional diffusion barriers to fission products, and the IPyC also protects the fuel kernel from corrosive gases used to deposit the SiC layer</w:t>
      </w:r>
      <w:r w:rsidRPr="00930141">
        <w:rPr>
          <w:rFonts w:cs="Times New Roman"/>
        </w:rPr>
        <w:t xml:space="preserve"> </w:t>
      </w:r>
      <w:r w:rsidR="00D00A8B">
        <w:rPr>
          <w:rFonts w:cs="Times New Roman"/>
        </w:rPr>
        <w:fldChar w:fldCharType="begin">
          <w:fldData xml:space="preserve">PEVuZE5vdGU+PENpdGU+PEF1dGhvcj5PbGFuZGVyPC9BdXRob3I+PFllYXI+MjAwOTwvWWVhcj48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==
</w:fldData>
        </w:fldChar>
      </w:r>
      <w:r w:rsidR="00046F32">
        <w:rPr>
          <w:rFonts w:cs="Times New Roman"/>
        </w:rPr>
        <w:instrText xml:space="preserve"> ADDIN EN.CITE </w:instrText>
      </w:r>
      <w:r w:rsidR="00046F32">
        <w:rPr>
          <w:rFonts w:cs="Times New Roman"/>
        </w:rPr>
        <w:fldChar w:fldCharType="begin">
          <w:fldData xml:space="preserve">PEVuZE5vdGU+PENpdGU+PEF1dGhvcj5PbGFuZGVyPC9BdXRob3I+PFllYXI+MjAwOTwvWWVhcj48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==
</w:fldData>
        </w:fldChar>
      </w:r>
      <w:r w:rsidR="00046F32">
        <w:rPr>
          <w:rFonts w:cs="Times New Roman"/>
        </w:rPr>
        <w:instrText xml:space="preserve"> ADDIN EN.CITE.DATA </w:instrText>
      </w:r>
      <w:r w:rsidR="00046F32">
        <w:rPr>
          <w:rFonts w:cs="Times New Roman"/>
        </w:rPr>
      </w:r>
      <w:r w:rsidR="00046F32">
        <w:rPr>
          <w:rFonts w:cs="Times New Roman"/>
        </w:rPr>
        <w:fldChar w:fldCharType="end"/>
      </w:r>
      <w:r w:rsidR="00D00A8B">
        <w:rPr>
          <w:rFonts w:cs="Times New Roman"/>
        </w:rPr>
      </w:r>
      <w:r w:rsidR="00D00A8B">
        <w:rPr>
          <w:rFonts w:cs="Times New Roman"/>
        </w:rPr>
        <w:fldChar w:fldCharType="separate"/>
      </w:r>
      <w:r w:rsidR="00046F32">
        <w:rPr>
          <w:rFonts w:cs="Times New Roman"/>
          <w:noProof/>
        </w:rPr>
        <w:t>[</w:t>
      </w:r>
      <w:hyperlink w:anchor="_ENREF_9" w:tooltip="Olander, 2009 #5" w:history="1">
        <w:r w:rsidR="00DF20CB">
          <w:rPr>
            <w:rFonts w:cs="Times New Roman"/>
            <w:noProof/>
          </w:rPr>
          <w:t>9-11</w:t>
        </w:r>
      </w:hyperlink>
      <w:r w:rsidR="00046F32">
        <w:rPr>
          <w:rFonts w:cs="Times New Roman"/>
          <w:noProof/>
        </w:rPr>
        <w:t>]</w:t>
      </w:r>
      <w:r w:rsidR="00D00A8B">
        <w:rPr>
          <w:rFonts w:cs="Times New Roman"/>
        </w:rPr>
        <w:fldChar w:fldCharType="end"/>
      </w:r>
      <w:r w:rsidR="00787CEA">
        <w:rPr>
          <w:rFonts w:cs="Times New Roman"/>
        </w:rPr>
        <w:t>.</w:t>
      </w:r>
      <w:r w:rsidR="00FB28C4">
        <w:rPr>
          <w:rFonts w:cs="Times New Roman"/>
        </w:rPr>
        <w:t xml:space="preserve"> T</w:t>
      </w:r>
      <w:r w:rsidRPr="00930141">
        <w:rPr>
          <w:rFonts w:cs="Times New Roman"/>
        </w:rPr>
        <w:t>he TRISO fuel particles</w:t>
      </w:r>
      <w:r w:rsidR="00FB28C4">
        <w:rPr>
          <w:rFonts w:cs="Times New Roman"/>
        </w:rPr>
        <w:t xml:space="preserve"> are surrounded by a SiC matrix</w:t>
      </w:r>
      <w:r w:rsidRPr="00930141">
        <w:rPr>
          <w:rFonts w:cs="Times New Roman"/>
        </w:rPr>
        <w:t>; this combination of TRISO particles in a SiC matrix constitutes the FCM fuel concept.</w:t>
      </w:r>
    </w:p>
    <w:p w14:paraId="38315112" w14:textId="789111F0" w:rsidR="000808D8" w:rsidRPr="00930141" w:rsidRDefault="0010187C" w:rsidP="0091793B">
      <w:pPr>
        <w:spacing w:line="360" w:lineRule="auto"/>
        <w:jc w:val="both"/>
        <w:rPr>
          <w:rFonts w:cs="Times New Roman"/>
        </w:rPr>
      </w:pPr>
      <w:r w:rsidRPr="00930141">
        <w:rPr>
          <w:rFonts w:cs="Times New Roman"/>
        </w:rPr>
        <w:t xml:space="preserve">The SiC matrix provides various advantages to traditional fuel that include: increased thermal conductivity, radiation damage resistance, environmental stability, and proliferation resistance  </w:t>
      </w:r>
      <w:r w:rsidR="00D00A8B">
        <w:rPr>
          <w:rFonts w:cs="Times New Roman"/>
        </w:rPr>
        <w:fldChar w:fldCharType="begin"/>
      </w:r>
      <w:r w:rsidR="00046F32">
        <w:rPr>
          <w:rFonts w:cs="Times New Roman"/>
        </w:rPr>
        <w:instrText xml:space="preserve"> ADDIN EN.CITE &lt;EndNote&gt;&lt;Cite&gt;&lt;Author&gt;Venneri&lt;/Author&gt;&lt;Year&gt;2011&lt;/Year&gt;&lt;RecNum&gt;3&lt;/RecNum&gt;&lt;DisplayText&gt;[8]&lt;/DisplayText&gt;&lt;record&gt;&lt;rec-number&gt;3&lt;/rec-number&gt;&lt;foreign-keys&gt;&lt;key app="EN" db-id="trfxzx057wwv0qe0vz1vttttwf0522tvtwpt" timestamp="1422124043"&gt;3&lt;/key&gt;&lt;/foreign-keys&gt;&lt;ref-type name="Journal Article"&gt;17&lt;/ref-type&gt;&lt;contributors&gt;&lt;authors&gt;&lt;author&gt;Venneri, Francesco&lt;/author&gt;&lt;author&gt;Kim, Y&lt;/author&gt;&lt;author&gt;Snead, Lance Lewis&lt;/author&gt;&lt;author&gt;Terrani, Kurt A&lt;/author&gt;&lt;author&gt;Ougouag, A&lt;/author&gt;&lt;author&gt;Tulenko, JE&lt;/author&gt;&lt;author&gt;Forsberg, CW&lt;/author&gt;&lt;author&gt;Peterson, PF&lt;/author&gt;&lt;author&gt;Lahoda, EJ&lt;/author&gt;&lt;/authors&gt;&lt;/contributors&gt;&lt;titles&gt;&lt;title&gt;Fully Ceramic Microencapsulated Fuels: A Transformational Technology for Present and Next Generation Reactors-Preliminary Analysis of FCM Fuel Reactor Operation&lt;/title&gt;&lt;secondary-title&gt;Transactions of the American Nuclear Society&lt;/secondary-title&gt;&lt;/titles&gt;&lt;periodical&gt;&lt;full-title&gt;Transactions of the American Nuclear Society&lt;/full-title&gt;&lt;/periodical&gt;&lt;volume&gt;104&lt;/volume&gt;&lt;dates&gt;&lt;year&gt;2011&lt;/year&gt;&lt;/dates&gt;&lt;urls&gt;&lt;/urls&gt;&lt;/record&gt;&lt;/Cite&gt;&lt;/EndNote&gt;</w:instrText>
      </w:r>
      <w:r w:rsidR="00D00A8B">
        <w:rPr>
          <w:rFonts w:cs="Times New Roman"/>
        </w:rPr>
        <w:fldChar w:fldCharType="separate"/>
      </w:r>
      <w:r w:rsidR="00046F32">
        <w:rPr>
          <w:rFonts w:cs="Times New Roman"/>
          <w:noProof/>
        </w:rPr>
        <w:t>[</w:t>
      </w:r>
      <w:hyperlink w:anchor="_ENREF_8" w:tooltip="Venneri, 2011 #3" w:history="1">
        <w:r w:rsidR="00DF20CB">
          <w:rPr>
            <w:rFonts w:cs="Times New Roman"/>
            <w:noProof/>
          </w:rPr>
          <w:t>8</w:t>
        </w:r>
      </w:hyperlink>
      <w:r w:rsidR="00046F32">
        <w:rPr>
          <w:rFonts w:cs="Times New Roman"/>
          <w:noProof/>
        </w:rPr>
        <w:t>]</w:t>
      </w:r>
      <w:r w:rsidR="00D00A8B">
        <w:rPr>
          <w:rFonts w:cs="Times New Roman"/>
        </w:rPr>
        <w:fldChar w:fldCharType="end"/>
      </w:r>
      <w:r w:rsidR="00FF41CB">
        <w:rPr>
          <w:rFonts w:cs="Times New Roman"/>
        </w:rPr>
        <w:t>.</w:t>
      </w:r>
      <w:r w:rsidR="00787CEA">
        <w:rPr>
          <w:rFonts w:cs="Times New Roman"/>
        </w:rPr>
        <w:t xml:space="preserve"> </w:t>
      </w:r>
      <w:r w:rsidRPr="00930141">
        <w:rPr>
          <w:rFonts w:cs="Times New Roman"/>
        </w:rPr>
        <w:t>As previously mentioned, oxidation of zirconium cladding is of major concern under accident scenarios of LWRs. The SiC matrix employed in FCM fuel is very resistant to oxidation by high-tempera</w:t>
      </w:r>
      <w:r w:rsidR="00FB28C4">
        <w:rPr>
          <w:rFonts w:cs="Times New Roman"/>
        </w:rPr>
        <w:t xml:space="preserve">ture steam, and </w:t>
      </w:r>
      <w:r w:rsidRPr="00930141">
        <w:rPr>
          <w:rFonts w:cs="Times New Roman"/>
        </w:rPr>
        <w:t xml:space="preserve">is anticipated </w:t>
      </w:r>
      <w:r w:rsidR="009868A0" w:rsidRPr="00930141">
        <w:rPr>
          <w:rFonts w:cs="Times New Roman"/>
        </w:rPr>
        <w:t>to</w:t>
      </w:r>
      <w:r w:rsidRPr="00930141">
        <w:rPr>
          <w:rFonts w:cs="Times New Roman"/>
        </w:rPr>
        <w:t xml:space="preserve"> </w:t>
      </w:r>
      <w:r w:rsidR="00076A9D">
        <w:rPr>
          <w:rFonts w:cs="Times New Roman"/>
        </w:rPr>
        <w:t>reach</w:t>
      </w:r>
      <w:r w:rsidR="00006F52" w:rsidRPr="00930141">
        <w:rPr>
          <w:rFonts w:cs="Times New Roman"/>
        </w:rPr>
        <w:t xml:space="preserve"> high bur</w:t>
      </w:r>
      <w:r w:rsidRPr="00930141">
        <w:rPr>
          <w:rFonts w:cs="Times New Roman"/>
        </w:rPr>
        <w:t xml:space="preserve">nups under normal </w:t>
      </w:r>
      <w:r w:rsidR="009868A0" w:rsidRPr="00930141">
        <w:rPr>
          <w:rFonts w:cs="Times New Roman"/>
        </w:rPr>
        <w:t xml:space="preserve">operating </w:t>
      </w:r>
      <w:r w:rsidRPr="00930141">
        <w:rPr>
          <w:rFonts w:cs="Times New Roman"/>
        </w:rPr>
        <w:t xml:space="preserve">conditionals as well as </w:t>
      </w:r>
      <w:r w:rsidR="00BD7997">
        <w:rPr>
          <w:rFonts w:cs="Times New Roman"/>
        </w:rPr>
        <w:t>accident scenarios</w:t>
      </w:r>
      <w:r w:rsidR="00FF41CB">
        <w:rPr>
          <w:rFonts w:cs="Times New Roman"/>
        </w:rPr>
        <w:t xml:space="preserve"> </w:t>
      </w:r>
      <w:r w:rsidR="00D00A8B">
        <w:rPr>
          <w:rFonts w:cs="Times New Roman"/>
        </w:rPr>
        <w:fldChar w:fldCharType="begin"/>
      </w:r>
      <w:r w:rsidR="00046F32">
        <w:rPr>
          <w:rFonts w:cs="Times New Roman"/>
        </w:rPr>
        <w:instrText xml:space="preserve"> ADDIN EN.CITE &lt;EndNote&gt;&lt;Cite&gt;&lt;Author&gt;Terrani&lt;/Author&gt;&lt;Year&gt;2012&lt;/Year&gt;&lt;RecNum&gt;8&lt;/RecNum&gt;&lt;DisplayText&gt;[12]&lt;/DisplayText&gt;&lt;record&gt;&lt;rec-number&gt;8&lt;/rec-number&gt;&lt;foreign-keys&gt;&lt;key app="EN" db-id="trfxzx057wwv0qe0vz1vttttwf0522tvtwpt" timestamp="1422124226"&gt;8&lt;/key&gt;&lt;/foreign-keys&gt;&lt;ref-type name="Journal Article"&gt;17&lt;/ref-type&gt;&lt;contributors&gt;&lt;authors&gt;&lt;author&gt;Terrani, Kurt A&lt;/author&gt;&lt;author&gt;Snead, Lance L&lt;/author&gt;&lt;author&gt;Gehin, Jess C&lt;/author&gt;&lt;/authors&gt;&lt;/contributors&gt;&lt;titles&gt;&lt;title&gt;Microencapsulated fuel technology for commercial light water and advanced reactor application&lt;/title&gt;&lt;secondary-title&gt;Journal of Nuclear Materials&lt;/secondary-title&gt;&lt;/titles&gt;&lt;periodical&gt;&lt;full-title&gt;Journal of Nuclear Materials&lt;/full-title&gt;&lt;/periodical&gt;&lt;pages&gt;209-224&lt;/pages&gt;&lt;volume&gt;427&lt;/volume&gt;&lt;number&gt;1&lt;/number&gt;&lt;dates&gt;&lt;year&gt;2012&lt;/year&gt;&lt;/dates&gt;&lt;isbn&gt;0022-3115&lt;/isbn&gt;&lt;urls&gt;&lt;/urls&gt;&lt;/record&gt;&lt;/Cite&gt;&lt;/EndNote&gt;</w:instrText>
      </w:r>
      <w:r w:rsidR="00D00A8B">
        <w:rPr>
          <w:rFonts w:cs="Times New Roman"/>
        </w:rPr>
        <w:fldChar w:fldCharType="separate"/>
      </w:r>
      <w:r w:rsidR="00046F32">
        <w:rPr>
          <w:rFonts w:cs="Times New Roman"/>
          <w:noProof/>
        </w:rPr>
        <w:t>[</w:t>
      </w:r>
      <w:hyperlink w:anchor="_ENREF_12" w:tooltip="Terrani, 2012 #8" w:history="1">
        <w:r w:rsidR="00DF20CB">
          <w:rPr>
            <w:rFonts w:cs="Times New Roman"/>
            <w:noProof/>
          </w:rPr>
          <w:t>12</w:t>
        </w:r>
      </w:hyperlink>
      <w:r w:rsidR="00046F32">
        <w:rPr>
          <w:rFonts w:cs="Times New Roman"/>
          <w:noProof/>
        </w:rPr>
        <w:t>]</w:t>
      </w:r>
      <w:r w:rsidR="00D00A8B">
        <w:rPr>
          <w:rFonts w:cs="Times New Roman"/>
        </w:rPr>
        <w:fldChar w:fldCharType="end"/>
      </w:r>
      <w:r w:rsidR="00FF41CB">
        <w:rPr>
          <w:rFonts w:cs="Times New Roman"/>
        </w:rPr>
        <w:t>.</w:t>
      </w:r>
    </w:p>
    <w:p w14:paraId="56FFFD20" w14:textId="77777777" w:rsidR="00DB5920" w:rsidRPr="00930141" w:rsidRDefault="00317220" w:rsidP="0091793B">
      <w:pPr>
        <w:spacing w:line="360" w:lineRule="auto"/>
        <w:jc w:val="both"/>
        <w:rPr>
          <w:rFonts w:cs="Times New Roman"/>
          <w:b/>
          <w:szCs w:val="24"/>
        </w:rPr>
      </w:pPr>
      <w:r>
        <w:rPr>
          <w:rFonts w:cs="Times New Roman"/>
          <w:b/>
          <w:szCs w:val="24"/>
        </w:rPr>
        <w:t>II</w:t>
      </w:r>
      <w:r w:rsidR="00930141" w:rsidRPr="00930141">
        <w:rPr>
          <w:rFonts w:cs="Times New Roman"/>
          <w:b/>
          <w:szCs w:val="24"/>
        </w:rPr>
        <w:t>.</w:t>
      </w:r>
      <w:r>
        <w:rPr>
          <w:rFonts w:cs="Times New Roman"/>
          <w:b/>
          <w:szCs w:val="24"/>
        </w:rPr>
        <w:t>B</w:t>
      </w:r>
      <w:r w:rsidR="00930141" w:rsidRPr="00930141">
        <w:rPr>
          <w:rFonts w:cs="Times New Roman"/>
          <w:b/>
          <w:szCs w:val="24"/>
        </w:rPr>
        <w:t>.1</w:t>
      </w:r>
      <w:r w:rsidR="00930141" w:rsidRPr="00930141">
        <w:rPr>
          <w:rFonts w:cs="Times New Roman"/>
          <w:b/>
          <w:szCs w:val="24"/>
        </w:rPr>
        <w:tab/>
      </w:r>
      <w:r w:rsidR="00930141" w:rsidRPr="00930141">
        <w:rPr>
          <w:rFonts w:cs="Times New Roman"/>
          <w:b/>
          <w:szCs w:val="24"/>
        </w:rPr>
        <w:tab/>
      </w:r>
      <w:r w:rsidR="00DB5920" w:rsidRPr="00930141">
        <w:rPr>
          <w:rFonts w:cs="Times New Roman"/>
          <w:b/>
          <w:szCs w:val="24"/>
        </w:rPr>
        <w:t>Particle Layer Interaction</w:t>
      </w:r>
    </w:p>
    <w:p w14:paraId="359E8972" w14:textId="77777777" w:rsidR="00DB5920" w:rsidRPr="00930141" w:rsidRDefault="009B4599" w:rsidP="0091793B">
      <w:pPr>
        <w:spacing w:line="360" w:lineRule="auto"/>
        <w:jc w:val="both"/>
        <w:rPr>
          <w:rFonts w:cs="Times New Roman"/>
          <w:szCs w:val="24"/>
        </w:rPr>
      </w:pPr>
      <w:r w:rsidRPr="00930141">
        <w:rPr>
          <w:rFonts w:cs="Times New Roman"/>
          <w:szCs w:val="24"/>
        </w:rPr>
        <w:t>A</w:t>
      </w:r>
      <w:r w:rsidR="00E9647E">
        <w:rPr>
          <w:rFonts w:cs="Times New Roman"/>
          <w:szCs w:val="24"/>
        </w:rPr>
        <w:t>rguably the strongest quality of</w:t>
      </w:r>
      <w:r w:rsidRPr="00930141">
        <w:rPr>
          <w:rFonts w:cs="Times New Roman"/>
          <w:szCs w:val="24"/>
        </w:rPr>
        <w:t xml:space="preserve"> FCM fuel is its ability to entrap </w:t>
      </w:r>
      <w:r w:rsidR="00FB28C4">
        <w:rPr>
          <w:rFonts w:cs="Times New Roman"/>
          <w:szCs w:val="24"/>
        </w:rPr>
        <w:t xml:space="preserve">dangerous </w:t>
      </w:r>
      <w:r w:rsidRPr="00930141">
        <w:rPr>
          <w:rFonts w:cs="Times New Roman"/>
          <w:szCs w:val="24"/>
        </w:rPr>
        <w:t xml:space="preserve">fission products </w:t>
      </w:r>
      <w:r w:rsidR="00FB28C4">
        <w:rPr>
          <w:rFonts w:cs="Times New Roman"/>
          <w:szCs w:val="24"/>
        </w:rPr>
        <w:t xml:space="preserve">such as </w:t>
      </w:r>
      <w:r w:rsidR="00CB65D8">
        <w:rPr>
          <w:rFonts w:cs="Times New Roman"/>
          <w:szCs w:val="24"/>
          <w:vertAlign w:val="superscript"/>
        </w:rPr>
        <w:t>131</w:t>
      </w:r>
      <w:r w:rsidR="00FB28C4" w:rsidRPr="00930141">
        <w:rPr>
          <w:rFonts w:cs="Times New Roman"/>
          <w:szCs w:val="24"/>
        </w:rPr>
        <w:t xml:space="preserve">I and </w:t>
      </w:r>
      <w:r w:rsidR="00CB65D8">
        <w:rPr>
          <w:rFonts w:cs="Times New Roman"/>
          <w:szCs w:val="24"/>
          <w:vertAlign w:val="superscript"/>
        </w:rPr>
        <w:t>137</w:t>
      </w:r>
      <w:r w:rsidR="00FB28C4" w:rsidRPr="00930141">
        <w:rPr>
          <w:rFonts w:cs="Times New Roman"/>
          <w:szCs w:val="24"/>
        </w:rPr>
        <w:t xml:space="preserve">Cs </w:t>
      </w:r>
      <w:r w:rsidRPr="00930141">
        <w:rPr>
          <w:rFonts w:cs="Times New Roman"/>
          <w:szCs w:val="24"/>
        </w:rPr>
        <w:t xml:space="preserve">within its multiple barrier design. </w:t>
      </w:r>
      <w:r w:rsidR="007A60DF" w:rsidRPr="00930141">
        <w:rPr>
          <w:rFonts w:cs="Times New Roman"/>
          <w:szCs w:val="24"/>
        </w:rPr>
        <w:t>The enclosure of these fission products is reliant on the material performance of each particle layer. Alth</w:t>
      </w:r>
      <w:r w:rsidR="00FB28C4">
        <w:rPr>
          <w:rFonts w:cs="Times New Roman"/>
          <w:szCs w:val="24"/>
        </w:rPr>
        <w:t xml:space="preserve">ough there are four layers </w:t>
      </w:r>
      <w:r w:rsidR="007A60DF" w:rsidRPr="00930141">
        <w:rPr>
          <w:rFonts w:cs="Times New Roman"/>
          <w:szCs w:val="24"/>
        </w:rPr>
        <w:t>surround</w:t>
      </w:r>
      <w:r w:rsidR="00FB28C4">
        <w:rPr>
          <w:rFonts w:cs="Times New Roman"/>
          <w:szCs w:val="24"/>
        </w:rPr>
        <w:t>ing</w:t>
      </w:r>
      <w:r w:rsidR="007A60DF" w:rsidRPr="00930141">
        <w:rPr>
          <w:rFonts w:cs="Times New Roman"/>
          <w:szCs w:val="24"/>
        </w:rPr>
        <w:t xml:space="preserve"> the fuel kernel, fa</w:t>
      </w:r>
      <w:r w:rsidR="00506B4A">
        <w:rPr>
          <w:rFonts w:cs="Times New Roman"/>
          <w:szCs w:val="24"/>
        </w:rPr>
        <w:t>ilure of the SiC PV</w:t>
      </w:r>
      <w:r w:rsidR="007A60DF" w:rsidRPr="00930141">
        <w:rPr>
          <w:rFonts w:cs="Times New Roman"/>
          <w:szCs w:val="24"/>
        </w:rPr>
        <w:t xml:space="preserve"> layer almost always leads to complete failure of the particle. </w:t>
      </w:r>
      <w:r w:rsidR="0023185A" w:rsidRPr="00930141">
        <w:rPr>
          <w:rFonts w:cs="Times New Roman"/>
          <w:szCs w:val="24"/>
        </w:rPr>
        <w:t xml:space="preserve">Therefore it is important to understand the inner workings of each </w:t>
      </w:r>
      <w:r w:rsidR="007A60DF" w:rsidRPr="00930141">
        <w:rPr>
          <w:rFonts w:cs="Times New Roman"/>
          <w:szCs w:val="24"/>
        </w:rPr>
        <w:t>layer, how it in</w:t>
      </w:r>
      <w:r w:rsidR="00C63615">
        <w:rPr>
          <w:rFonts w:cs="Times New Roman"/>
          <w:szCs w:val="24"/>
        </w:rPr>
        <w:t>teracts with the PV</w:t>
      </w:r>
      <w:r w:rsidR="007A60DF" w:rsidRPr="00930141">
        <w:rPr>
          <w:rFonts w:cs="Times New Roman"/>
          <w:szCs w:val="24"/>
        </w:rPr>
        <w:t>, as well as the</w:t>
      </w:r>
      <w:r w:rsidR="0023185A" w:rsidRPr="00930141">
        <w:rPr>
          <w:rFonts w:cs="Times New Roman"/>
          <w:szCs w:val="24"/>
        </w:rPr>
        <w:t xml:space="preserve"> mechanisms that can lead to possible failure.</w:t>
      </w:r>
      <w:r w:rsidR="007A60DF" w:rsidRPr="00930141">
        <w:rPr>
          <w:rFonts w:cs="Times New Roman"/>
          <w:szCs w:val="24"/>
        </w:rPr>
        <w:t xml:space="preserve">  </w:t>
      </w:r>
      <w:r w:rsidR="00FB28C4">
        <w:rPr>
          <w:rFonts w:cs="Times New Roman"/>
          <w:szCs w:val="24"/>
        </w:rPr>
        <w:t xml:space="preserve"> </w:t>
      </w:r>
    </w:p>
    <w:p w14:paraId="1E0BA592" w14:textId="0F565F0F" w:rsidR="007A60DF" w:rsidRPr="00930141" w:rsidRDefault="007A60DF" w:rsidP="0091793B">
      <w:pPr>
        <w:spacing w:line="360" w:lineRule="auto"/>
        <w:jc w:val="both"/>
        <w:rPr>
          <w:rFonts w:cs="Times New Roman"/>
          <w:szCs w:val="24"/>
        </w:rPr>
      </w:pPr>
      <w:r w:rsidRPr="00930141">
        <w:rPr>
          <w:rFonts w:cs="Times New Roman"/>
          <w:szCs w:val="24"/>
        </w:rPr>
        <w:t xml:space="preserve">Although materials in the fuel region of a reactor will undergo irradiation from betas, alphas and </w:t>
      </w:r>
      <w:r w:rsidR="00D51F92">
        <w:rPr>
          <w:rFonts w:cs="Times New Roman"/>
          <w:szCs w:val="24"/>
        </w:rPr>
        <w:t xml:space="preserve">other </w:t>
      </w:r>
      <w:r w:rsidRPr="00930141">
        <w:rPr>
          <w:rFonts w:cs="Times New Roman"/>
          <w:szCs w:val="24"/>
        </w:rPr>
        <w:t xml:space="preserve">fission products, the majority of irradiation damage will come from the heavy neutron flux. </w:t>
      </w:r>
      <w:r w:rsidRPr="00930141">
        <w:rPr>
          <w:rFonts w:cs="Times New Roman"/>
          <w:szCs w:val="24"/>
        </w:rPr>
        <w:lastRenderedPageBreak/>
        <w:t>Neutrons traversing through a material have the potential to knock off surrounding atoms from their lattice sites</w:t>
      </w:r>
      <w:r w:rsidR="00BF2EDC" w:rsidRPr="00930141">
        <w:rPr>
          <w:rFonts w:cs="Times New Roman"/>
          <w:szCs w:val="24"/>
        </w:rPr>
        <w:t xml:space="preserve"> causing a cascade of collision events leading to large defects in the material</w:t>
      </w:r>
      <w:r w:rsidRPr="00930141">
        <w:rPr>
          <w:rFonts w:cs="Times New Roman"/>
          <w:szCs w:val="24"/>
        </w:rPr>
        <w:t xml:space="preserve"> </w:t>
      </w:r>
      <w:r w:rsidR="00D00A8B">
        <w:rPr>
          <w:rFonts w:cs="Times New Roman"/>
          <w:szCs w:val="24"/>
        </w:rPr>
        <w:fldChar w:fldCharType="begin"/>
      </w:r>
      <w:r w:rsidR="00046F32">
        <w:rPr>
          <w:rFonts w:cs="Times New Roman"/>
          <w:szCs w:val="24"/>
        </w:rPr>
        <w:instrText xml:space="preserve"> ADDIN EN.CITE &lt;EndNote&gt;&lt;Cite&gt;&lt;Author&gt;Was&lt;/Author&gt;&lt;Year&gt;2007&lt;/Year&gt;&lt;RecNum&gt;9&lt;/RecNum&gt;&lt;DisplayText&gt;[13]&lt;/DisplayText&gt;&lt;record&gt;&lt;rec-number&gt;9&lt;/rec-number&gt;&lt;foreign-keys&gt;&lt;key app="EN" db-id="trfxzx057wwv0qe0vz1vttttwf0522tvtwpt" timestamp="1422124255"&gt;9&lt;/key&gt;&lt;/foreign-keys&gt;&lt;ref-type name="Book"&gt;6&lt;/ref-type&gt;&lt;contributors&gt;&lt;authors&gt;&lt;author&gt;Was, Gary S&lt;/author&gt;&lt;/authors&gt;&lt;/contributors&gt;&lt;titles&gt;&lt;title&gt;Fundamentals of radiation materials science&lt;/title&gt;&lt;/titles&gt;&lt;dates&gt;&lt;year&gt;2007&lt;/year&gt;&lt;/dates&gt;&lt;publisher&gt;Springer&lt;/publisher&gt;&lt;isbn&gt;3540494715&lt;/isbn&gt;&lt;urls&gt;&lt;/urls&gt;&lt;/record&gt;&lt;/Cite&gt;&lt;/EndNote&gt;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13" w:tooltip="Was, 2007 #9" w:history="1">
        <w:r w:rsidR="00DF20CB">
          <w:rPr>
            <w:rFonts w:cs="Times New Roman"/>
            <w:noProof/>
            <w:szCs w:val="24"/>
          </w:rPr>
          <w:t>13</w:t>
        </w:r>
      </w:hyperlink>
      <w:r w:rsidR="00046F32">
        <w:rPr>
          <w:rFonts w:cs="Times New Roman"/>
          <w:noProof/>
          <w:szCs w:val="24"/>
        </w:rPr>
        <w:t>]</w:t>
      </w:r>
      <w:r w:rsidR="00D00A8B">
        <w:rPr>
          <w:rFonts w:cs="Times New Roman"/>
          <w:szCs w:val="24"/>
        </w:rPr>
        <w:fldChar w:fldCharType="end"/>
      </w:r>
      <w:r w:rsidR="00D82BFF">
        <w:rPr>
          <w:rFonts w:cs="Times New Roman"/>
          <w:szCs w:val="24"/>
        </w:rPr>
        <w:t>.</w:t>
      </w:r>
      <w:r w:rsidR="00BF2EDC" w:rsidRPr="00930141">
        <w:rPr>
          <w:rFonts w:cs="Times New Roman"/>
          <w:szCs w:val="24"/>
        </w:rPr>
        <w:t xml:space="preserve"> The accumulation of defects causes</w:t>
      </w:r>
      <w:r w:rsidRPr="00930141">
        <w:rPr>
          <w:rFonts w:cs="Times New Roman"/>
          <w:szCs w:val="24"/>
        </w:rPr>
        <w:t xml:space="preserve"> a densification process followed by swelling in the material and in turn causes a higher likelihood of failure</w:t>
      </w:r>
      <w:r w:rsidR="004D4E2B" w:rsidRPr="00930141">
        <w:rPr>
          <w:rFonts w:cs="Times New Roman"/>
          <w:szCs w:val="24"/>
        </w:rPr>
        <w:t xml:space="preserve"> </w:t>
      </w:r>
      <w:r w:rsidR="00D00A8B">
        <w:rPr>
          <w:rFonts w:cs="Times New Roman"/>
          <w:szCs w:val="24"/>
        </w:rPr>
        <w:fldChar w:fldCharType="begin"/>
      </w:r>
      <w:r w:rsidR="00046F32">
        <w:rPr>
          <w:rFonts w:cs="Times New Roman"/>
          <w:szCs w:val="24"/>
        </w:rPr>
        <w:instrText xml:space="preserve"> ADDIN EN.CITE &lt;EndNote&gt;&lt;Cite&gt;&lt;Author&gt;Snead&lt;/Author&gt;&lt;Year&gt;2007&lt;/Year&gt;&lt;RecNum&gt;42&lt;/RecNum&gt;&lt;DisplayText&gt;[14]&lt;/DisplayText&gt;&lt;record&gt;&lt;rec-number&gt;42&lt;/rec-number&gt;&lt;foreign-keys&gt;&lt;key app="EN" db-id="trfxzx057wwv0qe0vz1vttttwf0522tvtwpt" timestamp="1422126693"&gt;42&lt;/key&gt;&lt;/foreign-keys&gt;&lt;ref-type name="Journal Article"&gt;17&lt;/ref-type&gt;&lt;contributors&gt;&lt;authors&gt;&lt;author&gt;Snead, Lance L&lt;/author&gt;&lt;author&gt;Nozawa, Takashi&lt;/author&gt;&lt;author&gt;Katoh, Yutai&lt;/author&gt;&lt;author&gt;Byun, Thak-Sang&lt;/author&gt;&lt;author&gt;Kondo, Sosuke&lt;/author&gt;&lt;author&gt;Petti, David A&lt;/author&gt;&lt;/authors&gt;&lt;/contributors&gt;&lt;titles&gt;&lt;title&gt;Handbook of SiC properties for fuel performance modeling&lt;/title&gt;&lt;secondary-title&gt;Journal of Nuclear Materials&lt;/secondary-title&gt;&lt;/titles&gt;&lt;periodical&gt;&lt;full-title&gt;Journal of Nuclear Materials&lt;/full-title&gt;&lt;/periodical&gt;&lt;pages&gt;329-377&lt;/pages&gt;&lt;volume&gt;371&lt;/volume&gt;&lt;number&gt;1&lt;/number&gt;&lt;dates&gt;&lt;year&gt;2007&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14" w:tooltip="Snead, 2007 #42" w:history="1">
        <w:r w:rsidR="00DF20CB">
          <w:rPr>
            <w:rFonts w:cs="Times New Roman"/>
            <w:noProof/>
            <w:szCs w:val="24"/>
          </w:rPr>
          <w:t>14</w:t>
        </w:r>
      </w:hyperlink>
      <w:r w:rsidR="00046F32">
        <w:rPr>
          <w:rFonts w:cs="Times New Roman"/>
          <w:noProof/>
          <w:szCs w:val="24"/>
        </w:rPr>
        <w:t>]</w:t>
      </w:r>
      <w:r w:rsidR="00D00A8B">
        <w:rPr>
          <w:rFonts w:cs="Times New Roman"/>
          <w:szCs w:val="24"/>
        </w:rPr>
        <w:fldChar w:fldCharType="end"/>
      </w:r>
      <w:r w:rsidR="00D82BFF">
        <w:rPr>
          <w:rFonts w:cs="Times New Roman"/>
          <w:szCs w:val="24"/>
        </w:rPr>
        <w:t>.</w:t>
      </w:r>
    </w:p>
    <w:p w14:paraId="3FDB8CA2" w14:textId="098373A7" w:rsidR="007A60DF" w:rsidRDefault="007A60DF" w:rsidP="0091793B">
      <w:pPr>
        <w:spacing w:line="360" w:lineRule="auto"/>
        <w:jc w:val="both"/>
        <w:rPr>
          <w:rFonts w:cs="Times New Roman"/>
          <w:szCs w:val="24"/>
        </w:rPr>
      </w:pPr>
      <w:r w:rsidRPr="00930141">
        <w:rPr>
          <w:rFonts w:cs="Times New Roman"/>
          <w:szCs w:val="24"/>
        </w:rPr>
        <w:t xml:space="preserve">In addition to the neutron irradiation environment, gas pressure in the particle increases from the arrival of gaseous fission products in the </w:t>
      </w:r>
      <w:r w:rsidR="004D4E2B" w:rsidRPr="00930141">
        <w:rPr>
          <w:rFonts w:cs="Times New Roman"/>
          <w:szCs w:val="24"/>
        </w:rPr>
        <w:t>fuel kernel. A</w:t>
      </w:r>
      <w:r w:rsidRPr="00930141">
        <w:rPr>
          <w:rFonts w:cs="Times New Roman"/>
          <w:szCs w:val="24"/>
        </w:rPr>
        <w:t>s oxygen molecules from UCO react with carbon from the buffer and IPyC layers, CO and CO</w:t>
      </w:r>
      <w:r w:rsidRPr="00930141">
        <w:rPr>
          <w:rFonts w:cs="Times New Roman"/>
          <w:szCs w:val="24"/>
          <w:vertAlign w:val="subscript"/>
        </w:rPr>
        <w:t>2</w:t>
      </w:r>
      <w:r w:rsidRPr="00930141">
        <w:rPr>
          <w:rFonts w:cs="Times New Roman"/>
          <w:szCs w:val="24"/>
        </w:rPr>
        <w:t xml:space="preserve"> gas begin to form. These added gas pressures push on the IPyC region causing st</w:t>
      </w:r>
      <w:r w:rsidR="00E9647E">
        <w:rPr>
          <w:rFonts w:cs="Times New Roman"/>
          <w:szCs w:val="24"/>
        </w:rPr>
        <w:t>ress on the SiC layer. T</w:t>
      </w:r>
      <w:r w:rsidRPr="00930141">
        <w:rPr>
          <w:rFonts w:cs="Times New Roman"/>
          <w:szCs w:val="24"/>
        </w:rPr>
        <w:t>he largest contributio</w:t>
      </w:r>
      <w:r w:rsidR="00C63615">
        <w:rPr>
          <w:rFonts w:cs="Times New Roman"/>
          <w:szCs w:val="24"/>
        </w:rPr>
        <w:t>n of stress and strain on the PV</w:t>
      </w:r>
      <w:r w:rsidRPr="00930141">
        <w:rPr>
          <w:rFonts w:cs="Times New Roman"/>
          <w:szCs w:val="24"/>
        </w:rPr>
        <w:t xml:space="preserve"> </w:t>
      </w:r>
      <w:r w:rsidR="00E9647E">
        <w:rPr>
          <w:rFonts w:cs="Times New Roman"/>
          <w:szCs w:val="24"/>
        </w:rPr>
        <w:t xml:space="preserve">however </w:t>
      </w:r>
      <w:r w:rsidRPr="00930141">
        <w:rPr>
          <w:rFonts w:cs="Times New Roman"/>
          <w:szCs w:val="24"/>
        </w:rPr>
        <w:t xml:space="preserve">is from shrinkage and swelling of the PyC layers. </w:t>
      </w:r>
      <w:r w:rsidR="00DC0A3C">
        <w:rPr>
          <w:rFonts w:cs="Times New Roman"/>
          <w:szCs w:val="24"/>
        </w:rPr>
        <w:t xml:space="preserve">Figure 3 </w:t>
      </w:r>
      <w:r w:rsidR="00D82BFF">
        <w:rPr>
          <w:rFonts w:cs="Times New Roman"/>
          <w:szCs w:val="24"/>
        </w:rPr>
        <w:t>illustrates</w:t>
      </w:r>
      <w:r w:rsidR="00D82BFF" w:rsidRPr="00930141">
        <w:rPr>
          <w:rFonts w:cs="Times New Roman"/>
          <w:szCs w:val="24"/>
        </w:rPr>
        <w:t xml:space="preserve"> </w:t>
      </w:r>
      <w:r w:rsidRPr="00930141">
        <w:rPr>
          <w:rFonts w:cs="Times New Roman"/>
          <w:szCs w:val="24"/>
        </w:rPr>
        <w:t>the forces acting on the SiC layer which can cause eventual particle failure</w:t>
      </w:r>
      <w:r w:rsidR="008952C2">
        <w:rPr>
          <w:rFonts w:cs="Times New Roman"/>
          <w:szCs w:val="24"/>
        </w:rPr>
        <w:t xml:space="preserve"> </w:t>
      </w:r>
      <w:r w:rsidR="00D00A8B">
        <w:rPr>
          <w:rFonts w:cs="Times New Roman"/>
          <w:szCs w:val="24"/>
        </w:rPr>
        <w:fldChar w:fldCharType="begin"/>
      </w:r>
      <w:r w:rsidR="00046F32">
        <w:rPr>
          <w:rFonts w:cs="Times New Roman"/>
          <w:szCs w:val="24"/>
        </w:rPr>
        <w:instrText xml:space="preserve"> ADDIN EN.CITE &lt;EndNote&gt;&lt;Cite&gt;&lt;Author&gt;Powers&lt;/Author&gt;&lt;Year&gt;2010&lt;/Year&gt;&lt;RecNum&gt;6&lt;/RecNum&gt;&lt;DisplayText&gt;[10]&lt;/DisplayText&gt;&lt;record&gt;&lt;rec-number&gt;6&lt;/rec-number&gt;&lt;foreign-keys&gt;&lt;key app="EN" db-id="trfxzx057wwv0qe0vz1vttttwf0522tvtwpt" timestamp="1422124166"&gt;6&lt;/key&gt;&lt;/foreign-keys&gt;&lt;ref-type name="Journal Article"&gt;17&lt;/ref-type&gt;&lt;contributors&gt;&lt;authors&gt;&lt;author&gt;Powers, Jeffrey J&lt;/author&gt;&lt;author&gt;Wirth, Brian D&lt;/author&gt;&lt;/authors&gt;&lt;/contributors&gt;&lt;titles&gt;&lt;title&gt;A review of TRISO fuel performance models&lt;/title&gt;&lt;secondary-title&gt;Journal of Nuclear Materials&lt;/secondary-title&gt;&lt;/titles&gt;&lt;periodical&gt;&lt;full-title&gt;Journal of Nuclear Materials&lt;/full-title&gt;&lt;/periodical&gt;&lt;pages&gt;74-82&lt;/pages&gt;&lt;volume&gt;405&lt;/volume&gt;&lt;number&gt;1&lt;/number&gt;&lt;dates&gt;&lt;year&gt;2010&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10" w:tooltip="Powers, 2010 #6" w:history="1">
        <w:r w:rsidR="00DF20CB">
          <w:rPr>
            <w:rFonts w:cs="Times New Roman"/>
            <w:noProof/>
            <w:szCs w:val="24"/>
          </w:rPr>
          <w:t>10</w:t>
        </w:r>
      </w:hyperlink>
      <w:r w:rsidR="00046F32">
        <w:rPr>
          <w:rFonts w:cs="Times New Roman"/>
          <w:noProof/>
          <w:szCs w:val="24"/>
        </w:rPr>
        <w:t>]</w:t>
      </w:r>
      <w:r w:rsidR="00D00A8B">
        <w:rPr>
          <w:rFonts w:cs="Times New Roman"/>
          <w:szCs w:val="24"/>
        </w:rPr>
        <w:fldChar w:fldCharType="end"/>
      </w:r>
      <w:r w:rsidR="00D82BFF">
        <w:rPr>
          <w:rFonts w:cs="Times New Roman"/>
          <w:szCs w:val="24"/>
        </w:rPr>
        <w:t>.</w:t>
      </w:r>
    </w:p>
    <w:p w14:paraId="64AEFE56" w14:textId="77777777" w:rsidR="00BE23CF" w:rsidRPr="00930141" w:rsidRDefault="00BE23CF" w:rsidP="0091793B">
      <w:pPr>
        <w:spacing w:line="360" w:lineRule="auto"/>
        <w:jc w:val="both"/>
        <w:rPr>
          <w:rFonts w:cs="Times New Roman"/>
          <w:szCs w:val="24"/>
        </w:rPr>
      </w:pPr>
    </w:p>
    <w:p w14:paraId="28602121" w14:textId="397E038D" w:rsidR="007A60DF" w:rsidRDefault="007A60DF" w:rsidP="0091793B">
      <w:pPr>
        <w:spacing w:line="360" w:lineRule="auto"/>
        <w:rPr>
          <w:rFonts w:cs="Times New Roman"/>
          <w:szCs w:val="24"/>
        </w:rPr>
      </w:pPr>
      <w:r w:rsidRPr="00930141">
        <w:rPr>
          <w:rFonts w:cs="Times New Roman"/>
          <w:noProof/>
          <w:szCs w:val="24"/>
        </w:rPr>
        <w:drawing>
          <wp:inline distT="0" distB="0" distL="0" distR="0" wp14:anchorId="71DFBE16" wp14:editId="2F8C4010">
            <wp:extent cx="3604783" cy="1745673"/>
            <wp:effectExtent l="0" t="0" r="0" b="698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611562" cy="1748956"/>
                    </a:xfrm>
                    <a:prstGeom prst="rect">
                      <a:avLst/>
                    </a:prstGeom>
                    <a:noFill/>
                    <a:ln>
                      <a:noFill/>
                    </a:ln>
                  </pic:spPr>
                </pic:pic>
              </a:graphicData>
            </a:graphic>
          </wp:inline>
        </w:drawing>
      </w:r>
      <w:r w:rsidR="00C03893" w:rsidRPr="00C03893">
        <w:rPr>
          <w:rFonts w:cs="Times New Roman"/>
          <w:szCs w:val="24"/>
        </w:rPr>
        <w:t xml:space="preserve"> </w:t>
      </w:r>
    </w:p>
    <w:p w14:paraId="0AE3BA72" w14:textId="728234CA" w:rsidR="0039764A" w:rsidRPr="00DF20CB" w:rsidRDefault="0039764A" w:rsidP="0091793B">
      <w:pPr>
        <w:pStyle w:val="Caption"/>
        <w:spacing w:line="360" w:lineRule="auto"/>
        <w:rPr>
          <w:rFonts w:cs="Times New Roman"/>
          <w:b w:val="0"/>
          <w:color w:val="auto"/>
          <w:sz w:val="24"/>
          <w:szCs w:val="24"/>
        </w:rPr>
      </w:pPr>
      <w:bookmarkStart w:id="5" w:name="_Toc416993442"/>
      <w:r w:rsidRPr="0039764A">
        <w:rPr>
          <w:rFonts w:cs="Times New Roman"/>
          <w:b w:val="0"/>
          <w:color w:val="auto"/>
          <w:sz w:val="24"/>
          <w:szCs w:val="24"/>
        </w:rPr>
        <w:t xml:space="preserve">Figure </w:t>
      </w:r>
      <w:r w:rsidRPr="0039764A">
        <w:rPr>
          <w:rFonts w:cs="Times New Roman"/>
          <w:b w:val="0"/>
          <w:color w:val="auto"/>
          <w:sz w:val="24"/>
          <w:szCs w:val="24"/>
        </w:rPr>
        <w:fldChar w:fldCharType="begin"/>
      </w:r>
      <w:r w:rsidRPr="0039764A">
        <w:rPr>
          <w:rFonts w:cs="Times New Roman"/>
          <w:b w:val="0"/>
          <w:color w:val="auto"/>
          <w:sz w:val="24"/>
          <w:szCs w:val="24"/>
        </w:rPr>
        <w:instrText xml:space="preserve"> SEQ Figure \* ARABIC </w:instrText>
      </w:r>
      <w:r w:rsidRPr="0039764A">
        <w:rPr>
          <w:rFonts w:cs="Times New Roman"/>
          <w:b w:val="0"/>
          <w:color w:val="auto"/>
          <w:sz w:val="24"/>
          <w:szCs w:val="24"/>
        </w:rPr>
        <w:fldChar w:fldCharType="separate"/>
      </w:r>
      <w:r w:rsidR="00F3244B">
        <w:rPr>
          <w:rFonts w:cs="Times New Roman"/>
          <w:b w:val="0"/>
          <w:noProof/>
          <w:color w:val="auto"/>
          <w:sz w:val="24"/>
          <w:szCs w:val="24"/>
        </w:rPr>
        <w:t>3</w:t>
      </w:r>
      <w:r w:rsidRPr="0039764A">
        <w:rPr>
          <w:rFonts w:cs="Times New Roman"/>
          <w:b w:val="0"/>
          <w:color w:val="auto"/>
          <w:sz w:val="24"/>
          <w:szCs w:val="24"/>
        </w:rPr>
        <w:fldChar w:fldCharType="end"/>
      </w:r>
      <w:r w:rsidR="00C63615">
        <w:rPr>
          <w:rFonts w:cs="Times New Roman"/>
          <w:b w:val="0"/>
          <w:color w:val="auto"/>
          <w:sz w:val="24"/>
          <w:szCs w:val="24"/>
        </w:rPr>
        <w:t xml:space="preserve">: Mechanical stresses induced on PV by </w:t>
      </w:r>
      <w:r w:rsidR="00C63615" w:rsidRPr="00DF20CB">
        <w:rPr>
          <w:rFonts w:cs="Times New Roman"/>
          <w:b w:val="0"/>
          <w:color w:val="auto"/>
          <w:sz w:val="24"/>
          <w:szCs w:val="24"/>
        </w:rPr>
        <w:t>surrounding PyC l</w:t>
      </w:r>
      <w:r w:rsidRPr="00DF20CB">
        <w:rPr>
          <w:rFonts w:cs="Times New Roman"/>
          <w:b w:val="0"/>
          <w:color w:val="auto"/>
          <w:sz w:val="24"/>
          <w:szCs w:val="24"/>
        </w:rPr>
        <w:t>ayers</w:t>
      </w:r>
      <w:r w:rsidR="00DF20CB" w:rsidRPr="00DF20CB">
        <w:rPr>
          <w:rFonts w:cs="Times New Roman"/>
          <w:b w:val="0"/>
          <w:color w:val="auto"/>
          <w:sz w:val="24"/>
          <w:szCs w:val="24"/>
        </w:rPr>
        <w:t xml:space="preserve"> </w:t>
      </w:r>
      <w:r w:rsidR="00DF20CB" w:rsidRPr="00DF20CB">
        <w:rPr>
          <w:rFonts w:cs="Times New Roman"/>
          <w:b w:val="0"/>
          <w:color w:val="auto"/>
          <w:sz w:val="24"/>
          <w:szCs w:val="24"/>
        </w:rPr>
        <w:fldChar w:fldCharType="begin"/>
      </w:r>
      <w:r w:rsidR="00DF20CB" w:rsidRPr="00DF20CB">
        <w:rPr>
          <w:rFonts w:cs="Times New Roman"/>
          <w:b w:val="0"/>
          <w:color w:val="auto"/>
          <w:sz w:val="24"/>
          <w:szCs w:val="24"/>
        </w:rPr>
        <w:instrText xml:space="preserve"> ADDIN EN.CITE &lt;EndNote&gt;&lt;Cite&gt;&lt;Author&gt;Minato&lt;/Author&gt;&lt;Year&gt;1997&lt;/Year&gt;&lt;RecNum&gt;10&lt;/RecNum&gt;&lt;DisplayText&gt;[15]&lt;/DisplayText&gt;&lt;record&gt;&lt;rec-number&gt;10&lt;/rec-number&gt;&lt;foreign-keys&gt;&lt;key app="EN" db-id="trfxzx057wwv0qe0vz1vttttwf0522tvtwpt" timestamp="1422124281"&gt;10&lt;/key&gt;&lt;/foreign-keys&gt;&lt;ref-type name="Journal Article"&gt;17&lt;/ref-type&gt;&lt;contributors&gt;&lt;authors&gt;&lt;author&gt;Minato, Kazuo&lt;/author&gt;&lt;author&gt;Kikuchi, Hironobu&lt;/author&gt;&lt;author&gt;Tobita, Tsutomu&lt;/author&gt;&lt;author&gt;Fukuda, Kousaku&lt;/author&gt;&lt;author&gt;Kaneko, Mitsunobu&lt;/author&gt;&lt;author&gt;Suzuki, Nobuyuki&lt;/author&gt;&lt;author&gt;Yoshimuta, Shigeharu&lt;/author&gt;&lt;author&gt;Tomimoto, Hiroshi&lt;/author&gt;&lt;/authors&gt;&lt;/contributors&gt;&lt;titles&gt;&lt;title&gt;Improvements in quality of as-manufactured fuels for high-temperature gas-cooled reactors&lt;/title&gt;&lt;secondary-title&gt;Journal of Nuclear Science and Technology&lt;/secondary-title&gt;&lt;/titles&gt;&lt;periodical&gt;&lt;full-title&gt;Journal of Nuclear Science and Technology&lt;/full-title&gt;&lt;/periodical&gt;&lt;pages&gt;325-333&lt;/pages&gt;&lt;volume&gt;34&lt;/volume&gt;&lt;number&gt;3&lt;/number&gt;&lt;dates&gt;&lt;year&gt;1997&lt;/year&gt;&lt;/dates&gt;&lt;isbn&gt;0022-3131&lt;/isbn&gt;&lt;urls&gt;&lt;/urls&gt;&lt;/record&gt;&lt;/Cite&gt;&lt;/EndNote&gt;</w:instrText>
      </w:r>
      <w:r w:rsidR="00DF20CB" w:rsidRPr="00DF20CB">
        <w:rPr>
          <w:rFonts w:cs="Times New Roman"/>
          <w:b w:val="0"/>
          <w:color w:val="auto"/>
          <w:sz w:val="24"/>
          <w:szCs w:val="24"/>
        </w:rPr>
        <w:fldChar w:fldCharType="separate"/>
      </w:r>
      <w:r w:rsidR="00DF20CB" w:rsidRPr="00DF20CB">
        <w:rPr>
          <w:rFonts w:cs="Times New Roman"/>
          <w:b w:val="0"/>
          <w:noProof/>
          <w:color w:val="auto"/>
          <w:sz w:val="24"/>
          <w:szCs w:val="24"/>
        </w:rPr>
        <w:t>[</w:t>
      </w:r>
      <w:hyperlink w:anchor="_ENREF_15" w:tooltip="Minato, 1997 #10" w:history="1">
        <w:r w:rsidR="00DF20CB" w:rsidRPr="00DF20CB">
          <w:rPr>
            <w:rFonts w:cs="Times New Roman"/>
            <w:b w:val="0"/>
            <w:noProof/>
            <w:color w:val="auto"/>
            <w:sz w:val="24"/>
            <w:szCs w:val="24"/>
          </w:rPr>
          <w:t>15</w:t>
        </w:r>
      </w:hyperlink>
      <w:r w:rsidR="00DF20CB" w:rsidRPr="00DF20CB">
        <w:rPr>
          <w:rFonts w:cs="Times New Roman"/>
          <w:b w:val="0"/>
          <w:noProof/>
          <w:color w:val="auto"/>
          <w:sz w:val="24"/>
          <w:szCs w:val="24"/>
        </w:rPr>
        <w:t>]</w:t>
      </w:r>
      <w:bookmarkEnd w:id="5"/>
      <w:r w:rsidR="00DF20CB" w:rsidRPr="00DF20CB">
        <w:rPr>
          <w:rFonts w:cs="Times New Roman"/>
          <w:b w:val="0"/>
          <w:color w:val="auto"/>
          <w:sz w:val="24"/>
          <w:szCs w:val="24"/>
        </w:rPr>
        <w:fldChar w:fldCharType="end"/>
      </w:r>
    </w:p>
    <w:p w14:paraId="5D745784" w14:textId="77777777" w:rsidR="00D35009" w:rsidRPr="00D35009" w:rsidRDefault="00D35009" w:rsidP="0091793B">
      <w:pPr>
        <w:spacing w:line="360" w:lineRule="auto"/>
      </w:pPr>
    </w:p>
    <w:p w14:paraId="534E5452" w14:textId="4B08B57E" w:rsidR="007A60DF" w:rsidRDefault="007A60DF" w:rsidP="0091793B">
      <w:pPr>
        <w:spacing w:line="360" w:lineRule="auto"/>
        <w:jc w:val="both"/>
        <w:rPr>
          <w:rFonts w:cs="Times New Roman"/>
          <w:szCs w:val="24"/>
        </w:rPr>
      </w:pPr>
      <w:r w:rsidRPr="00930141">
        <w:rPr>
          <w:rFonts w:cs="Times New Roman"/>
          <w:szCs w:val="24"/>
        </w:rPr>
        <w:t>As PyC is exposed to heavy neutron irradiation, a densificat</w:t>
      </w:r>
      <w:r w:rsidR="00C63615">
        <w:rPr>
          <w:rFonts w:cs="Times New Roman"/>
          <w:szCs w:val="24"/>
        </w:rPr>
        <w:t>ion process first occurs. W</w:t>
      </w:r>
      <w:r w:rsidRPr="00930141">
        <w:rPr>
          <w:rFonts w:cs="Times New Roman"/>
          <w:szCs w:val="24"/>
        </w:rPr>
        <w:t>hen voids begin to arise from vacancy accumulation, the material begins to swell. Once the tensile stress on the SiC layer from these forces exceeds that of its fracture strengt</w:t>
      </w:r>
      <w:r w:rsidR="00C63615">
        <w:rPr>
          <w:rFonts w:cs="Times New Roman"/>
          <w:szCs w:val="24"/>
        </w:rPr>
        <w:t>h, the PV will rupture. Figure</w:t>
      </w:r>
      <w:r w:rsidR="00277E51">
        <w:rPr>
          <w:rFonts w:cs="Times New Roman"/>
          <w:szCs w:val="24"/>
        </w:rPr>
        <w:t xml:space="preserve"> 4</w:t>
      </w:r>
      <w:r w:rsidRPr="00930141">
        <w:rPr>
          <w:rFonts w:cs="Times New Roman"/>
          <w:szCs w:val="24"/>
        </w:rPr>
        <w:t xml:space="preserve"> shows a crack propagating through a TRISO particle from the fuel kernel all</w:t>
      </w:r>
      <w:r w:rsidR="008952C2">
        <w:rPr>
          <w:rFonts w:cs="Times New Roman"/>
          <w:szCs w:val="24"/>
        </w:rPr>
        <w:t xml:space="preserve"> the way through the SiC layer </w:t>
      </w:r>
      <w:r w:rsidR="00D00A8B">
        <w:rPr>
          <w:rFonts w:cs="Times New Roman"/>
          <w:szCs w:val="24"/>
        </w:rPr>
        <w:fldChar w:fldCharType="begin"/>
      </w:r>
      <w:r w:rsidR="00046F32">
        <w:rPr>
          <w:rFonts w:cs="Times New Roman"/>
          <w:szCs w:val="24"/>
        </w:rPr>
        <w:instrText xml:space="preserve"> ADDIN EN.CITE &lt;EndNote&gt;&lt;Cite&gt;&lt;Author&gt;Minato&lt;/Author&gt;&lt;Year&gt;1997&lt;/Year&gt;&lt;RecNum&gt;10&lt;/RecNum&gt;&lt;DisplayText&gt;[15]&lt;/DisplayText&gt;&lt;record&gt;&lt;rec-number&gt;10&lt;/rec-number&gt;&lt;foreign-keys&gt;&lt;key app="EN" db-id="trfxzx057wwv0qe0vz1vttttwf0522tvtwpt" timestamp="1422124281"&gt;10&lt;/key&gt;&lt;/foreign-keys&gt;&lt;ref-type name="Journal Article"&gt;17&lt;/ref-type&gt;&lt;contributors&gt;&lt;authors&gt;&lt;author&gt;Minato, Kazuo&lt;/author&gt;&lt;author&gt;Kikuchi, Hironobu&lt;/author&gt;&lt;author&gt;Tobita, Tsutomu&lt;/author&gt;&lt;author&gt;Fukuda, Kousaku&lt;/author&gt;&lt;author&gt;Kaneko, Mitsunobu&lt;/author&gt;&lt;author&gt;Suzuki, Nobuyuki&lt;/author&gt;&lt;author&gt;Yoshimuta, Shigeharu&lt;/author&gt;&lt;author&gt;Tomimoto, Hiroshi&lt;/author&gt;&lt;/authors&gt;&lt;/contributors&gt;&lt;titles&gt;&lt;title&gt;Improvements in quality of as-manufactured fuels for high-temperature gas-cooled reactors&lt;/title&gt;&lt;secondary-title&gt;Journal of Nuclear Science and Technology&lt;/secondary-title&gt;&lt;/titles&gt;&lt;periodical&gt;&lt;full-title&gt;Journal of Nuclear Science and Technology&lt;/full-title&gt;&lt;/periodical&gt;&lt;pages&gt;325-333&lt;/pages&gt;&lt;volume&gt;34&lt;/volume&gt;&lt;number&gt;3&lt;/number&gt;&lt;dates&gt;&lt;year&gt;1997&lt;/year&gt;&lt;/dates&gt;&lt;isbn&gt;0022-3131&lt;/isbn&gt;&lt;urls&gt;&lt;/urls&gt;&lt;/record&gt;&lt;/Cite&gt;&lt;/EndNote&gt;</w:instrText>
      </w:r>
      <w:r w:rsidR="00D00A8B">
        <w:rPr>
          <w:rFonts w:cs="Times New Roman"/>
          <w:szCs w:val="24"/>
        </w:rPr>
        <w:fldChar w:fldCharType="separate"/>
      </w:r>
      <w:r w:rsidR="00046F32">
        <w:rPr>
          <w:rFonts w:cs="Times New Roman"/>
          <w:noProof/>
          <w:szCs w:val="24"/>
        </w:rPr>
        <w:t>[</w:t>
      </w:r>
      <w:hyperlink w:anchor="_ENREF_15" w:tooltip="Minato, 1997 #10" w:history="1">
        <w:r w:rsidR="00DF20CB">
          <w:rPr>
            <w:rFonts w:cs="Times New Roman"/>
            <w:noProof/>
            <w:szCs w:val="24"/>
          </w:rPr>
          <w:t>15</w:t>
        </w:r>
      </w:hyperlink>
      <w:r w:rsidR="00046F32">
        <w:rPr>
          <w:rFonts w:cs="Times New Roman"/>
          <w:noProof/>
          <w:szCs w:val="24"/>
        </w:rPr>
        <w:t>]</w:t>
      </w:r>
      <w:r w:rsidR="00D00A8B">
        <w:rPr>
          <w:rFonts w:cs="Times New Roman"/>
          <w:szCs w:val="24"/>
        </w:rPr>
        <w:fldChar w:fldCharType="end"/>
      </w:r>
      <w:r w:rsidRPr="00930141">
        <w:rPr>
          <w:rFonts w:cs="Times New Roman"/>
          <w:szCs w:val="24"/>
        </w:rPr>
        <w:t xml:space="preserve">. Since three of four layers have been compromised, if the particle was exposed to anymore irradiation, it would likely fail and release gaseous fission products. </w:t>
      </w:r>
    </w:p>
    <w:p w14:paraId="7F05A0CE" w14:textId="77777777" w:rsidR="00D35009" w:rsidRPr="00930141" w:rsidRDefault="00D35009" w:rsidP="0091793B">
      <w:pPr>
        <w:spacing w:line="360" w:lineRule="auto"/>
        <w:jc w:val="both"/>
        <w:rPr>
          <w:rFonts w:cs="Times New Roman"/>
          <w:szCs w:val="24"/>
        </w:rPr>
      </w:pPr>
    </w:p>
    <w:p w14:paraId="15F708EF" w14:textId="77777777" w:rsidR="007A60DF" w:rsidRDefault="007A60DF" w:rsidP="0091793B">
      <w:pPr>
        <w:spacing w:line="360" w:lineRule="auto"/>
        <w:rPr>
          <w:rFonts w:cs="Times New Roman"/>
          <w:szCs w:val="24"/>
        </w:rPr>
      </w:pPr>
      <w:r w:rsidRPr="00930141">
        <w:rPr>
          <w:rFonts w:cs="Times New Roman"/>
          <w:noProof/>
          <w:szCs w:val="24"/>
        </w:rPr>
        <w:drawing>
          <wp:inline distT="0" distB="0" distL="0" distR="0" wp14:anchorId="32827935" wp14:editId="5270C676">
            <wp:extent cx="2897163" cy="1676400"/>
            <wp:effectExtent l="0" t="0" r="0" b="0"/>
            <wp:docPr id="512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23" name="Picture 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901658" cy="1679001"/>
                    </a:xfrm>
                    <a:prstGeom prst="rect">
                      <a:avLst/>
                    </a:prstGeom>
                    <a:noFill/>
                    <a:ln>
                      <a:noFill/>
                    </a:ln>
                    <a:extLst/>
                  </pic:spPr>
                </pic:pic>
              </a:graphicData>
            </a:graphic>
          </wp:inline>
        </w:drawing>
      </w:r>
    </w:p>
    <w:p w14:paraId="411E634F" w14:textId="57D6213E" w:rsidR="00DB5920" w:rsidRDefault="0039764A" w:rsidP="0091793B">
      <w:pPr>
        <w:spacing w:line="360" w:lineRule="auto"/>
      </w:pPr>
      <w:bookmarkStart w:id="6" w:name="_Toc416993443"/>
      <w:r>
        <w:t xml:space="preserve">Figure </w:t>
      </w:r>
      <w:fldSimple w:instr=" SEQ Figure \* ARABIC ">
        <w:r w:rsidR="00F3244B">
          <w:rPr>
            <w:noProof/>
          </w:rPr>
          <w:t>4</w:t>
        </w:r>
      </w:fldSimple>
      <w:r>
        <w:t xml:space="preserve">: </w:t>
      </w:r>
      <w:r w:rsidR="00C63615">
        <w:t>Irradiation induced failure of TRISO fuel l</w:t>
      </w:r>
      <w:r w:rsidRPr="00CF4D45">
        <w:t>ayers</w:t>
      </w:r>
      <w:r w:rsidR="00D82BFF">
        <w:t xml:space="preserve"> </w:t>
      </w:r>
      <w:r w:rsidR="001B2BA2">
        <w:rPr>
          <w:rFonts w:cs="Times New Roman"/>
          <w:szCs w:val="24"/>
        </w:rPr>
        <w:fldChar w:fldCharType="begin"/>
      </w:r>
      <w:r w:rsidR="001B2BA2">
        <w:rPr>
          <w:rFonts w:cs="Times New Roman"/>
          <w:szCs w:val="24"/>
        </w:rPr>
        <w:instrText xml:space="preserve"> ADDIN EN.CITE &lt;EndNote&gt;&lt;Cite&gt;&lt;Author&gt;Minato&lt;/Author&gt;&lt;Year&gt;1997&lt;/Year&gt;&lt;RecNum&gt;10&lt;/RecNum&gt;&lt;DisplayText&gt;[15]&lt;/DisplayText&gt;&lt;record&gt;&lt;rec-number&gt;10&lt;/rec-number&gt;&lt;foreign-keys&gt;&lt;key app="EN" db-id="trfxzx057wwv0qe0vz1vttttwf0522tvtwpt" timestamp="1422124281"&gt;10&lt;/key&gt;&lt;/foreign-keys&gt;&lt;ref-type name="Journal Article"&gt;17&lt;/ref-type&gt;&lt;contributors&gt;&lt;authors&gt;&lt;author&gt;Minato, Kazuo&lt;/author&gt;&lt;author&gt;Kikuchi, Hironobu&lt;/author&gt;&lt;author&gt;Tobita, Tsutomu&lt;/author&gt;&lt;author&gt;Fukuda, Kousaku&lt;/author&gt;&lt;author&gt;Kaneko, Mitsunobu&lt;/author&gt;&lt;author&gt;Suzuki, Nobuyuki&lt;/author&gt;&lt;author&gt;Yoshimuta, Shigeharu&lt;/author&gt;&lt;author&gt;Tomimoto, Hiroshi&lt;/author&gt;&lt;/authors&gt;&lt;/contributors&gt;&lt;titles&gt;&lt;title&gt;Improvements in quality of as-manufactured fuels for high-temperature gas-cooled reactors&lt;/title&gt;&lt;secondary-title&gt;Journal of Nuclear Science and Technology&lt;/secondary-title&gt;&lt;/titles&gt;&lt;periodical&gt;&lt;full-title&gt;Journal of Nuclear Science and Technology&lt;/full-title&gt;&lt;/periodical&gt;&lt;pages&gt;325-333&lt;/pages&gt;&lt;volume&gt;34&lt;/volume&gt;&lt;number&gt;3&lt;/number&gt;&lt;dates&gt;&lt;year&gt;1997&lt;/year&gt;&lt;/dates&gt;&lt;isbn&gt;0022-3131&lt;/isbn&gt;&lt;urls&gt;&lt;/urls&gt;&lt;/record&gt;&lt;/Cite&gt;&lt;/EndNote&gt;</w:instrText>
      </w:r>
      <w:r w:rsidR="001B2BA2">
        <w:rPr>
          <w:rFonts w:cs="Times New Roman"/>
          <w:szCs w:val="24"/>
        </w:rPr>
        <w:fldChar w:fldCharType="separate"/>
      </w:r>
      <w:r w:rsidR="001B2BA2">
        <w:rPr>
          <w:rFonts w:cs="Times New Roman"/>
          <w:noProof/>
          <w:szCs w:val="24"/>
        </w:rPr>
        <w:t>[</w:t>
      </w:r>
      <w:hyperlink w:anchor="_ENREF_15" w:tooltip="Minato, 1997 #10" w:history="1">
        <w:r w:rsidR="00DF20CB">
          <w:rPr>
            <w:rFonts w:cs="Times New Roman"/>
            <w:noProof/>
            <w:szCs w:val="24"/>
          </w:rPr>
          <w:t>15</w:t>
        </w:r>
      </w:hyperlink>
      <w:r w:rsidR="001B2BA2">
        <w:rPr>
          <w:rFonts w:cs="Times New Roman"/>
          <w:noProof/>
          <w:szCs w:val="24"/>
        </w:rPr>
        <w:t>]</w:t>
      </w:r>
      <w:bookmarkEnd w:id="6"/>
      <w:r w:rsidR="001B2BA2">
        <w:rPr>
          <w:rFonts w:cs="Times New Roman"/>
          <w:szCs w:val="24"/>
        </w:rPr>
        <w:fldChar w:fldCharType="end"/>
      </w:r>
    </w:p>
    <w:p w14:paraId="45D4A72A" w14:textId="77777777" w:rsidR="00D35009" w:rsidRPr="00930141" w:rsidRDefault="00D35009" w:rsidP="0091793B">
      <w:pPr>
        <w:spacing w:line="360" w:lineRule="auto"/>
        <w:rPr>
          <w:rFonts w:cs="Times New Roman"/>
          <w:szCs w:val="24"/>
        </w:rPr>
      </w:pPr>
    </w:p>
    <w:p w14:paraId="0A1DCB74" w14:textId="77777777" w:rsidR="00446296" w:rsidRPr="00930141" w:rsidRDefault="00317220" w:rsidP="0091793B">
      <w:pPr>
        <w:spacing w:line="360" w:lineRule="auto"/>
        <w:jc w:val="both"/>
        <w:rPr>
          <w:rFonts w:cs="Times New Roman"/>
          <w:b/>
          <w:szCs w:val="24"/>
        </w:rPr>
      </w:pPr>
      <w:r>
        <w:rPr>
          <w:rFonts w:cs="Times New Roman"/>
          <w:b/>
          <w:szCs w:val="24"/>
        </w:rPr>
        <w:t>II</w:t>
      </w:r>
      <w:r w:rsidR="00930141" w:rsidRPr="00930141">
        <w:rPr>
          <w:rFonts w:cs="Times New Roman"/>
          <w:b/>
          <w:szCs w:val="24"/>
        </w:rPr>
        <w:t>.</w:t>
      </w:r>
      <w:r>
        <w:rPr>
          <w:rFonts w:cs="Times New Roman"/>
          <w:b/>
          <w:szCs w:val="24"/>
        </w:rPr>
        <w:t>B</w:t>
      </w:r>
      <w:r w:rsidR="00930141" w:rsidRPr="00930141">
        <w:rPr>
          <w:rFonts w:cs="Times New Roman"/>
          <w:b/>
          <w:szCs w:val="24"/>
        </w:rPr>
        <w:t>.2</w:t>
      </w:r>
      <w:r w:rsidR="00930141" w:rsidRPr="00930141">
        <w:rPr>
          <w:rFonts w:cs="Times New Roman"/>
          <w:b/>
          <w:szCs w:val="24"/>
        </w:rPr>
        <w:tab/>
      </w:r>
      <w:r w:rsidR="00930141" w:rsidRPr="00930141">
        <w:rPr>
          <w:rFonts w:cs="Times New Roman"/>
          <w:b/>
          <w:szCs w:val="24"/>
        </w:rPr>
        <w:tab/>
      </w:r>
      <w:r w:rsidR="00446296" w:rsidRPr="00930141">
        <w:rPr>
          <w:rFonts w:cs="Times New Roman"/>
          <w:b/>
          <w:szCs w:val="24"/>
        </w:rPr>
        <w:t>Thermal Conductivity</w:t>
      </w:r>
    </w:p>
    <w:p w14:paraId="2B9E1FE9" w14:textId="6769CADB" w:rsidR="00E4261C" w:rsidRPr="00E4261C" w:rsidRDefault="00A93005" w:rsidP="00E4261C">
      <w:pPr>
        <w:spacing w:line="360" w:lineRule="auto"/>
        <w:jc w:val="both"/>
        <w:rPr>
          <w:rFonts w:cs="Times New Roman"/>
          <w:szCs w:val="24"/>
        </w:rPr>
      </w:pPr>
      <w:r w:rsidRPr="00930141">
        <w:rPr>
          <w:rFonts w:cs="Times New Roman"/>
          <w:szCs w:val="24"/>
        </w:rPr>
        <w:t>The production of the FCM matrix is based on a non-infiltration and transient eutectic-phase (NITE) technology. High density, unirradiated NITE SiC displays ex</w:t>
      </w:r>
      <w:r w:rsidR="00C63615">
        <w:rPr>
          <w:rFonts w:cs="Times New Roman"/>
          <w:szCs w:val="24"/>
        </w:rPr>
        <w:t>cellent thermal conductivity</w:t>
      </w:r>
      <w:r w:rsidRPr="00930141">
        <w:rPr>
          <w:rFonts w:cs="Times New Roman"/>
          <w:szCs w:val="24"/>
        </w:rPr>
        <w:t xml:space="preserve"> properties compared to that of a UO</w:t>
      </w:r>
      <w:r w:rsidRPr="00930141">
        <w:rPr>
          <w:rFonts w:cs="Times New Roman"/>
          <w:szCs w:val="24"/>
          <w:vertAlign w:val="subscript"/>
        </w:rPr>
        <w:t>2</w:t>
      </w:r>
      <w:r w:rsidRPr="00930141">
        <w:rPr>
          <w:rFonts w:cs="Times New Roman"/>
          <w:szCs w:val="24"/>
        </w:rPr>
        <w:t xml:space="preserve"> fuel pellet. Also, the addition of embedded TRISO particles </w:t>
      </w:r>
      <w:r w:rsidR="00FF3F28">
        <w:rPr>
          <w:rFonts w:cs="Times New Roman"/>
          <w:szCs w:val="24"/>
        </w:rPr>
        <w:t>has been shown to have little or no effect</w:t>
      </w:r>
      <w:r w:rsidRPr="00930141">
        <w:rPr>
          <w:rFonts w:cs="Times New Roman"/>
          <w:szCs w:val="24"/>
        </w:rPr>
        <w:t xml:space="preserve"> </w:t>
      </w:r>
      <w:r w:rsidR="00FF3F28">
        <w:rPr>
          <w:rFonts w:cs="Times New Roman"/>
          <w:szCs w:val="24"/>
        </w:rPr>
        <w:t>on</w:t>
      </w:r>
      <w:r w:rsidRPr="00930141">
        <w:rPr>
          <w:rFonts w:cs="Times New Roman"/>
          <w:szCs w:val="24"/>
        </w:rPr>
        <w:t xml:space="preserve"> the conductivity of the matrix. </w:t>
      </w:r>
      <w:r w:rsidR="00FF3F28">
        <w:rPr>
          <w:rFonts w:cs="Times New Roman"/>
          <w:szCs w:val="24"/>
        </w:rPr>
        <w:t xml:space="preserve">A </w:t>
      </w:r>
      <w:r w:rsidRPr="00930141">
        <w:rPr>
          <w:rFonts w:cs="Times New Roman"/>
          <w:szCs w:val="24"/>
        </w:rPr>
        <w:t xml:space="preserve">wide range </w:t>
      </w:r>
      <w:r w:rsidR="00FF3F28">
        <w:rPr>
          <w:rFonts w:cs="Times New Roman"/>
          <w:szCs w:val="24"/>
        </w:rPr>
        <w:t xml:space="preserve">of </w:t>
      </w:r>
      <w:r w:rsidR="00C63615">
        <w:rPr>
          <w:rFonts w:cs="Times New Roman"/>
          <w:szCs w:val="24"/>
        </w:rPr>
        <w:t>conductivity</w:t>
      </w:r>
      <w:r w:rsidRPr="00930141">
        <w:rPr>
          <w:rFonts w:cs="Times New Roman"/>
          <w:szCs w:val="24"/>
        </w:rPr>
        <w:t xml:space="preserve"> values is found upon irradiation of the material as well as fluctuations in temperature. </w:t>
      </w:r>
      <w:r w:rsidR="00C63615">
        <w:rPr>
          <w:rFonts w:cs="Times New Roman"/>
          <w:szCs w:val="24"/>
        </w:rPr>
        <w:t>Figure 5</w:t>
      </w:r>
      <w:r w:rsidRPr="00930141">
        <w:rPr>
          <w:rFonts w:cs="Times New Roman"/>
          <w:szCs w:val="24"/>
        </w:rPr>
        <w:t xml:space="preserve"> represents the thermal conductivity of unirradiated and irradiated NITE SiC compared to UO</w:t>
      </w:r>
      <w:r w:rsidRPr="00930141">
        <w:rPr>
          <w:rFonts w:cs="Times New Roman"/>
          <w:szCs w:val="24"/>
          <w:vertAlign w:val="subscript"/>
        </w:rPr>
        <w:t>2</w:t>
      </w:r>
      <w:r w:rsidRPr="00930141">
        <w:rPr>
          <w:rFonts w:cs="Times New Roman"/>
          <w:szCs w:val="24"/>
        </w:rPr>
        <w:t xml:space="preserve"> and Zr metal as a function of temperature </w:t>
      </w:r>
      <w:r w:rsidR="00D00A8B">
        <w:rPr>
          <w:rFonts w:cs="Times New Roman"/>
          <w:szCs w:val="24"/>
        </w:rPr>
        <w:fldChar w:fldCharType="begin"/>
      </w:r>
      <w:r w:rsidR="00046F32">
        <w:rPr>
          <w:rFonts w:cs="Times New Roman"/>
          <w:szCs w:val="24"/>
        </w:rPr>
        <w:instrText xml:space="preserve"> ADDIN EN.CITE &lt;EndNote&gt;&lt;Cite&gt;&lt;Author&gt;Terrani&lt;/Author&gt;&lt;Year&gt;2012&lt;/Year&gt;&lt;RecNum&gt;8&lt;/RecNum&gt;&lt;DisplayText&gt;[12]&lt;/DisplayText&gt;&lt;record&gt;&lt;rec-number&gt;8&lt;/rec-number&gt;&lt;foreign-keys&gt;&lt;key app="EN" db-id="trfxzx057wwv0qe0vz1vttttwf0522tvtwpt" timestamp="1422124226"&gt;8&lt;/key&gt;&lt;/foreign-keys&gt;&lt;ref-type name="Journal Article"&gt;17&lt;/ref-type&gt;&lt;contributors&gt;&lt;authors&gt;&lt;author&gt;Terrani, Kurt A&lt;/author&gt;&lt;author&gt;Snead, Lance L&lt;/author&gt;&lt;author&gt;Gehin, Jess C&lt;/author&gt;&lt;/authors&gt;&lt;/contributors&gt;&lt;titles&gt;&lt;title&gt;Microencapsulated fuel technology for commercial light water and advanced reactor application&lt;/title&gt;&lt;secondary-title&gt;Journal of Nuclear Materials&lt;/secondary-title&gt;&lt;/titles&gt;&lt;periodical&gt;&lt;full-title&gt;Journal of Nuclear Materials&lt;/full-title&gt;&lt;/periodical&gt;&lt;pages&gt;209-224&lt;/pages&gt;&lt;volume&gt;427&lt;/volume&gt;&lt;number&gt;1&lt;/number&gt;&lt;dates&gt;&lt;year&gt;2012&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12" w:tooltip="Terrani, 2012 #8" w:history="1">
        <w:r w:rsidR="00DF20CB">
          <w:rPr>
            <w:rFonts w:cs="Times New Roman"/>
            <w:noProof/>
            <w:szCs w:val="24"/>
          </w:rPr>
          <w:t>12</w:t>
        </w:r>
      </w:hyperlink>
      <w:r w:rsidR="00046F32">
        <w:rPr>
          <w:rFonts w:cs="Times New Roman"/>
          <w:noProof/>
          <w:szCs w:val="24"/>
        </w:rPr>
        <w:t>]</w:t>
      </w:r>
      <w:r w:rsidR="00D00A8B">
        <w:rPr>
          <w:rFonts w:cs="Times New Roman"/>
          <w:szCs w:val="24"/>
        </w:rPr>
        <w:fldChar w:fldCharType="end"/>
      </w:r>
      <w:r w:rsidR="001B2BA2">
        <w:rPr>
          <w:rFonts w:cs="Times New Roman"/>
          <w:szCs w:val="24"/>
        </w:rPr>
        <w:t>.</w:t>
      </w:r>
      <w:r w:rsidR="00F170A7" w:rsidRPr="00930141">
        <w:rPr>
          <w:rFonts w:cs="Times New Roman"/>
          <w:szCs w:val="24"/>
        </w:rPr>
        <w:t xml:space="preserve"> </w:t>
      </w:r>
      <w:r w:rsidR="00DC0A3C">
        <w:rPr>
          <w:rFonts w:cs="Times New Roman"/>
          <w:szCs w:val="24"/>
        </w:rPr>
        <w:t>A</w:t>
      </w:r>
      <w:r w:rsidR="00F170A7" w:rsidRPr="00930141">
        <w:rPr>
          <w:rFonts w:cs="Times New Roman"/>
          <w:szCs w:val="24"/>
        </w:rPr>
        <w:t>fter irradiation, the thermal conductivity of NITE SiC is significantly higher than that of UO</w:t>
      </w:r>
      <w:r w:rsidR="00F170A7" w:rsidRPr="00930141">
        <w:rPr>
          <w:rFonts w:cs="Times New Roman"/>
          <w:szCs w:val="24"/>
        </w:rPr>
        <w:softHyphen/>
      </w:r>
      <w:r w:rsidR="00F170A7" w:rsidRPr="00930141">
        <w:rPr>
          <w:rFonts w:cs="Times New Roman"/>
          <w:szCs w:val="24"/>
          <w:vertAlign w:val="subscript"/>
        </w:rPr>
        <w:t>2</w:t>
      </w:r>
      <w:r w:rsidR="00F170A7" w:rsidRPr="00930141">
        <w:rPr>
          <w:rFonts w:cs="Times New Roman"/>
          <w:szCs w:val="24"/>
        </w:rPr>
        <w:t xml:space="preserve"> at representative LWR temperatures. </w:t>
      </w:r>
    </w:p>
    <w:p w14:paraId="6C3B010A" w14:textId="77777777" w:rsidR="00E4261C" w:rsidRPr="00930141" w:rsidRDefault="00E4261C" w:rsidP="00E4261C">
      <w:pPr>
        <w:spacing w:line="360" w:lineRule="auto"/>
        <w:jc w:val="both"/>
        <w:rPr>
          <w:rFonts w:cs="Times New Roman"/>
          <w:szCs w:val="24"/>
          <w:lang w:eastAsia="ko-KR"/>
        </w:rPr>
      </w:pPr>
      <w:r w:rsidRPr="00930141">
        <w:rPr>
          <w:rFonts w:cs="Times New Roman"/>
          <w:szCs w:val="24"/>
        </w:rPr>
        <w:t>When employing particle fuel in LWR systems, the overall fuel volume is dramatically decreased compared to standard UO</w:t>
      </w:r>
      <w:r w:rsidRPr="00930141">
        <w:rPr>
          <w:rFonts w:cs="Times New Roman"/>
          <w:szCs w:val="24"/>
          <w:vertAlign w:val="subscript"/>
        </w:rPr>
        <w:t>2</w:t>
      </w:r>
      <w:r w:rsidRPr="00930141">
        <w:rPr>
          <w:rFonts w:cs="Times New Roman"/>
          <w:szCs w:val="24"/>
        </w:rPr>
        <w:t xml:space="preserve"> pellet fuel. </w:t>
      </w:r>
      <w:r>
        <w:rPr>
          <w:rFonts w:cs="Times New Roman"/>
          <w:szCs w:val="24"/>
        </w:rPr>
        <w:t>UN</w:t>
      </w:r>
      <w:r w:rsidRPr="00930141">
        <w:rPr>
          <w:rFonts w:cs="Times New Roman"/>
          <w:szCs w:val="24"/>
        </w:rPr>
        <w:t xml:space="preserve"> has been utilized due to its higher heavy metal density than UO</w:t>
      </w:r>
      <w:r w:rsidRPr="00930141">
        <w:rPr>
          <w:rFonts w:cs="Times New Roman"/>
          <w:szCs w:val="24"/>
          <w:vertAlign w:val="subscript"/>
        </w:rPr>
        <w:t>2</w:t>
      </w:r>
      <w:r w:rsidRPr="00930141">
        <w:rPr>
          <w:rFonts w:cs="Times New Roman"/>
          <w:szCs w:val="24"/>
        </w:rPr>
        <w:t xml:space="preserve">. Therefore, the thermal conductivity of UN was also used when determining </w:t>
      </w:r>
      <w:r>
        <w:rPr>
          <w:rFonts w:cs="Times New Roman"/>
          <w:szCs w:val="24"/>
        </w:rPr>
        <w:t>an overall homogenized thermal conductivity</w:t>
      </w:r>
      <w:r w:rsidRPr="00930141">
        <w:rPr>
          <w:rFonts w:cs="Times New Roman"/>
          <w:szCs w:val="24"/>
        </w:rPr>
        <w:t xml:space="preserve"> in the FCM RELAP model. </w:t>
      </w:r>
    </w:p>
    <w:p w14:paraId="53815E76" w14:textId="77777777" w:rsidR="00176A5F" w:rsidRPr="00930141" w:rsidRDefault="00176A5F" w:rsidP="00176A5F">
      <w:pPr>
        <w:spacing w:line="360" w:lineRule="auto"/>
        <w:jc w:val="both"/>
        <w:rPr>
          <w:rFonts w:cs="Times New Roman"/>
          <w:szCs w:val="24"/>
        </w:rPr>
      </w:pPr>
      <w:r>
        <w:rPr>
          <w:rFonts w:cs="Times New Roman"/>
          <w:szCs w:val="24"/>
        </w:rPr>
        <w:t>Figure 6</w:t>
      </w:r>
      <w:r w:rsidRPr="00930141">
        <w:rPr>
          <w:rFonts w:cs="Times New Roman"/>
          <w:szCs w:val="24"/>
        </w:rPr>
        <w:t xml:space="preserve"> is a visual representation of the temperature distribution found in both systems. Using the RELAP model, temperature was outputted radially at five different axial locations of the fuel </w:t>
      </w:r>
      <w:r w:rsidRPr="00D51F92">
        <w:rPr>
          <w:rFonts w:cs="Times New Roman"/>
          <w:szCs w:val="24"/>
        </w:rPr>
        <w:t xml:space="preserve">channel. From here, a modified MATLAB script was used to visually display each axial slice. </w:t>
      </w:r>
      <w:r w:rsidRPr="00D51F92">
        <w:rPr>
          <w:rFonts w:cs="Times New Roman"/>
          <w:szCs w:val="24"/>
        </w:rPr>
        <w:lastRenderedPageBreak/>
        <w:t>The bulk coolant temperature for the model was set to 560 K which was used as an initial boundary condition.</w:t>
      </w:r>
      <w:r>
        <w:rPr>
          <w:rFonts w:cs="Times New Roman"/>
          <w:szCs w:val="24"/>
        </w:rPr>
        <w:t xml:space="preserve"> </w:t>
      </w:r>
    </w:p>
    <w:p w14:paraId="5478C048" w14:textId="77777777" w:rsidR="00D35009" w:rsidRPr="00930141" w:rsidRDefault="00D35009" w:rsidP="0091793B">
      <w:pPr>
        <w:spacing w:line="360" w:lineRule="auto"/>
        <w:jc w:val="both"/>
        <w:rPr>
          <w:rFonts w:cs="Times New Roman"/>
          <w:szCs w:val="24"/>
        </w:rPr>
      </w:pPr>
    </w:p>
    <w:p w14:paraId="37756785" w14:textId="77777777" w:rsidR="00A93005" w:rsidRDefault="00A93005" w:rsidP="0091793B">
      <w:pPr>
        <w:spacing w:line="360" w:lineRule="auto"/>
        <w:rPr>
          <w:rFonts w:cs="Times New Roman"/>
          <w:szCs w:val="24"/>
        </w:rPr>
      </w:pPr>
      <w:r w:rsidRPr="00930141">
        <w:rPr>
          <w:rFonts w:cs="Times New Roman"/>
          <w:noProof/>
          <w:szCs w:val="24"/>
        </w:rPr>
        <w:drawing>
          <wp:inline distT="0" distB="0" distL="0" distR="0" wp14:anchorId="4B7A7F66" wp14:editId="3576406D">
            <wp:extent cx="4568760" cy="3635974"/>
            <wp:effectExtent l="0" t="0" r="3810" b="0"/>
            <wp:docPr id="4" name="Picture 3" descr="C:\Users\ktm\Documents\Origin User Files\nite-k-omni-2.emf"/>
            <wp:cNvGraphicFramePr/>
            <a:graphic xmlns:a="http://schemas.openxmlformats.org/drawingml/2006/main">
              <a:graphicData uri="http://schemas.openxmlformats.org/drawingml/2006/picture">
                <pic:pic xmlns:pic="http://schemas.openxmlformats.org/drawingml/2006/picture">
                  <pic:nvPicPr>
                    <pic:cNvPr id="4" name="Picture 3" descr="C:\Users\ktm\Documents\Origin User Files\nite-k-omni-2.emf"/>
                    <pic:cNvPicPr/>
                  </pic:nvPicPr>
                  <pic:blipFill rotWithShape="1">
                    <a:blip r:embed="rId16" cstate="print">
                      <a:extLst>
                        <a:ext uri="{28A0092B-C50C-407E-A947-70E740481C1C}">
                          <a14:useLocalDpi xmlns:a14="http://schemas.microsoft.com/office/drawing/2010/main" val="0"/>
                        </a:ext>
                      </a:extLst>
                    </a:blip>
                    <a:srcRect l="9295" t="9225" r="12660" b="5450"/>
                    <a:stretch/>
                  </pic:blipFill>
                  <pic:spPr bwMode="auto">
                    <a:xfrm>
                      <a:off x="0" y="0"/>
                      <a:ext cx="4570313" cy="3637210"/>
                    </a:xfrm>
                    <a:prstGeom prst="rect">
                      <a:avLst/>
                    </a:prstGeom>
                    <a:noFill/>
                    <a:ln>
                      <a:noFill/>
                    </a:ln>
                    <a:extLst>
                      <a:ext uri="{53640926-AAD7-44D8-BBD7-CCE9431645EC}">
                        <a14:shadowObscured xmlns:a14="http://schemas.microsoft.com/office/drawing/2010/main"/>
                      </a:ext>
                    </a:extLst>
                  </pic:spPr>
                </pic:pic>
              </a:graphicData>
            </a:graphic>
          </wp:inline>
        </w:drawing>
      </w:r>
    </w:p>
    <w:p w14:paraId="2E11193B" w14:textId="2FA1785F" w:rsidR="0039764A" w:rsidRDefault="0039764A" w:rsidP="0091793B">
      <w:pPr>
        <w:spacing w:line="360" w:lineRule="auto"/>
      </w:pPr>
      <w:bookmarkStart w:id="7" w:name="_Toc416993444"/>
      <w:r>
        <w:t xml:space="preserve">Figure </w:t>
      </w:r>
      <w:fldSimple w:instr=" SEQ Figure \* ARABIC ">
        <w:r w:rsidR="00F3244B">
          <w:rPr>
            <w:noProof/>
          </w:rPr>
          <w:t>5</w:t>
        </w:r>
      </w:fldSimple>
      <w:r>
        <w:t xml:space="preserve">: </w:t>
      </w:r>
      <w:r w:rsidRPr="00B4484C">
        <w:t>Thermal conductivity of NITE-based SiC for FCM fuel matrix</w:t>
      </w:r>
      <w:r w:rsidR="001B2BA2">
        <w:t xml:space="preserve"> </w:t>
      </w:r>
      <w:r w:rsidR="001B2BA2">
        <w:rPr>
          <w:rFonts w:cs="Times New Roman"/>
          <w:szCs w:val="24"/>
        </w:rPr>
        <w:fldChar w:fldCharType="begin"/>
      </w:r>
      <w:r w:rsidR="001B2BA2">
        <w:rPr>
          <w:rFonts w:cs="Times New Roman"/>
          <w:szCs w:val="24"/>
        </w:rPr>
        <w:instrText xml:space="preserve"> ADDIN EN.CITE &lt;EndNote&gt;&lt;Cite&gt;&lt;Author&gt;Terrani&lt;/Author&gt;&lt;Year&gt;2012&lt;/Year&gt;&lt;RecNum&gt;8&lt;/RecNum&gt;&lt;DisplayText&gt;[12]&lt;/DisplayText&gt;&lt;record&gt;&lt;rec-number&gt;8&lt;/rec-number&gt;&lt;foreign-keys&gt;&lt;key app="EN" db-id="trfxzx057wwv0qe0vz1vttttwf0522tvtwpt" timestamp="1422124226"&gt;8&lt;/key&gt;&lt;/foreign-keys&gt;&lt;ref-type name="Journal Article"&gt;17&lt;/ref-type&gt;&lt;contributors&gt;&lt;authors&gt;&lt;author&gt;Terrani, Kurt A&lt;/author&gt;&lt;author&gt;Snead, Lance L&lt;/author&gt;&lt;author&gt;Gehin, Jess C&lt;/author&gt;&lt;/authors&gt;&lt;/contributors&gt;&lt;titles&gt;&lt;title&gt;Microencapsulated fuel technology for commercial light water and advanced reactor application&lt;/title&gt;&lt;secondary-title&gt;Journal of Nuclear Materials&lt;/secondary-title&gt;&lt;/titles&gt;&lt;periodical&gt;&lt;full-title&gt;Journal of Nuclear Materials&lt;/full-title&gt;&lt;/periodical&gt;&lt;pages&gt;209-224&lt;/pages&gt;&lt;volume&gt;427&lt;/volume&gt;&lt;number&gt;1&lt;/number&gt;&lt;dates&gt;&lt;year&gt;2012&lt;/year&gt;&lt;/dates&gt;&lt;isbn&gt;0022-3115&lt;/isbn&gt;&lt;urls&gt;&lt;/urls&gt;&lt;/record&gt;&lt;/Cite&gt;&lt;/EndNote&gt;</w:instrText>
      </w:r>
      <w:r w:rsidR="001B2BA2">
        <w:rPr>
          <w:rFonts w:cs="Times New Roman"/>
          <w:szCs w:val="24"/>
        </w:rPr>
        <w:fldChar w:fldCharType="separate"/>
      </w:r>
      <w:r w:rsidR="001B2BA2">
        <w:rPr>
          <w:rFonts w:cs="Times New Roman"/>
          <w:noProof/>
          <w:szCs w:val="24"/>
        </w:rPr>
        <w:t>[</w:t>
      </w:r>
      <w:hyperlink w:anchor="_ENREF_12" w:tooltip="Terrani, 2012 #8" w:history="1">
        <w:r w:rsidR="00DF20CB">
          <w:rPr>
            <w:rFonts w:cs="Times New Roman"/>
            <w:noProof/>
            <w:szCs w:val="24"/>
          </w:rPr>
          <w:t>12</w:t>
        </w:r>
      </w:hyperlink>
      <w:r w:rsidR="001B2BA2">
        <w:rPr>
          <w:rFonts w:cs="Times New Roman"/>
          <w:noProof/>
          <w:szCs w:val="24"/>
        </w:rPr>
        <w:t>]</w:t>
      </w:r>
      <w:bookmarkEnd w:id="7"/>
      <w:r w:rsidR="001B2BA2">
        <w:rPr>
          <w:rFonts w:cs="Times New Roman"/>
          <w:szCs w:val="24"/>
        </w:rPr>
        <w:fldChar w:fldCharType="end"/>
      </w:r>
    </w:p>
    <w:p w14:paraId="5A9066A3" w14:textId="77777777" w:rsidR="00E4261C" w:rsidRDefault="00E4261C" w:rsidP="0091793B">
      <w:pPr>
        <w:spacing w:line="360" w:lineRule="auto"/>
      </w:pPr>
    </w:p>
    <w:p w14:paraId="327BDBCD" w14:textId="77777777" w:rsidR="00E4261C" w:rsidRDefault="00E4261C" w:rsidP="00E4261C">
      <w:pPr>
        <w:spacing w:line="360" w:lineRule="auto"/>
        <w:jc w:val="both"/>
        <w:rPr>
          <w:rFonts w:cs="Times New Roman"/>
          <w:szCs w:val="24"/>
        </w:rPr>
      </w:pPr>
      <w:r>
        <w:rPr>
          <w:rFonts w:cs="Times New Roman"/>
          <w:szCs w:val="24"/>
        </w:rPr>
        <w:t>Figure 6</w:t>
      </w:r>
      <w:r w:rsidRPr="00930141">
        <w:rPr>
          <w:rFonts w:cs="Times New Roman"/>
          <w:szCs w:val="24"/>
        </w:rPr>
        <w:t xml:space="preserve"> clearly demonstrates how the centerline fuel temperature is significantly lowered when</w:t>
      </w:r>
      <w:r>
        <w:rPr>
          <w:rFonts w:cs="Times New Roman"/>
          <w:szCs w:val="24"/>
        </w:rPr>
        <w:t xml:space="preserve"> replacing </w:t>
      </w:r>
      <w:r w:rsidRPr="00930141">
        <w:rPr>
          <w:rFonts w:cs="Times New Roman"/>
          <w:szCs w:val="24"/>
        </w:rPr>
        <w:t>UO</w:t>
      </w:r>
      <w:r w:rsidRPr="00930141">
        <w:rPr>
          <w:rFonts w:cs="Times New Roman"/>
          <w:szCs w:val="24"/>
          <w:vertAlign w:val="subscript"/>
        </w:rPr>
        <w:t>2</w:t>
      </w:r>
      <w:r>
        <w:rPr>
          <w:rFonts w:cs="Times New Roman"/>
          <w:szCs w:val="24"/>
        </w:rPr>
        <w:t xml:space="preserve"> pellet fuel rods</w:t>
      </w:r>
      <w:r w:rsidRPr="00930141">
        <w:rPr>
          <w:rFonts w:cs="Times New Roman"/>
          <w:szCs w:val="24"/>
        </w:rPr>
        <w:t xml:space="preserve"> with FCM fuel. It is important to note that these models were</w:t>
      </w:r>
      <w:r>
        <w:rPr>
          <w:rFonts w:cs="Times New Roman"/>
          <w:szCs w:val="24"/>
        </w:rPr>
        <w:t xml:space="preserve"> done with thermal conductivity</w:t>
      </w:r>
      <w:r w:rsidRPr="00930141">
        <w:rPr>
          <w:rFonts w:cs="Times New Roman"/>
          <w:szCs w:val="24"/>
        </w:rPr>
        <w:t xml:space="preserve"> values at zero exposure and are also representative of one fuel rod channel and not an entire fuel lattice. </w:t>
      </w:r>
    </w:p>
    <w:p w14:paraId="3ECDD1B6" w14:textId="77777777" w:rsidR="00951D45" w:rsidRDefault="00951D45" w:rsidP="0091793B">
      <w:pPr>
        <w:spacing w:line="360" w:lineRule="auto"/>
        <w:rPr>
          <w:rFonts w:cs="Times New Roman"/>
          <w:szCs w:val="24"/>
        </w:rPr>
      </w:pPr>
      <w:r w:rsidRPr="00930141">
        <w:rPr>
          <w:rFonts w:cs="Times New Roman"/>
          <w:noProof/>
          <w:szCs w:val="24"/>
        </w:rPr>
        <w:lastRenderedPageBreak/>
        <w:drawing>
          <wp:inline distT="0" distB="0" distL="0" distR="0" wp14:anchorId="14925D4F" wp14:editId="4E124CA8">
            <wp:extent cx="5827486" cy="2781300"/>
            <wp:effectExtent l="0" t="0" r="1905" b="0"/>
            <wp:docPr id="2" name="Picture 2" descr="F:\ATF\RELAP\Temp Distributions.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ATF\RELAP\Temp Distributions.bmp"/>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832105" cy="2783505"/>
                    </a:xfrm>
                    <a:prstGeom prst="rect">
                      <a:avLst/>
                    </a:prstGeom>
                    <a:noFill/>
                    <a:ln>
                      <a:noFill/>
                    </a:ln>
                  </pic:spPr>
                </pic:pic>
              </a:graphicData>
            </a:graphic>
          </wp:inline>
        </w:drawing>
      </w:r>
    </w:p>
    <w:p w14:paraId="78F3004A" w14:textId="01DFD78F" w:rsidR="0039764A" w:rsidRDefault="0039764A" w:rsidP="0091793B">
      <w:pPr>
        <w:spacing w:line="360" w:lineRule="auto"/>
      </w:pPr>
      <w:bookmarkStart w:id="8" w:name="_Toc416993445"/>
      <w:r>
        <w:t xml:space="preserve">Figure </w:t>
      </w:r>
      <w:fldSimple w:instr=" SEQ Figure \* ARABIC ">
        <w:r w:rsidR="00F3244B">
          <w:rPr>
            <w:noProof/>
          </w:rPr>
          <w:t>6</w:t>
        </w:r>
      </w:fldSimple>
      <w:r>
        <w:t xml:space="preserve">: </w:t>
      </w:r>
      <w:r w:rsidRPr="003D5969">
        <w:t>FCM Fuel rod temperature distribution</w:t>
      </w:r>
      <w:bookmarkEnd w:id="8"/>
    </w:p>
    <w:p w14:paraId="0F3304D7" w14:textId="77777777" w:rsidR="0003299B" w:rsidRPr="00930141" w:rsidRDefault="0003299B" w:rsidP="0091793B">
      <w:pPr>
        <w:spacing w:line="360" w:lineRule="auto"/>
        <w:jc w:val="both"/>
        <w:rPr>
          <w:rFonts w:cs="Times New Roman"/>
          <w:szCs w:val="24"/>
        </w:rPr>
      </w:pPr>
    </w:p>
    <w:p w14:paraId="334D5970" w14:textId="77777777" w:rsidR="00904996" w:rsidRPr="00A860A4" w:rsidRDefault="00317220" w:rsidP="0091793B">
      <w:pPr>
        <w:spacing w:line="360" w:lineRule="auto"/>
        <w:jc w:val="both"/>
        <w:rPr>
          <w:rFonts w:cs="Times New Roman"/>
          <w:b/>
          <w:color w:val="FF0000"/>
          <w:sz w:val="28"/>
        </w:rPr>
      </w:pPr>
      <w:r w:rsidRPr="00FE40FA">
        <w:rPr>
          <w:rFonts w:cs="Times New Roman"/>
          <w:b/>
          <w:sz w:val="28"/>
        </w:rPr>
        <w:t>II</w:t>
      </w:r>
      <w:r w:rsidR="00930141" w:rsidRPr="00FE40FA">
        <w:rPr>
          <w:rFonts w:cs="Times New Roman"/>
          <w:b/>
          <w:sz w:val="28"/>
        </w:rPr>
        <w:t>.</w:t>
      </w:r>
      <w:r w:rsidRPr="00FE40FA">
        <w:rPr>
          <w:rFonts w:cs="Times New Roman"/>
          <w:b/>
          <w:sz w:val="28"/>
        </w:rPr>
        <w:t>C</w:t>
      </w:r>
      <w:r w:rsidR="00930141" w:rsidRPr="00FE40FA">
        <w:rPr>
          <w:rFonts w:cs="Times New Roman"/>
          <w:b/>
          <w:sz w:val="28"/>
        </w:rPr>
        <w:t>.</w:t>
      </w:r>
      <w:r w:rsidR="00930141" w:rsidRPr="00FE40FA">
        <w:rPr>
          <w:rFonts w:cs="Times New Roman"/>
          <w:b/>
          <w:sz w:val="28"/>
        </w:rPr>
        <w:tab/>
      </w:r>
      <w:r w:rsidR="00930141" w:rsidRPr="00FE40FA">
        <w:rPr>
          <w:rFonts w:cs="Times New Roman"/>
          <w:b/>
          <w:sz w:val="28"/>
        </w:rPr>
        <w:tab/>
      </w:r>
      <w:r w:rsidR="00904996" w:rsidRPr="00FE40FA">
        <w:rPr>
          <w:rFonts w:cs="Times New Roman"/>
          <w:b/>
          <w:sz w:val="28"/>
        </w:rPr>
        <w:t>Alternate Cladding</w:t>
      </w:r>
      <w:r w:rsidR="00012C35" w:rsidRPr="00FE40FA">
        <w:rPr>
          <w:rFonts w:cs="Times New Roman"/>
          <w:b/>
          <w:sz w:val="28"/>
        </w:rPr>
        <w:t xml:space="preserve"> Concepts</w:t>
      </w:r>
    </w:p>
    <w:p w14:paraId="396CF368" w14:textId="6599D702" w:rsidR="004E5864" w:rsidRPr="00930141" w:rsidRDefault="006A79E4" w:rsidP="0091793B">
      <w:pPr>
        <w:spacing w:line="360" w:lineRule="auto"/>
        <w:jc w:val="both"/>
        <w:rPr>
          <w:rFonts w:cs="Times New Roman"/>
          <w:szCs w:val="24"/>
        </w:rPr>
      </w:pPr>
      <w:r w:rsidRPr="00930141">
        <w:rPr>
          <w:rFonts w:cs="Times New Roman"/>
          <w:szCs w:val="24"/>
        </w:rPr>
        <w:t xml:space="preserve">In a LWR system, the onset of physical and chemical degradation phenomena takes place at temperatures above approximately 800°C, where zirconium alloy fuel cladding balloons and bursts </w:t>
      </w:r>
      <w:r w:rsidR="00D00A8B">
        <w:rPr>
          <w:rFonts w:cs="Times New Roman"/>
          <w:szCs w:val="24"/>
        </w:rPr>
        <w:fldChar w:fldCharType="begin"/>
      </w:r>
      <w:r w:rsidR="00046F32">
        <w:rPr>
          <w:rFonts w:cs="Times New Roman"/>
          <w:szCs w:val="24"/>
        </w:rPr>
        <w:instrText xml:space="preserve"> ADDIN EN.CITE &lt;EndNote&gt;&lt;Cite&gt;&lt;Author&gt;Hofmann&lt;/Author&gt;&lt;Year&gt;1999&lt;/Year&gt;&lt;RecNum&gt;11&lt;/RecNum&gt;&lt;DisplayText&gt;[16]&lt;/DisplayText&gt;&lt;record&gt;&lt;rec-number&gt;11&lt;/rec-number&gt;&lt;foreign-keys&gt;&lt;key app="EN" db-id="trfxzx057wwv0qe0vz1vttttwf0522tvtwpt" timestamp="1422124530"&gt;11&lt;/key&gt;&lt;/foreign-keys&gt;&lt;ref-type name="Journal Article"&gt;17&lt;/ref-type&gt;&lt;contributors&gt;&lt;authors&gt;&lt;author&gt;Hofmann, Peter&lt;/author&gt;&lt;/authors&gt;&lt;/contributors&gt;&lt;titles&gt;&lt;title&gt;Current knowledge on core degradation phenomena, a review&lt;/title&gt;&lt;secondary-title&gt;Journal of nuclear materials&lt;/secondary-title&gt;&lt;/titles&gt;&lt;periodical&gt;&lt;full-title&gt;Journal of Nuclear Materials&lt;/full-title&gt;&lt;/periodical&gt;&lt;pages&gt;194-211&lt;/pages&gt;&lt;volume&gt;270&lt;/volume&gt;&lt;number&gt;1&lt;/number&gt;&lt;dates&gt;&lt;year&gt;1999&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16" w:tooltip="Hofmann, 1999 #11" w:history="1">
        <w:r w:rsidR="00DF20CB">
          <w:rPr>
            <w:rFonts w:cs="Times New Roman"/>
            <w:noProof/>
            <w:szCs w:val="24"/>
          </w:rPr>
          <w:t>16</w:t>
        </w:r>
      </w:hyperlink>
      <w:r w:rsidR="00046F32">
        <w:rPr>
          <w:rFonts w:cs="Times New Roman"/>
          <w:noProof/>
          <w:szCs w:val="24"/>
        </w:rPr>
        <w:t>]</w:t>
      </w:r>
      <w:r w:rsidR="00D00A8B">
        <w:rPr>
          <w:rFonts w:cs="Times New Roman"/>
          <w:szCs w:val="24"/>
        </w:rPr>
        <w:fldChar w:fldCharType="end"/>
      </w:r>
      <w:r w:rsidRPr="00930141">
        <w:rPr>
          <w:rFonts w:cs="Times New Roman"/>
          <w:szCs w:val="24"/>
        </w:rPr>
        <w:t xml:space="preserve">. As the core temperature increases, oxidation of the cladding and high temperature steam </w:t>
      </w:r>
      <w:r w:rsidR="00571E11">
        <w:rPr>
          <w:rFonts w:cs="Times New Roman"/>
          <w:szCs w:val="24"/>
        </w:rPr>
        <w:t>accelerates</w:t>
      </w:r>
      <w:r w:rsidR="00DF3D70">
        <w:rPr>
          <w:rFonts w:cs="Times New Roman"/>
          <w:szCs w:val="24"/>
        </w:rPr>
        <w:t xml:space="preserve"> core degradation processes</w:t>
      </w:r>
      <w:r w:rsidR="00DF20CB">
        <w:rPr>
          <w:rFonts w:cs="Times New Roman"/>
          <w:szCs w:val="24"/>
        </w:rPr>
        <w:t xml:space="preserve"> </w:t>
      </w:r>
      <w:r w:rsidR="00DF20CB">
        <w:rPr>
          <w:rFonts w:cs="Times New Roman"/>
          <w:szCs w:val="24"/>
        </w:rPr>
        <w:fldChar w:fldCharType="begin"/>
      </w:r>
      <w:r w:rsidR="00DF20CB">
        <w:rPr>
          <w:rFonts w:cs="Times New Roman"/>
          <w:szCs w:val="24"/>
        </w:rPr>
        <w:instrText xml:space="preserve"> ADDIN EN.CITE &lt;EndNote&gt;&lt;Cite&gt;&lt;Author&gt;George&lt;/Author&gt;&lt;Year&gt;2015&lt;/Year&gt;&lt;RecNum&gt;90&lt;/RecNum&gt;&lt;DisplayText&gt;[17]&lt;/DisplayText&gt;&lt;record&gt;&lt;rec-number&gt;90&lt;/rec-number&gt;&lt;foreign-keys&gt;&lt;key app="EN" db-id="trfxzx057wwv0qe0vz1vttttwf0522tvtwpt" timestamp="1422294244"&gt;90&lt;/key&gt;&lt;/foreign-keys&gt;&lt;ref-type name="Journal Article"&gt;17&lt;/ref-type&gt;&lt;contributors&gt;&lt;authors&gt;&lt;author&gt;George, Nathan Michael&lt;/author&gt;&lt;author&gt;Terrani, Kurt&lt;/author&gt;&lt;author&gt;Powers, Jeff&lt;/author&gt;&lt;author&gt;Worrall, Andrew&lt;/author&gt;&lt;author&gt;Maldonado, Ivan&lt;/author&gt;&lt;/authors&gt;&lt;/contributors&gt;&lt;titles&gt;&lt;title&gt;Neutronic analysis of candidate accident-tolerant cladding concepts in pressurized water reactors&lt;/title&gt;&lt;secondary-title&gt;Annals of Nuclear Energy&lt;/secondary-title&gt;&lt;/titles&gt;&lt;periodical&gt;&lt;full-title&gt;Annals of Nuclear Energy&lt;/full-title&gt;&lt;/periodical&gt;&lt;pages&gt;703-712&lt;/pages&gt;&lt;volume&gt;75&lt;/volume&gt;&lt;dates&gt;&lt;year&gt;2015&lt;/year&gt;&lt;/dates&gt;&lt;isbn&gt;0306-4549&lt;/isbn&gt;&lt;urls&gt;&lt;/urls&gt;&lt;/record&gt;&lt;/Cite&gt;&lt;/EndNote&gt;</w:instrText>
      </w:r>
      <w:r w:rsidR="00DF20CB">
        <w:rPr>
          <w:rFonts w:cs="Times New Roman"/>
          <w:szCs w:val="24"/>
        </w:rPr>
        <w:fldChar w:fldCharType="separate"/>
      </w:r>
      <w:r w:rsidR="00DF20CB">
        <w:rPr>
          <w:rFonts w:cs="Times New Roman"/>
          <w:noProof/>
          <w:szCs w:val="24"/>
        </w:rPr>
        <w:t>[</w:t>
      </w:r>
      <w:hyperlink w:anchor="_ENREF_17" w:tooltip="George, 2015 #90" w:history="1">
        <w:r w:rsidR="00DF20CB">
          <w:rPr>
            <w:rFonts w:cs="Times New Roman"/>
            <w:noProof/>
            <w:szCs w:val="24"/>
          </w:rPr>
          <w:t>17</w:t>
        </w:r>
      </w:hyperlink>
      <w:r w:rsidR="00DF20CB">
        <w:rPr>
          <w:rFonts w:cs="Times New Roman"/>
          <w:noProof/>
          <w:szCs w:val="24"/>
        </w:rPr>
        <w:t>]</w:t>
      </w:r>
      <w:r w:rsidR="00DF20CB">
        <w:rPr>
          <w:rFonts w:cs="Times New Roman"/>
          <w:szCs w:val="24"/>
        </w:rPr>
        <w:fldChar w:fldCharType="end"/>
      </w:r>
      <w:r w:rsidR="00DF3D70">
        <w:rPr>
          <w:rFonts w:cs="Times New Roman"/>
          <w:szCs w:val="24"/>
        </w:rPr>
        <w:t>.</w:t>
      </w:r>
      <w:r w:rsidR="00DF20CB" w:rsidRPr="00DF20CB">
        <w:rPr>
          <w:rFonts w:cs="Times New Roman"/>
          <w:szCs w:val="24"/>
        </w:rPr>
        <w:t xml:space="preserve"> </w:t>
      </w:r>
    </w:p>
    <w:p w14:paraId="73FA0F78" w14:textId="43CD692A" w:rsidR="00E4261C" w:rsidRPr="00930141" w:rsidRDefault="00904996" w:rsidP="0091793B">
      <w:pPr>
        <w:spacing w:line="360" w:lineRule="auto"/>
        <w:jc w:val="both"/>
        <w:rPr>
          <w:rFonts w:cs="Times New Roman"/>
          <w:szCs w:val="24"/>
        </w:rPr>
      </w:pPr>
      <w:r w:rsidRPr="00930141">
        <w:rPr>
          <w:rFonts w:cs="Times New Roman"/>
          <w:szCs w:val="24"/>
        </w:rPr>
        <w:t>Since Fukushima</w:t>
      </w:r>
      <w:r w:rsidR="00791978" w:rsidRPr="00930141">
        <w:rPr>
          <w:rFonts w:cs="Times New Roman"/>
          <w:szCs w:val="24"/>
        </w:rPr>
        <w:t xml:space="preserve">, </w:t>
      </w:r>
      <w:r w:rsidRPr="00930141">
        <w:rPr>
          <w:rFonts w:cs="Times New Roman"/>
          <w:szCs w:val="24"/>
        </w:rPr>
        <w:t>major effort</w:t>
      </w:r>
      <w:r w:rsidR="00791978" w:rsidRPr="00930141">
        <w:rPr>
          <w:rFonts w:cs="Times New Roman"/>
          <w:szCs w:val="24"/>
        </w:rPr>
        <w:t>s</w:t>
      </w:r>
      <w:r w:rsidRPr="00930141">
        <w:rPr>
          <w:rFonts w:cs="Times New Roman"/>
          <w:szCs w:val="24"/>
        </w:rPr>
        <w:t xml:space="preserve"> ha</w:t>
      </w:r>
      <w:r w:rsidR="00791978" w:rsidRPr="00930141">
        <w:rPr>
          <w:rFonts w:cs="Times New Roman"/>
          <w:szCs w:val="24"/>
        </w:rPr>
        <w:t>ve</w:t>
      </w:r>
      <w:r w:rsidRPr="00930141">
        <w:rPr>
          <w:rFonts w:cs="Times New Roman"/>
          <w:szCs w:val="24"/>
        </w:rPr>
        <w:t xml:space="preserve"> been put forth to investigate the usage of alternate cladding materials in LWRs. </w:t>
      </w:r>
      <w:r w:rsidR="00FE40FA">
        <w:rPr>
          <w:rFonts w:cs="Times New Roman"/>
          <w:szCs w:val="24"/>
        </w:rPr>
        <w:t xml:space="preserve">A few of the candidate </w:t>
      </w:r>
      <w:r w:rsidR="00B12518" w:rsidRPr="00930141">
        <w:rPr>
          <w:rFonts w:cs="Times New Roman"/>
          <w:szCs w:val="24"/>
        </w:rPr>
        <w:t xml:space="preserve">concepts </w:t>
      </w:r>
      <w:r w:rsidR="00D51F92">
        <w:rPr>
          <w:rFonts w:cs="Times New Roman"/>
          <w:szCs w:val="24"/>
        </w:rPr>
        <w:t>include</w:t>
      </w:r>
      <w:r w:rsidR="00FE40FA">
        <w:rPr>
          <w:rFonts w:cs="Times New Roman"/>
          <w:szCs w:val="24"/>
        </w:rPr>
        <w:t xml:space="preserve"> austenitic and</w:t>
      </w:r>
      <w:r w:rsidR="00B12518" w:rsidRPr="00930141">
        <w:rPr>
          <w:rFonts w:cs="Times New Roman"/>
          <w:szCs w:val="24"/>
        </w:rPr>
        <w:t xml:space="preserve"> ferritic alloys</w:t>
      </w:r>
      <w:r w:rsidR="00FE40FA">
        <w:rPr>
          <w:rFonts w:cs="Times New Roman"/>
          <w:szCs w:val="24"/>
        </w:rPr>
        <w:t xml:space="preserve"> as well as </w:t>
      </w:r>
      <w:r w:rsidR="00B12518" w:rsidRPr="00930141">
        <w:rPr>
          <w:rFonts w:cs="Times New Roman"/>
          <w:szCs w:val="24"/>
        </w:rPr>
        <w:t>SiC/SiC composite cladding. These m</w:t>
      </w:r>
      <w:r w:rsidR="006A79E4" w:rsidRPr="00930141">
        <w:rPr>
          <w:rFonts w:cs="Times New Roman"/>
          <w:szCs w:val="24"/>
        </w:rPr>
        <w:t xml:space="preserve">aterials have the ability to </w:t>
      </w:r>
      <w:r w:rsidR="00B12518" w:rsidRPr="00930141">
        <w:rPr>
          <w:rFonts w:cs="Times New Roman"/>
          <w:szCs w:val="24"/>
        </w:rPr>
        <w:t>significantly reduce oxidation kinetic</w:t>
      </w:r>
      <w:r w:rsidR="00D51F92">
        <w:rPr>
          <w:rFonts w:cs="Times New Roman"/>
          <w:szCs w:val="24"/>
        </w:rPr>
        <w:t>s</w:t>
      </w:r>
      <w:r w:rsidR="00B12518" w:rsidRPr="00930141">
        <w:rPr>
          <w:rFonts w:cs="Times New Roman"/>
          <w:szCs w:val="24"/>
        </w:rPr>
        <w:t xml:space="preserve"> in high temperature steam environments when compared to zirconium alloys, which in turn could reduce heating</w:t>
      </w:r>
      <w:r w:rsidR="008952C2">
        <w:rPr>
          <w:rFonts w:cs="Times New Roman"/>
          <w:szCs w:val="24"/>
        </w:rPr>
        <w:t xml:space="preserve"> and hydrogen generation rates </w:t>
      </w:r>
      <w:r w:rsidR="00D00A8B">
        <w:rPr>
          <w:rFonts w:cs="Times New Roman"/>
          <w:szCs w:val="24"/>
        </w:rPr>
        <w:fldChar w:fldCharType="begin">
          <w:fldData xml:space="preserve">PEVuZE5vdGU+PENpdGU+PEF1dGhvcj5DYXRoY2FydDwvQXV0aG9yPjxZZWFyPjE5Nzc8L1llYXI+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</w:fldData>
        </w:fldChar>
      </w:r>
      <w:r w:rsidR="00046F32">
        <w:rPr>
          <w:rFonts w:cs="Times New Roman"/>
          <w:szCs w:val="24"/>
        </w:rPr>
        <w:instrText xml:space="preserve"> ADDIN EN.CITE </w:instrText>
      </w:r>
      <w:r w:rsidR="00046F32">
        <w:rPr>
          <w:rFonts w:cs="Times New Roman"/>
          <w:szCs w:val="24"/>
        </w:rPr>
        <w:fldChar w:fldCharType="begin">
          <w:fldData xml:space="preserve">PEVuZE5vdGU+PENpdGU+PEF1dGhvcj5DYXRoY2FydDwvQXV0aG9yPjxZZWFyPjE5Nzc8L1llYXI+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</w:fldData>
        </w:fldChar>
      </w:r>
      <w:r w:rsidR="00046F32">
        <w:rPr>
          <w:rFonts w:cs="Times New Roman"/>
          <w:szCs w:val="24"/>
        </w:rPr>
        <w:instrText xml:space="preserve"> ADDIN EN.CITE.DATA </w:instrText>
      </w:r>
      <w:r w:rsidR="00046F32">
        <w:rPr>
          <w:rFonts w:cs="Times New Roman"/>
          <w:szCs w:val="24"/>
        </w:rPr>
      </w:r>
      <w:r w:rsidR="00046F32">
        <w:rPr>
          <w:rFonts w:cs="Times New Roman"/>
          <w:szCs w:val="24"/>
        </w:rPr>
        <w:fldChar w:fldCharType="end"/>
      </w:r>
      <w:r w:rsidR="00D00A8B">
        <w:rPr>
          <w:rFonts w:cs="Times New Roman"/>
          <w:szCs w:val="24"/>
        </w:rPr>
      </w:r>
      <w:r w:rsidR="00D00A8B">
        <w:rPr>
          <w:rFonts w:cs="Times New Roman"/>
          <w:szCs w:val="24"/>
        </w:rPr>
        <w:fldChar w:fldCharType="separate"/>
      </w:r>
      <w:r w:rsidR="00046F32">
        <w:rPr>
          <w:rFonts w:cs="Times New Roman"/>
          <w:noProof/>
          <w:szCs w:val="24"/>
        </w:rPr>
        <w:t>[</w:t>
      </w:r>
      <w:hyperlink w:anchor="_ENREF_18" w:tooltip="Cathcart, 1977 #13" w:history="1">
        <w:r w:rsidR="00DF20CB">
          <w:rPr>
            <w:rFonts w:cs="Times New Roman"/>
            <w:noProof/>
            <w:szCs w:val="24"/>
          </w:rPr>
          <w:t>18-21</w:t>
        </w:r>
      </w:hyperlink>
      <w:r w:rsidR="00046F32">
        <w:rPr>
          <w:rFonts w:cs="Times New Roman"/>
          <w:noProof/>
          <w:szCs w:val="24"/>
        </w:rPr>
        <w:t>]</w:t>
      </w:r>
      <w:r w:rsidR="00D00A8B">
        <w:rPr>
          <w:rFonts w:cs="Times New Roman"/>
          <w:szCs w:val="24"/>
        </w:rPr>
        <w:fldChar w:fldCharType="end"/>
      </w:r>
      <w:r w:rsidR="00B12518" w:rsidRPr="00930141">
        <w:rPr>
          <w:rFonts w:cs="Times New Roman"/>
          <w:szCs w:val="24"/>
        </w:rPr>
        <w:t xml:space="preserve">. </w:t>
      </w:r>
    </w:p>
    <w:p w14:paraId="7EB9D0E1" w14:textId="77777777" w:rsidR="00B12518" w:rsidRPr="00930141" w:rsidRDefault="00317220" w:rsidP="0091793B">
      <w:pPr>
        <w:spacing w:line="360" w:lineRule="auto"/>
        <w:jc w:val="both"/>
        <w:rPr>
          <w:rFonts w:cs="Times New Roman"/>
          <w:b/>
          <w:szCs w:val="24"/>
        </w:rPr>
      </w:pPr>
      <w:r>
        <w:rPr>
          <w:rFonts w:cs="Times New Roman"/>
          <w:b/>
          <w:szCs w:val="24"/>
        </w:rPr>
        <w:t>II</w:t>
      </w:r>
      <w:r w:rsidR="00930141" w:rsidRPr="00930141">
        <w:rPr>
          <w:rFonts w:cs="Times New Roman"/>
          <w:b/>
          <w:szCs w:val="24"/>
        </w:rPr>
        <w:t>.</w:t>
      </w:r>
      <w:r>
        <w:rPr>
          <w:rFonts w:cs="Times New Roman"/>
          <w:b/>
          <w:szCs w:val="24"/>
        </w:rPr>
        <w:t>C</w:t>
      </w:r>
      <w:r w:rsidR="00930141" w:rsidRPr="00930141">
        <w:rPr>
          <w:rFonts w:cs="Times New Roman"/>
          <w:b/>
          <w:szCs w:val="24"/>
        </w:rPr>
        <w:t>.1</w:t>
      </w:r>
      <w:r w:rsidR="00930141" w:rsidRPr="00930141">
        <w:rPr>
          <w:rFonts w:cs="Times New Roman"/>
          <w:b/>
          <w:szCs w:val="24"/>
        </w:rPr>
        <w:tab/>
      </w:r>
      <w:r w:rsidR="00930141" w:rsidRPr="00930141">
        <w:rPr>
          <w:rFonts w:cs="Times New Roman"/>
          <w:b/>
          <w:szCs w:val="24"/>
        </w:rPr>
        <w:tab/>
      </w:r>
      <w:r w:rsidR="00B12518" w:rsidRPr="00930141">
        <w:rPr>
          <w:rFonts w:cs="Times New Roman"/>
          <w:b/>
          <w:szCs w:val="24"/>
        </w:rPr>
        <w:t>Austenitic Alloys</w:t>
      </w:r>
    </w:p>
    <w:p w14:paraId="398F4E16" w14:textId="5D334005" w:rsidR="000E2579" w:rsidRDefault="009C2445" w:rsidP="0091793B">
      <w:pPr>
        <w:spacing w:line="360" w:lineRule="auto"/>
        <w:jc w:val="both"/>
        <w:rPr>
          <w:rStyle w:val="apple-converted-space"/>
          <w:rFonts w:cs="Times New Roman"/>
          <w:color w:val="252525"/>
          <w:szCs w:val="24"/>
        </w:rPr>
      </w:pPr>
      <w:r w:rsidRPr="00930141">
        <w:rPr>
          <w:rFonts w:cs="Times New Roman"/>
          <w:szCs w:val="24"/>
        </w:rPr>
        <w:t>The austenitic</w:t>
      </w:r>
      <w:r w:rsidR="00904996" w:rsidRPr="00930141">
        <w:rPr>
          <w:rFonts w:cs="Times New Roman"/>
          <w:szCs w:val="24"/>
        </w:rPr>
        <w:t xml:space="preserve"> cladding concepts include alloys such as 310SS and 304SS. </w:t>
      </w:r>
      <w:r w:rsidR="00791978" w:rsidRPr="00930141">
        <w:rPr>
          <w:rFonts w:cs="Times New Roman"/>
          <w:szCs w:val="24"/>
        </w:rPr>
        <w:t>Type 304SS represents the generic 18Cr-8Ni type used in the early decades of nuclear energy until the</w:t>
      </w:r>
      <w:r w:rsidR="0055332F" w:rsidRPr="00930141">
        <w:rPr>
          <w:rFonts w:cs="Times New Roman"/>
          <w:szCs w:val="24"/>
        </w:rPr>
        <w:t xml:space="preserve"> </w:t>
      </w:r>
      <w:r w:rsidR="00791978" w:rsidRPr="00930141">
        <w:rPr>
          <w:rFonts w:cs="Times New Roman"/>
          <w:szCs w:val="24"/>
        </w:rPr>
        <w:t>19</w:t>
      </w:r>
      <w:r w:rsidR="0055332F" w:rsidRPr="00930141">
        <w:rPr>
          <w:rFonts w:cs="Times New Roman"/>
          <w:szCs w:val="24"/>
        </w:rPr>
        <w:t>9</w:t>
      </w:r>
      <w:r w:rsidR="008952C2">
        <w:rPr>
          <w:rFonts w:cs="Times New Roman"/>
          <w:szCs w:val="24"/>
        </w:rPr>
        <w:t xml:space="preserve">0s </w:t>
      </w:r>
      <w:r w:rsidR="00D00A8B">
        <w:rPr>
          <w:rFonts w:cs="Times New Roman"/>
          <w:szCs w:val="24"/>
        </w:rPr>
        <w:lastRenderedPageBreak/>
        <w:fldChar w:fldCharType="begin"/>
      </w:r>
      <w:r w:rsidR="00046F32">
        <w:rPr>
          <w:rFonts w:cs="Times New Roman"/>
          <w:szCs w:val="24"/>
        </w:rPr>
        <w:instrText xml:space="preserve"> ADDIN EN.CITE &lt;EndNote&gt;&lt;Cite&gt;&lt;Author&gt;Strasser&lt;/Author&gt;&lt;Year&gt;1982&lt;/Year&gt;&lt;RecNum&gt;7&lt;/RecNum&gt;&lt;DisplayText&gt;[22]&lt;/DisplayText&gt;&lt;record&gt;&lt;rec-number&gt;7&lt;/rec-number&gt;&lt;foreign-keys&gt;&lt;key app="EN" db-id="2xr5xwvelzde2mew29sv50pv0rfe95epfwxp" timestamp="1422335366"&gt;7&lt;/key&gt;&lt;/foreign-keys&gt;&lt;ref-type name="Report"&gt;27&lt;/ref-type&gt;&lt;contributors&gt;&lt;authors&gt;&lt;author&gt;A. Strasser&lt;/author&gt;&lt;author&gt;J. Santucci&lt;/author&gt;&lt;author&gt;K. Lindquist&lt;/author&gt;&lt;author&gt;W. Yario&lt;/author&gt;&lt;author&gt;G. Stern&lt;/author&gt;&lt;author&gt;L. Goldstein&lt;/author&gt;&lt;author&gt;L. Joseph&lt;/author&gt;&lt;/authors&gt;&lt;/contributors&gt;&lt;titles&gt;&lt;title&gt;An Evaluation of Stainless Steel Cladding for Use in Current Design LWRs, NP-2642&lt;/title&gt;&lt;/titles&gt;&lt;number&gt;NP-2642&lt;/number&gt;&lt;keywords&gt;&lt;keyword&gt;Austenitic stainless steel, fuel cladding, light water reactors, stress corrosion cracking, review, pressurized water reactors, boiling water reactors, LWRs&lt;/keyword&gt;&lt;/keywords&gt;&lt;dates&gt;&lt;year&gt;1982&lt;/year&gt;&lt;/dates&gt;&lt;pub-location&gt;Palo Alto, CA&lt;/pub-location&gt;&lt;publisher&gt;Electric Power Research Institute&lt;/publisher&gt;&lt;urls&gt;&lt;/urls&gt;&lt;research-notes&gt;originally published under export control; changed to publicly available in Oct., 2008&amp;#xD;Typical fuel cladding heat fluxes are 40-140 W/cm2 (0.4-1.4 MW/m2)&lt;/research-notes&gt;&lt;/record&gt;&lt;/Cite&gt;&lt;/EndNote&gt;</w:instrText>
      </w:r>
      <w:r w:rsidR="00D00A8B">
        <w:rPr>
          <w:rFonts w:cs="Times New Roman"/>
          <w:szCs w:val="24"/>
        </w:rPr>
        <w:fldChar w:fldCharType="separate"/>
      </w:r>
      <w:r w:rsidR="00046F32">
        <w:rPr>
          <w:rFonts w:cs="Times New Roman"/>
          <w:noProof/>
          <w:szCs w:val="24"/>
        </w:rPr>
        <w:t>[</w:t>
      </w:r>
      <w:hyperlink w:anchor="_ENREF_22" w:tooltip="Strasser, 1982 #7" w:history="1">
        <w:r w:rsidR="00DF20CB">
          <w:rPr>
            <w:rFonts w:cs="Times New Roman"/>
            <w:noProof/>
            <w:szCs w:val="24"/>
          </w:rPr>
          <w:t>22</w:t>
        </w:r>
      </w:hyperlink>
      <w:r w:rsidR="00046F32">
        <w:rPr>
          <w:rFonts w:cs="Times New Roman"/>
          <w:noProof/>
          <w:szCs w:val="24"/>
        </w:rPr>
        <w:t>]</w:t>
      </w:r>
      <w:r w:rsidR="00D00A8B">
        <w:rPr>
          <w:rFonts w:cs="Times New Roman"/>
          <w:szCs w:val="24"/>
        </w:rPr>
        <w:fldChar w:fldCharType="end"/>
      </w:r>
      <w:r w:rsidR="00791978" w:rsidRPr="00930141">
        <w:rPr>
          <w:rFonts w:cs="Times New Roman"/>
          <w:szCs w:val="24"/>
        </w:rPr>
        <w:t xml:space="preserve">. </w:t>
      </w:r>
      <w:r w:rsidR="00C474E9" w:rsidRPr="00930141">
        <w:rPr>
          <w:rFonts w:cs="Times New Roman"/>
          <w:szCs w:val="24"/>
        </w:rPr>
        <w:t>Although 304SS was abandoned in U.S. reactors because of its high absorption properties</w:t>
      </w:r>
      <w:r w:rsidR="00D51F92">
        <w:rPr>
          <w:rFonts w:cs="Times New Roman"/>
          <w:szCs w:val="24"/>
        </w:rPr>
        <w:t>,</w:t>
      </w:r>
      <w:r w:rsidR="00C474E9" w:rsidRPr="00930141">
        <w:rPr>
          <w:rFonts w:cs="Times New Roman"/>
          <w:szCs w:val="24"/>
        </w:rPr>
        <w:t xml:space="preserve"> and damage found in the Ha</w:t>
      </w:r>
      <w:r w:rsidR="00C474E9" w:rsidRPr="00930141">
        <w:rPr>
          <w:rStyle w:val="apple-converted-space"/>
          <w:rFonts w:cs="Times New Roman"/>
          <w:color w:val="252525"/>
          <w:szCs w:val="24"/>
        </w:rPr>
        <w:t xml:space="preserve">ddam Neck Plant, major performance improvements have been made in the past few decades on iron-based cladding concepts for nuclear fuel applications. </w:t>
      </w:r>
    </w:p>
    <w:p w14:paraId="49B36FB1" w14:textId="3D248707" w:rsidR="000808D8" w:rsidRPr="00DF6D6B" w:rsidRDefault="00791978" w:rsidP="0091793B">
      <w:pPr>
        <w:spacing w:line="360" w:lineRule="auto"/>
        <w:jc w:val="both"/>
        <w:rPr>
          <w:rFonts w:cs="Times New Roman"/>
          <w:color w:val="252525"/>
          <w:szCs w:val="24"/>
        </w:rPr>
      </w:pPr>
      <w:r w:rsidRPr="00930141">
        <w:rPr>
          <w:rFonts w:cs="Times New Roman"/>
          <w:szCs w:val="24"/>
        </w:rPr>
        <w:t>Type 310SS</w:t>
      </w:r>
      <w:r w:rsidR="009C2445" w:rsidRPr="00930141">
        <w:rPr>
          <w:rFonts w:cs="Times New Roman"/>
          <w:szCs w:val="24"/>
        </w:rPr>
        <w:t xml:space="preserve"> is a newer alloy that</w:t>
      </w:r>
      <w:r w:rsidRPr="00930141">
        <w:rPr>
          <w:rFonts w:cs="Times New Roman"/>
          <w:szCs w:val="24"/>
        </w:rPr>
        <w:t xml:space="preserve"> contains higher amounts of chromium and nickel. The additional chromium allows for a protective layer of Cr</w:t>
      </w:r>
      <w:r w:rsidRPr="00930141">
        <w:rPr>
          <w:rFonts w:cs="Times New Roman"/>
          <w:szCs w:val="24"/>
          <w:vertAlign w:val="subscript"/>
        </w:rPr>
        <w:t>2</w:t>
      </w:r>
      <w:r w:rsidRPr="00930141">
        <w:rPr>
          <w:rFonts w:cs="Times New Roman"/>
          <w:szCs w:val="24"/>
        </w:rPr>
        <w:t>O</w:t>
      </w:r>
      <w:r w:rsidRPr="00930141">
        <w:rPr>
          <w:rFonts w:cs="Times New Roman"/>
          <w:szCs w:val="24"/>
          <w:vertAlign w:val="subscript"/>
        </w:rPr>
        <w:t>3</w:t>
      </w:r>
      <w:r w:rsidRPr="00930141">
        <w:rPr>
          <w:rFonts w:cs="Times New Roman"/>
          <w:szCs w:val="24"/>
        </w:rPr>
        <w:t xml:space="preserve"> to form around the rod which </w:t>
      </w:r>
      <w:r w:rsidR="00E9647E">
        <w:rPr>
          <w:rFonts w:cs="Times New Roman"/>
          <w:szCs w:val="24"/>
        </w:rPr>
        <w:t>retards cladding oxidation</w:t>
      </w:r>
      <w:r w:rsidRPr="00930141">
        <w:rPr>
          <w:rFonts w:cs="Times New Roman"/>
          <w:szCs w:val="24"/>
        </w:rPr>
        <w:t xml:space="preserve"> in the environ</w:t>
      </w:r>
      <w:r w:rsidR="00C03893">
        <w:rPr>
          <w:rFonts w:cs="Times New Roman"/>
          <w:szCs w:val="24"/>
        </w:rPr>
        <w:t xml:space="preserve">ment of high temperature steam </w:t>
      </w:r>
      <w:r w:rsidR="00E54D37">
        <w:rPr>
          <w:rFonts w:cs="Times New Roman"/>
          <w:szCs w:val="24"/>
        </w:rPr>
        <w:fldChar w:fldCharType="begin"/>
      </w:r>
      <w:r w:rsidR="00046F32">
        <w:rPr>
          <w:rFonts w:cs="Times New Roman"/>
          <w:szCs w:val="24"/>
        </w:rPr>
        <w:instrText xml:space="preserve"> ADDIN EN.CITE &lt;EndNote&gt;&lt;Cite&gt;&lt;Author&gt;Pint&lt;/Author&gt;&lt;Year&gt;2013&lt;/Year&gt;&lt;RecNum&gt;14&lt;/RecNum&gt;&lt;DisplayText&gt;[19]&lt;/DisplayText&gt;&lt;record&gt;&lt;rec-number&gt;14&lt;/rec-number&gt;&lt;foreign-keys&gt;&lt;key app="EN" db-id="trfxzx057wwv0qe0vz1vttttwf0522tvtwpt" timestamp="1422124744"&gt;14&lt;/key&gt;&lt;/foreign-keys&gt;&lt;ref-type name="Journal Article"&gt;17&lt;/ref-type&gt;&lt;contributors&gt;&lt;authors&gt;&lt;author&gt;Pint, Bruce A&lt;/author&gt;&lt;author&gt;Terrani, Kurt A&lt;/author&gt;&lt;author&gt;Brady, Michael P&lt;/author&gt;&lt;author&gt;Cheng, Ting&lt;/author&gt;&lt;author&gt;Keiser, James R&lt;/author&gt;&lt;/authors&gt;&lt;/contributors&gt;&lt;titles&gt;&lt;title&gt;High temperature oxidation of fuel cladding candidate materials in steam–hydrogen environments&lt;/title&gt;&lt;secondary-title&gt;Journal of Nuclear Materials&lt;/secondary-title&gt;&lt;/titles&gt;&lt;periodical&gt;&lt;full-title&gt;Journal of Nuclear Materials&lt;/full-title&gt;&lt;/periodical&gt;&lt;pages&gt;420-427&lt;/pages&gt;&lt;volume&gt;440&lt;/volume&gt;&lt;number&gt;1&lt;/number&gt;&lt;dates&gt;&lt;year&gt;2013&lt;/year&gt;&lt;/dates&gt;&lt;isbn&gt;0022-3115&lt;/isbn&gt;&lt;urls&gt;&lt;/urls&gt;&lt;/record&gt;&lt;/Cite&gt;&lt;/EndNote&gt;</w:instrText>
      </w:r>
      <w:r w:rsidR="00E54D37">
        <w:rPr>
          <w:rFonts w:cs="Times New Roman"/>
          <w:szCs w:val="24"/>
        </w:rPr>
        <w:fldChar w:fldCharType="separate"/>
      </w:r>
      <w:r w:rsidR="00046F32">
        <w:rPr>
          <w:rFonts w:cs="Times New Roman"/>
          <w:noProof/>
          <w:szCs w:val="24"/>
        </w:rPr>
        <w:t>[</w:t>
      </w:r>
      <w:hyperlink w:anchor="_ENREF_19" w:tooltip="Pint, 2013 #14" w:history="1">
        <w:r w:rsidR="00DF20CB">
          <w:rPr>
            <w:rFonts w:cs="Times New Roman"/>
            <w:noProof/>
            <w:szCs w:val="24"/>
          </w:rPr>
          <w:t>19</w:t>
        </w:r>
      </w:hyperlink>
      <w:r w:rsidR="00046F32">
        <w:rPr>
          <w:rFonts w:cs="Times New Roman"/>
          <w:noProof/>
          <w:szCs w:val="24"/>
        </w:rPr>
        <w:t>]</w:t>
      </w:r>
      <w:r w:rsidR="00E54D37">
        <w:rPr>
          <w:rFonts w:cs="Times New Roman"/>
          <w:szCs w:val="24"/>
        </w:rPr>
        <w:fldChar w:fldCharType="end"/>
      </w:r>
      <w:r w:rsidRPr="00930141">
        <w:rPr>
          <w:rFonts w:cs="Times New Roman"/>
          <w:szCs w:val="24"/>
        </w:rPr>
        <w:t xml:space="preserve">. </w:t>
      </w:r>
      <w:r w:rsidR="001874D0" w:rsidRPr="00930141">
        <w:rPr>
          <w:rFonts w:cs="Times New Roman"/>
          <w:szCs w:val="24"/>
        </w:rPr>
        <w:t xml:space="preserve">304SS which contains significantly less chromium </w:t>
      </w:r>
      <w:r w:rsidR="00FA4C41" w:rsidRPr="00930141">
        <w:rPr>
          <w:rFonts w:cs="Times New Roman"/>
          <w:szCs w:val="24"/>
        </w:rPr>
        <w:t xml:space="preserve">and more iron </w:t>
      </w:r>
      <w:r w:rsidR="001874D0" w:rsidRPr="00930141">
        <w:rPr>
          <w:rFonts w:cs="Times New Roman"/>
          <w:szCs w:val="24"/>
        </w:rPr>
        <w:t xml:space="preserve">than that of 310SS, maintains </w:t>
      </w:r>
      <w:r w:rsidR="00027757">
        <w:rPr>
          <w:rFonts w:cs="Times New Roman"/>
          <w:szCs w:val="24"/>
        </w:rPr>
        <w:t>higher</w:t>
      </w:r>
      <w:r w:rsidR="00FA4C41" w:rsidRPr="00930141">
        <w:rPr>
          <w:rFonts w:cs="Times New Roman"/>
          <w:szCs w:val="24"/>
        </w:rPr>
        <w:t xml:space="preserve"> </w:t>
      </w:r>
      <w:r w:rsidR="001874D0" w:rsidRPr="00930141">
        <w:rPr>
          <w:rFonts w:cs="Times New Roman"/>
          <w:szCs w:val="24"/>
        </w:rPr>
        <w:t>permeability properti</w:t>
      </w:r>
      <w:r w:rsidR="00FA4C41" w:rsidRPr="00930141">
        <w:rPr>
          <w:rFonts w:cs="Times New Roman"/>
          <w:szCs w:val="24"/>
        </w:rPr>
        <w:t>es of</w:t>
      </w:r>
      <w:r w:rsidR="001874D0" w:rsidRPr="00930141">
        <w:rPr>
          <w:rFonts w:cs="Times New Roman"/>
          <w:szCs w:val="24"/>
        </w:rPr>
        <w:t xml:space="preserve"> iron oxide</w:t>
      </w:r>
      <w:r w:rsidR="00FA4C41" w:rsidRPr="00930141">
        <w:rPr>
          <w:rFonts w:cs="Times New Roman"/>
          <w:szCs w:val="24"/>
        </w:rPr>
        <w:t xml:space="preserve">, and is thus similar to zirconium </w:t>
      </w:r>
      <w:r w:rsidR="00294F4F">
        <w:rPr>
          <w:rFonts w:cs="Times New Roman"/>
          <w:szCs w:val="24"/>
        </w:rPr>
        <w:t>alloys that form zirconium oxides in the presence of high temperature H</w:t>
      </w:r>
      <w:r w:rsidR="00294F4F">
        <w:rPr>
          <w:rFonts w:cs="Times New Roman"/>
          <w:szCs w:val="24"/>
          <w:vertAlign w:val="subscript"/>
        </w:rPr>
        <w:t>2</w:t>
      </w:r>
      <w:r w:rsidR="00294F4F">
        <w:rPr>
          <w:rFonts w:cs="Times New Roman"/>
          <w:szCs w:val="24"/>
        </w:rPr>
        <w:t>O</w:t>
      </w:r>
      <w:r w:rsidR="008952C2">
        <w:rPr>
          <w:rFonts w:cs="Times New Roman"/>
          <w:szCs w:val="24"/>
        </w:rPr>
        <w:t xml:space="preserve"> </w:t>
      </w:r>
      <w:r w:rsidR="00D00A8B">
        <w:rPr>
          <w:rFonts w:cs="Times New Roman"/>
          <w:szCs w:val="24"/>
        </w:rPr>
        <w:fldChar w:fldCharType="begin"/>
      </w:r>
      <w:r w:rsidR="00046F32">
        <w:rPr>
          <w:rFonts w:cs="Times New Roman"/>
          <w:szCs w:val="24"/>
        </w:rPr>
        <w:instrText xml:space="preserve"> ADDIN EN.CITE &lt;EndNote&gt;&lt;Cite&gt;&lt;Author&gt;Terrani&lt;/Author&gt;&lt;Year&gt;2014&lt;/Year&gt;&lt;RecNum&gt;15&lt;/RecNum&gt;&lt;DisplayText&gt;[20]&lt;/DisplayText&gt;&lt;record&gt;&lt;rec-number&gt;15&lt;/rec-number&gt;&lt;foreign-keys&gt;&lt;key app="EN" db-id="trfxzx057wwv0qe0vz1vttttwf0522tvtwpt" timestamp="1422124768"&gt;15&lt;/key&gt;&lt;/foreign-keys&gt;&lt;ref-type name="Journal Article"&gt;17&lt;/ref-type&gt;&lt;contributors&gt;&lt;authors&gt;&lt;author&gt;Terrani, KA&lt;/author&gt;&lt;author&gt;Zinkle, SJ&lt;/author&gt;&lt;author&gt;Snead, LL&lt;/author&gt;&lt;/authors&gt;&lt;/contributors&gt;&lt;titles&gt;&lt;title&gt;Advanced oxidation-resistant iron-based alloys for LWR fuel cladding&lt;/title&gt;&lt;secondary-title&gt;Journal of Nuclear Materials&lt;/secondary-title&gt;&lt;/titles&gt;&lt;periodical&gt;&lt;full-title&gt;Journal of Nuclear Materials&lt;/full-title&gt;&lt;/periodical&gt;&lt;pages&gt;420-435&lt;/pages&gt;&lt;volume&gt;448&lt;/volume&gt;&lt;number&gt;1&lt;/number&gt;&lt;dates&gt;&lt;year&gt;2014&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20" w:tooltip="Terrani, 2014 #15" w:history="1">
        <w:r w:rsidR="00DF20CB">
          <w:rPr>
            <w:rFonts w:cs="Times New Roman"/>
            <w:noProof/>
            <w:szCs w:val="24"/>
          </w:rPr>
          <w:t>20</w:t>
        </w:r>
      </w:hyperlink>
      <w:r w:rsidR="00046F32">
        <w:rPr>
          <w:rFonts w:cs="Times New Roman"/>
          <w:noProof/>
          <w:szCs w:val="24"/>
        </w:rPr>
        <w:t>]</w:t>
      </w:r>
      <w:r w:rsidR="00D00A8B">
        <w:rPr>
          <w:rFonts w:cs="Times New Roman"/>
          <w:szCs w:val="24"/>
        </w:rPr>
        <w:fldChar w:fldCharType="end"/>
      </w:r>
      <w:r w:rsidR="007F1288">
        <w:rPr>
          <w:rFonts w:cs="Times New Roman"/>
          <w:szCs w:val="24"/>
        </w:rPr>
        <w:t>.</w:t>
      </w:r>
      <w:r w:rsidR="000E2579">
        <w:rPr>
          <w:rFonts w:cs="Times New Roman"/>
          <w:szCs w:val="24"/>
        </w:rPr>
        <w:t xml:space="preserve"> The large amounts of Ni, Cr and Fe within these alloys contribute to their high neutron absorption properties. </w:t>
      </w:r>
    </w:p>
    <w:p w14:paraId="03D0C101" w14:textId="77777777" w:rsidR="00294F4F" w:rsidRDefault="00317220" w:rsidP="0091793B">
      <w:pPr>
        <w:spacing w:line="360" w:lineRule="auto"/>
        <w:jc w:val="both"/>
        <w:rPr>
          <w:rFonts w:cs="Times New Roman"/>
          <w:b/>
          <w:szCs w:val="24"/>
        </w:rPr>
      </w:pPr>
      <w:r>
        <w:rPr>
          <w:rFonts w:cs="Times New Roman"/>
          <w:b/>
          <w:szCs w:val="24"/>
        </w:rPr>
        <w:t>II</w:t>
      </w:r>
      <w:r w:rsidR="00930141" w:rsidRPr="00930141">
        <w:rPr>
          <w:rFonts w:cs="Times New Roman"/>
          <w:b/>
          <w:szCs w:val="24"/>
        </w:rPr>
        <w:t>.</w:t>
      </w:r>
      <w:r>
        <w:rPr>
          <w:rFonts w:cs="Times New Roman"/>
          <w:b/>
          <w:szCs w:val="24"/>
        </w:rPr>
        <w:t>C</w:t>
      </w:r>
      <w:r w:rsidR="00930141" w:rsidRPr="00930141">
        <w:rPr>
          <w:rFonts w:cs="Times New Roman"/>
          <w:b/>
          <w:szCs w:val="24"/>
        </w:rPr>
        <w:t>.2</w:t>
      </w:r>
      <w:r w:rsidR="00930141" w:rsidRPr="00930141">
        <w:rPr>
          <w:rFonts w:cs="Times New Roman"/>
          <w:b/>
          <w:szCs w:val="24"/>
        </w:rPr>
        <w:tab/>
      </w:r>
      <w:r w:rsidR="00930141" w:rsidRPr="00930141">
        <w:rPr>
          <w:rFonts w:cs="Times New Roman"/>
          <w:b/>
          <w:szCs w:val="24"/>
        </w:rPr>
        <w:tab/>
      </w:r>
      <w:r w:rsidR="00092C92" w:rsidRPr="00930141">
        <w:rPr>
          <w:rFonts w:cs="Times New Roman"/>
          <w:b/>
          <w:szCs w:val="24"/>
        </w:rPr>
        <w:t>Ferritic Alloys</w:t>
      </w:r>
    </w:p>
    <w:p w14:paraId="7A8905D2" w14:textId="5BB96FEA" w:rsidR="009D20A4" w:rsidRPr="00294F4F" w:rsidRDefault="00294F4F" w:rsidP="0091793B">
      <w:pPr>
        <w:spacing w:line="360" w:lineRule="auto"/>
        <w:jc w:val="both"/>
        <w:rPr>
          <w:rFonts w:cs="Times New Roman"/>
          <w:b/>
          <w:szCs w:val="24"/>
        </w:rPr>
      </w:pPr>
      <w:r w:rsidRPr="00294F4F">
        <w:rPr>
          <w:rFonts w:cs="Times New Roman"/>
          <w:szCs w:val="24"/>
        </w:rPr>
        <w:t>F</w:t>
      </w:r>
      <w:r w:rsidR="00092C92" w:rsidRPr="00294F4F">
        <w:rPr>
          <w:rFonts w:cs="Times New Roman"/>
          <w:szCs w:val="24"/>
        </w:rPr>
        <w:t>errit</w:t>
      </w:r>
      <w:r w:rsidR="00092C92" w:rsidRPr="00930141">
        <w:rPr>
          <w:rFonts w:cs="Times New Roman"/>
          <w:szCs w:val="24"/>
        </w:rPr>
        <w:t>ic all</w:t>
      </w:r>
      <w:r w:rsidR="00FE40FA">
        <w:rPr>
          <w:rFonts w:cs="Times New Roman"/>
          <w:szCs w:val="24"/>
        </w:rPr>
        <w:t xml:space="preserve">oys, </w:t>
      </w:r>
      <w:r w:rsidR="00092C92" w:rsidRPr="00930141">
        <w:rPr>
          <w:rFonts w:cs="Times New Roman"/>
          <w:szCs w:val="24"/>
        </w:rPr>
        <w:t>FeCrAl and commercial APMT</w:t>
      </w:r>
      <w:r w:rsidR="00092C92" w:rsidRPr="00930141">
        <w:rPr>
          <w:rFonts w:cs="Times New Roman"/>
          <w:szCs w:val="24"/>
          <w:vertAlign w:val="superscript"/>
        </w:rPr>
        <w:t>TM</w:t>
      </w:r>
      <w:r w:rsidR="00FE40FA">
        <w:rPr>
          <w:rFonts w:cs="Times New Roman"/>
          <w:szCs w:val="24"/>
        </w:rPr>
        <w:t xml:space="preserve"> </w:t>
      </w:r>
      <w:r w:rsidR="00092C92" w:rsidRPr="00930141">
        <w:rPr>
          <w:rFonts w:cs="Times New Roman"/>
          <w:szCs w:val="24"/>
        </w:rPr>
        <w:t>contain significant amounts of aluminum which, under high temperature oxidation conditions, produces a protective Al</w:t>
      </w:r>
      <w:r w:rsidR="00092C92" w:rsidRPr="00930141">
        <w:rPr>
          <w:rFonts w:cs="Times New Roman"/>
          <w:szCs w:val="24"/>
        </w:rPr>
        <w:softHyphen/>
      </w:r>
      <w:r w:rsidR="00092C92" w:rsidRPr="00930141">
        <w:rPr>
          <w:rFonts w:cs="Times New Roman"/>
          <w:szCs w:val="24"/>
          <w:vertAlign w:val="subscript"/>
        </w:rPr>
        <w:t>2</w:t>
      </w:r>
      <w:r w:rsidR="00092C92" w:rsidRPr="00930141">
        <w:rPr>
          <w:rFonts w:cs="Times New Roman"/>
          <w:szCs w:val="24"/>
        </w:rPr>
        <w:t>O</w:t>
      </w:r>
      <w:r w:rsidR="00092C92" w:rsidRPr="00930141">
        <w:rPr>
          <w:rFonts w:cs="Times New Roman"/>
          <w:szCs w:val="24"/>
          <w:vertAlign w:val="subscript"/>
        </w:rPr>
        <w:t>3</w:t>
      </w:r>
      <w:r w:rsidR="00092C92" w:rsidRPr="00930141">
        <w:rPr>
          <w:rFonts w:cs="Times New Roman"/>
          <w:szCs w:val="24"/>
        </w:rPr>
        <w:t xml:space="preserve"> layer </w:t>
      </w:r>
      <w:r w:rsidR="009C2445" w:rsidRPr="00930141">
        <w:rPr>
          <w:rFonts w:cs="Times New Roman"/>
          <w:szCs w:val="24"/>
        </w:rPr>
        <w:t>that</w:t>
      </w:r>
      <w:r w:rsidR="00092C92" w:rsidRPr="00930141">
        <w:rPr>
          <w:rFonts w:cs="Times New Roman"/>
          <w:szCs w:val="24"/>
        </w:rPr>
        <w:t xml:space="preserve"> is even stronger than </w:t>
      </w:r>
      <w:r w:rsidR="009D20A4" w:rsidRPr="00930141">
        <w:rPr>
          <w:rFonts w:cs="Times New Roman"/>
          <w:szCs w:val="24"/>
        </w:rPr>
        <w:t>th</w:t>
      </w:r>
      <w:r w:rsidR="008952C2">
        <w:rPr>
          <w:rFonts w:cs="Times New Roman"/>
          <w:szCs w:val="24"/>
        </w:rPr>
        <w:t xml:space="preserve">at formed in austenitic steals </w:t>
      </w:r>
      <w:r w:rsidR="00D00A8B">
        <w:rPr>
          <w:rFonts w:cs="Times New Roman"/>
          <w:szCs w:val="24"/>
        </w:rPr>
        <w:fldChar w:fldCharType="begin"/>
      </w:r>
      <w:r w:rsidR="00046F32">
        <w:rPr>
          <w:rFonts w:cs="Times New Roman"/>
          <w:szCs w:val="24"/>
        </w:rPr>
        <w:instrText xml:space="preserve"> ADDIN EN.CITE &lt;EndNote&gt;&lt;Cite&gt;&lt;Author&gt;Terrani&lt;/Author&gt;&lt;Year&gt;2014&lt;/Year&gt;&lt;RecNum&gt;15&lt;/RecNum&gt;&lt;DisplayText&gt;[20]&lt;/DisplayText&gt;&lt;record&gt;&lt;rec-number&gt;15&lt;/rec-number&gt;&lt;foreign-keys&gt;&lt;key app="EN" db-id="trfxzx057wwv0qe0vz1vttttwf0522tvtwpt" timestamp="1422124768"&gt;15&lt;/key&gt;&lt;/foreign-keys&gt;&lt;ref-type name="Journal Article"&gt;17&lt;/ref-type&gt;&lt;contributors&gt;&lt;authors&gt;&lt;author&gt;Terrani, KA&lt;/author&gt;&lt;author&gt;Zinkle, SJ&lt;/author&gt;&lt;author&gt;Snead, LL&lt;/author&gt;&lt;/authors&gt;&lt;/contributors&gt;&lt;titles&gt;&lt;title&gt;Advanced oxidation-resistant iron-based alloys for LWR fuel cladding&lt;/title&gt;&lt;secondary-title&gt;Journal of Nuclear Materials&lt;/secondary-title&gt;&lt;/titles&gt;&lt;periodical&gt;&lt;full-title&gt;Journal of Nuclear Materials&lt;/full-title&gt;&lt;/periodical&gt;&lt;pages&gt;420-435&lt;/pages&gt;&lt;volume&gt;448&lt;/volume&gt;&lt;number&gt;1&lt;/number&gt;&lt;dates&gt;&lt;year&gt;2014&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20" w:tooltip="Terrani, 2014 #15" w:history="1">
        <w:r w:rsidR="00DF20CB">
          <w:rPr>
            <w:rFonts w:cs="Times New Roman"/>
            <w:noProof/>
            <w:szCs w:val="24"/>
          </w:rPr>
          <w:t>20</w:t>
        </w:r>
      </w:hyperlink>
      <w:r w:rsidR="00046F32">
        <w:rPr>
          <w:rFonts w:cs="Times New Roman"/>
          <w:noProof/>
          <w:szCs w:val="24"/>
        </w:rPr>
        <w:t>]</w:t>
      </w:r>
      <w:r w:rsidR="00D00A8B">
        <w:rPr>
          <w:rFonts w:cs="Times New Roman"/>
          <w:szCs w:val="24"/>
        </w:rPr>
        <w:fldChar w:fldCharType="end"/>
      </w:r>
      <w:r w:rsidR="009D20A4" w:rsidRPr="00930141">
        <w:rPr>
          <w:rFonts w:cs="Times New Roman"/>
          <w:szCs w:val="24"/>
        </w:rPr>
        <w:t xml:space="preserve">. </w:t>
      </w:r>
      <w:r>
        <w:rPr>
          <w:rFonts w:cs="Times New Roman"/>
          <w:szCs w:val="24"/>
        </w:rPr>
        <w:t>Similar</w:t>
      </w:r>
      <w:r w:rsidR="00FA4C41" w:rsidRPr="00930141">
        <w:rPr>
          <w:rFonts w:cs="Times New Roman"/>
          <w:szCs w:val="24"/>
        </w:rPr>
        <w:t xml:space="preserve"> to Cr</w:t>
      </w:r>
      <w:r w:rsidR="00FA4C41" w:rsidRPr="00930141">
        <w:rPr>
          <w:rFonts w:cs="Times New Roman"/>
          <w:szCs w:val="24"/>
          <w:vertAlign w:val="subscript"/>
        </w:rPr>
        <w:t>2</w:t>
      </w:r>
      <w:r w:rsidR="00FA4C41" w:rsidRPr="00930141">
        <w:rPr>
          <w:rFonts w:cs="Times New Roman"/>
          <w:szCs w:val="24"/>
        </w:rPr>
        <w:t>O</w:t>
      </w:r>
      <w:r w:rsidR="00FA4C41" w:rsidRPr="00930141">
        <w:rPr>
          <w:rFonts w:cs="Times New Roman"/>
          <w:szCs w:val="24"/>
          <w:vertAlign w:val="subscript"/>
        </w:rPr>
        <w:t>3</w:t>
      </w:r>
      <w:r w:rsidR="009C2445" w:rsidRPr="00930141">
        <w:rPr>
          <w:rFonts w:cs="Times New Roman"/>
          <w:szCs w:val="24"/>
        </w:rPr>
        <w:t xml:space="preserve">, </w:t>
      </w:r>
      <w:r w:rsidR="00FA4C41" w:rsidRPr="00930141">
        <w:rPr>
          <w:rFonts w:cs="Times New Roman"/>
          <w:szCs w:val="24"/>
        </w:rPr>
        <w:t>Al</w:t>
      </w:r>
      <w:r w:rsidR="00FA4C41" w:rsidRPr="00930141">
        <w:rPr>
          <w:rFonts w:cs="Times New Roman"/>
          <w:szCs w:val="24"/>
        </w:rPr>
        <w:softHyphen/>
      </w:r>
      <w:r w:rsidR="00FA4C41" w:rsidRPr="00930141">
        <w:rPr>
          <w:rFonts w:cs="Times New Roman"/>
          <w:szCs w:val="24"/>
          <w:vertAlign w:val="subscript"/>
        </w:rPr>
        <w:t>2</w:t>
      </w:r>
      <w:r w:rsidR="00FA4C41" w:rsidRPr="00930141">
        <w:rPr>
          <w:rFonts w:cs="Times New Roman"/>
          <w:szCs w:val="24"/>
        </w:rPr>
        <w:t>O</w:t>
      </w:r>
      <w:r w:rsidR="00FA4C41" w:rsidRPr="00930141">
        <w:rPr>
          <w:rFonts w:cs="Times New Roman"/>
          <w:szCs w:val="24"/>
          <w:vertAlign w:val="subscript"/>
        </w:rPr>
        <w:t xml:space="preserve">3 </w:t>
      </w:r>
      <w:r w:rsidR="00FA4C41" w:rsidRPr="00930141">
        <w:rPr>
          <w:rFonts w:cs="Times New Roman"/>
          <w:szCs w:val="24"/>
        </w:rPr>
        <w:t xml:space="preserve">is </w:t>
      </w:r>
      <w:r w:rsidR="009C2445" w:rsidRPr="00930141">
        <w:rPr>
          <w:rFonts w:cs="Times New Roman"/>
          <w:szCs w:val="24"/>
        </w:rPr>
        <w:t>less permeable than ZrO</w:t>
      </w:r>
      <w:r w:rsidR="009C2445" w:rsidRPr="00930141">
        <w:rPr>
          <w:rFonts w:cs="Times New Roman"/>
          <w:szCs w:val="24"/>
          <w:vertAlign w:val="subscript"/>
        </w:rPr>
        <w:t>2</w:t>
      </w:r>
      <w:r w:rsidR="009C2445" w:rsidRPr="00930141">
        <w:rPr>
          <w:rFonts w:cs="Times New Roman"/>
          <w:szCs w:val="24"/>
        </w:rPr>
        <w:t xml:space="preserve">, making </w:t>
      </w:r>
      <w:r w:rsidR="00FA4C41" w:rsidRPr="00930141">
        <w:rPr>
          <w:rFonts w:cs="Times New Roman"/>
          <w:szCs w:val="24"/>
        </w:rPr>
        <w:t>its</w:t>
      </w:r>
      <w:r w:rsidR="009C2445" w:rsidRPr="00930141">
        <w:rPr>
          <w:rFonts w:cs="Times New Roman"/>
          <w:szCs w:val="24"/>
        </w:rPr>
        <w:t xml:space="preserve"> oxidation properties considerably </w:t>
      </w:r>
      <w:r w:rsidR="00FA4C41" w:rsidRPr="00930141">
        <w:rPr>
          <w:rFonts w:cs="Times New Roman"/>
          <w:szCs w:val="24"/>
        </w:rPr>
        <w:t>stronger</w:t>
      </w:r>
      <w:r w:rsidR="009C2445" w:rsidRPr="00930141">
        <w:rPr>
          <w:rFonts w:cs="Times New Roman"/>
          <w:szCs w:val="24"/>
        </w:rPr>
        <w:t xml:space="preserve"> in the presence of high temperature steam.</w:t>
      </w:r>
    </w:p>
    <w:p w14:paraId="75B14DE9" w14:textId="25F09849" w:rsidR="00092C92" w:rsidRDefault="00294F4F" w:rsidP="0091793B">
      <w:pPr>
        <w:spacing w:line="360" w:lineRule="auto"/>
        <w:jc w:val="both"/>
        <w:rPr>
          <w:rFonts w:cs="Times New Roman"/>
          <w:szCs w:val="24"/>
        </w:rPr>
      </w:pPr>
      <w:r>
        <w:rPr>
          <w:rFonts w:cs="Times New Roman"/>
          <w:szCs w:val="24"/>
        </w:rPr>
        <w:t>Figure 7</w:t>
      </w:r>
      <w:r w:rsidR="009D20A4" w:rsidRPr="00930141">
        <w:rPr>
          <w:rFonts w:cs="Times New Roman"/>
          <w:szCs w:val="24"/>
        </w:rPr>
        <w:t xml:space="preserve"> </w:t>
      </w:r>
      <w:r w:rsidR="00DD6A3C" w:rsidRPr="00930141">
        <w:rPr>
          <w:rFonts w:cs="Times New Roman"/>
          <w:szCs w:val="24"/>
        </w:rPr>
        <w:t>plots the parabolic rate constant</w:t>
      </w:r>
      <w:r w:rsidR="001874D0" w:rsidRPr="00930141">
        <w:rPr>
          <w:rFonts w:cs="Times New Roman"/>
          <w:szCs w:val="24"/>
        </w:rPr>
        <w:t xml:space="preserve"> as a function </w:t>
      </w:r>
      <w:r>
        <w:rPr>
          <w:rFonts w:cs="Times New Roman"/>
          <w:szCs w:val="24"/>
        </w:rPr>
        <w:t>of temperature</w:t>
      </w:r>
      <w:r w:rsidR="00DD6A3C" w:rsidRPr="00930141">
        <w:rPr>
          <w:rFonts w:cs="Times New Roman"/>
          <w:szCs w:val="24"/>
        </w:rPr>
        <w:t xml:space="preserve"> for multiple zirconium alloys, 310SS, 304SS and APMT</w:t>
      </w:r>
      <w:r w:rsidR="00DD6A3C" w:rsidRPr="00930141">
        <w:rPr>
          <w:rFonts w:cs="Times New Roman"/>
          <w:szCs w:val="24"/>
          <w:vertAlign w:val="superscript"/>
        </w:rPr>
        <w:t>TM</w:t>
      </w:r>
      <w:r>
        <w:rPr>
          <w:rFonts w:cs="Times New Roman"/>
          <w:szCs w:val="24"/>
        </w:rPr>
        <w:t xml:space="preserve">. This </w:t>
      </w:r>
      <w:r w:rsidR="00CC6EDA">
        <w:rPr>
          <w:rFonts w:cs="Times New Roman"/>
          <w:szCs w:val="24"/>
        </w:rPr>
        <w:t>oxidation</w:t>
      </w:r>
      <w:r>
        <w:rPr>
          <w:rFonts w:cs="Times New Roman"/>
          <w:szCs w:val="24"/>
        </w:rPr>
        <w:t xml:space="preserve"> constant</w:t>
      </w:r>
      <w:r w:rsidR="00DD6A3C" w:rsidRPr="00930141">
        <w:rPr>
          <w:rFonts w:cs="Times New Roman"/>
          <w:szCs w:val="24"/>
          <w:vertAlign w:val="subscript"/>
        </w:rPr>
        <w:softHyphen/>
      </w:r>
      <w:r w:rsidR="00C37225" w:rsidRPr="00930141">
        <w:rPr>
          <w:rFonts w:cs="Times New Roman"/>
          <w:szCs w:val="24"/>
        </w:rPr>
        <w:t xml:space="preserve">, represents the </w:t>
      </w:r>
      <w:r w:rsidR="00CC6EDA">
        <w:rPr>
          <w:rFonts w:cs="Times New Roman"/>
          <w:szCs w:val="24"/>
        </w:rPr>
        <w:t>rate</w:t>
      </w:r>
      <w:r>
        <w:rPr>
          <w:rFonts w:cs="Times New Roman"/>
          <w:szCs w:val="24"/>
        </w:rPr>
        <w:t xml:space="preserve"> at which the oxide grows, becoming</w:t>
      </w:r>
      <w:r w:rsidR="00C37225" w:rsidRPr="00930141">
        <w:rPr>
          <w:rFonts w:cs="Times New Roman"/>
          <w:szCs w:val="24"/>
        </w:rPr>
        <w:t xml:space="preserve"> parabolic the thicker the oxide layer becomes </w:t>
      </w:r>
      <w:r w:rsidR="00E54D37">
        <w:rPr>
          <w:rFonts w:cs="Times New Roman"/>
          <w:szCs w:val="24"/>
        </w:rPr>
        <w:fldChar w:fldCharType="begin"/>
      </w:r>
      <w:r w:rsidR="00046F32">
        <w:rPr>
          <w:rFonts w:cs="Times New Roman"/>
          <w:szCs w:val="24"/>
        </w:rPr>
        <w:instrText xml:space="preserve"> ADDIN EN.CITE &lt;EndNote&gt;&lt;Cite&gt;&lt;Author&gt;Terrani&lt;/Author&gt;&lt;Year&gt;2014&lt;/Year&gt;&lt;RecNum&gt;15&lt;/RecNum&gt;&lt;DisplayText&gt;[20]&lt;/DisplayText&gt;&lt;record&gt;&lt;rec-number&gt;15&lt;/rec-number&gt;&lt;foreign-keys&gt;&lt;key app="EN" db-id="trfxzx057wwv0qe0vz1vttttwf0522tvtwpt" timestamp="1422124768"&gt;15&lt;/key&gt;&lt;/foreign-keys&gt;&lt;ref-type name="Journal Article"&gt;17&lt;/ref-type&gt;&lt;contributors&gt;&lt;authors&gt;&lt;author&gt;Terrani, KA&lt;/author&gt;&lt;author&gt;Zinkle, SJ&lt;/author&gt;&lt;author&gt;Snead, LL&lt;/author&gt;&lt;/authors&gt;&lt;/contributors&gt;&lt;titles&gt;&lt;title&gt;Advanced oxidation-resistant iron-based alloys for LWR fuel cladding&lt;/title&gt;&lt;secondary-title&gt;Journal of Nuclear Materials&lt;/secondary-title&gt;&lt;/titles&gt;&lt;periodical&gt;&lt;full-title&gt;Journal of Nuclear Materials&lt;/full-title&gt;&lt;/periodical&gt;&lt;pages&gt;420-435&lt;/pages&gt;&lt;volume&gt;448&lt;/volume&gt;&lt;number&gt;1&lt;/number&gt;&lt;dates&gt;&lt;year&gt;2014&lt;/year&gt;&lt;/dates&gt;&lt;isbn&gt;0022-3115&lt;/isbn&gt;&lt;urls&gt;&lt;/urls&gt;&lt;/record&gt;&lt;/Cite&gt;&lt;/EndNote&gt;</w:instrText>
      </w:r>
      <w:r w:rsidR="00E54D37">
        <w:rPr>
          <w:rFonts w:cs="Times New Roman"/>
          <w:szCs w:val="24"/>
        </w:rPr>
        <w:fldChar w:fldCharType="separate"/>
      </w:r>
      <w:r w:rsidR="00046F32">
        <w:rPr>
          <w:rFonts w:cs="Times New Roman"/>
          <w:noProof/>
          <w:szCs w:val="24"/>
        </w:rPr>
        <w:t>[</w:t>
      </w:r>
      <w:hyperlink w:anchor="_ENREF_20" w:tooltip="Terrani, 2014 #15" w:history="1">
        <w:r w:rsidR="00DF20CB">
          <w:rPr>
            <w:rFonts w:cs="Times New Roman"/>
            <w:noProof/>
            <w:szCs w:val="24"/>
          </w:rPr>
          <w:t>20</w:t>
        </w:r>
      </w:hyperlink>
      <w:r w:rsidR="00046F32">
        <w:rPr>
          <w:rFonts w:cs="Times New Roman"/>
          <w:noProof/>
          <w:szCs w:val="24"/>
        </w:rPr>
        <w:t>]</w:t>
      </w:r>
      <w:r w:rsidR="00E54D37">
        <w:rPr>
          <w:rFonts w:cs="Times New Roman"/>
          <w:szCs w:val="24"/>
        </w:rPr>
        <w:fldChar w:fldCharType="end"/>
      </w:r>
      <w:r w:rsidR="007F1288">
        <w:rPr>
          <w:rFonts w:cs="Times New Roman"/>
          <w:szCs w:val="24"/>
        </w:rPr>
        <w:t>.</w:t>
      </w:r>
    </w:p>
    <w:p w14:paraId="4028C0DE" w14:textId="5A3CDA26" w:rsidR="00E4261C" w:rsidRPr="00211958" w:rsidRDefault="00E4261C" w:rsidP="00E4261C">
      <w:pPr>
        <w:spacing w:line="360" w:lineRule="auto"/>
        <w:jc w:val="both"/>
        <w:rPr>
          <w:rFonts w:eastAsiaTheme="minorEastAsia"/>
          <w:szCs w:val="24"/>
        </w:rPr>
      </w:pPr>
      <w:r w:rsidRPr="00930141">
        <w:rPr>
          <w:rFonts w:cs="Times New Roman"/>
          <w:szCs w:val="24"/>
        </w:rPr>
        <w:t xml:space="preserve">As shown </w:t>
      </w:r>
      <w:r w:rsidR="00AA38FB">
        <w:rPr>
          <w:rFonts w:cs="Times New Roman"/>
          <w:szCs w:val="24"/>
        </w:rPr>
        <w:t>in Figure 7</w:t>
      </w:r>
      <w:r w:rsidRPr="00930141">
        <w:rPr>
          <w:rFonts w:cs="Times New Roman"/>
          <w:szCs w:val="24"/>
        </w:rPr>
        <w:t xml:space="preserve">, 310SS </w:t>
      </w:r>
      <w:r>
        <w:rPr>
          <w:rFonts w:cs="Times New Roman"/>
          <w:szCs w:val="24"/>
        </w:rPr>
        <w:t>and APMT</w:t>
      </w:r>
      <w:r w:rsidRPr="00CD6077">
        <w:rPr>
          <w:rFonts w:cs="Times New Roman"/>
          <w:szCs w:val="24"/>
          <w:vertAlign w:val="superscript"/>
        </w:rPr>
        <w:t>TM</w:t>
      </w:r>
      <w:r>
        <w:rPr>
          <w:rFonts w:cs="Times New Roman"/>
          <w:szCs w:val="24"/>
        </w:rPr>
        <w:t xml:space="preserve"> </w:t>
      </w:r>
      <w:r w:rsidRPr="00930141">
        <w:rPr>
          <w:rFonts w:cs="Times New Roman"/>
          <w:szCs w:val="24"/>
        </w:rPr>
        <w:t>(which reacts similarly to</w:t>
      </w:r>
      <w:r>
        <w:rPr>
          <w:rFonts w:cs="Times New Roman"/>
          <w:szCs w:val="24"/>
        </w:rPr>
        <w:t xml:space="preserve"> </w:t>
      </w:r>
      <w:r w:rsidRPr="00930141">
        <w:rPr>
          <w:rFonts w:cs="Times New Roman"/>
          <w:szCs w:val="24"/>
        </w:rPr>
        <w:t>FeCrAl) have a much lower parabolic rate constant than tha</w:t>
      </w:r>
      <w:r>
        <w:rPr>
          <w:rFonts w:cs="Times New Roman"/>
          <w:szCs w:val="24"/>
        </w:rPr>
        <w:t xml:space="preserve">t of zirconium </w:t>
      </w:r>
      <w:r w:rsidRPr="00D51F92">
        <w:rPr>
          <w:rFonts w:cs="Times New Roman"/>
          <w:szCs w:val="24"/>
        </w:rPr>
        <w:t xml:space="preserve">alloys and 304SS.  Zircaloy and historic 304SS cladding are thus more likely to spall and corrode in a reactor environment due to the excessive oxygen diffusion through the material </w:t>
      </w:r>
      <w:r>
        <w:rPr>
          <w:rFonts w:cs="Times New Roman"/>
          <w:szCs w:val="24"/>
        </w:rPr>
        <w:fldChar w:fldCharType="begin"/>
      </w:r>
      <w:r>
        <w:rPr>
          <w:rFonts w:cs="Times New Roman"/>
          <w:szCs w:val="24"/>
        </w:rPr>
        <w:instrText xml:space="preserve"> ADDIN EN.CITE &lt;EndNote&gt;&lt;Cite&gt;&lt;Author&gt;Terrani&lt;/Author&gt;&lt;Year&gt;2014&lt;/Year&gt;&lt;RecNum&gt;15&lt;/RecNum&gt;&lt;DisplayText&gt;[20]&lt;/DisplayText&gt;&lt;record&gt;&lt;rec-number&gt;15&lt;/rec-number&gt;&lt;foreign-keys&gt;&lt;key app="EN" db-id="trfxzx057wwv0qe0vz1vttttwf0522tvtwpt" timestamp="1422124768"&gt;15&lt;/key&gt;&lt;/foreign-keys&gt;&lt;ref-type name="Journal Article"&gt;17&lt;/ref-type&gt;&lt;contributors&gt;&lt;authors&gt;&lt;author&gt;Terrani, KA&lt;/author&gt;&lt;author&gt;Zinkle, SJ&lt;/author&gt;&lt;author&gt;Snead, LL&lt;/author&gt;&lt;/authors&gt;&lt;/contributors&gt;&lt;titles&gt;&lt;title&gt;Advanced oxidation-resistant iron-based alloys for LWR fuel cladding&lt;/title&gt;&lt;secondary-title&gt;Journal of Nuclear Materials&lt;/secondary-title&gt;&lt;/titles&gt;&lt;periodical&gt;&lt;full-title&gt;Journal of Nuclear Materials&lt;/full-title&gt;&lt;/periodical&gt;&lt;pages&gt;420-435&lt;/pages&gt;&lt;volume&gt;448&lt;/volume&gt;&lt;number&gt;1&lt;/number&gt;&lt;dates&gt;&lt;year&gt;2014&lt;/year&gt;&lt;/dates&gt;&lt;isbn&gt;0022-3115&lt;/isbn&gt;&lt;urls&gt;&lt;/urls&gt;&lt;/record&gt;&lt;/Cite&gt;&lt;/EndNote&gt;</w:instrText>
      </w:r>
      <w:r>
        <w:rPr>
          <w:rFonts w:cs="Times New Roman"/>
          <w:szCs w:val="24"/>
        </w:rPr>
        <w:fldChar w:fldCharType="separate"/>
      </w:r>
      <w:r>
        <w:rPr>
          <w:rFonts w:cs="Times New Roman"/>
          <w:noProof/>
          <w:szCs w:val="24"/>
        </w:rPr>
        <w:t>[</w:t>
      </w:r>
      <w:hyperlink w:anchor="_ENREF_20" w:tooltip="Terrani, 2014 #15" w:history="1">
        <w:r w:rsidR="00DF20CB">
          <w:rPr>
            <w:rFonts w:cs="Times New Roman"/>
            <w:noProof/>
            <w:szCs w:val="24"/>
          </w:rPr>
          <w:t>20</w:t>
        </w:r>
      </w:hyperlink>
      <w:r>
        <w:rPr>
          <w:rFonts w:cs="Times New Roman"/>
          <w:noProof/>
          <w:szCs w:val="24"/>
        </w:rPr>
        <w:t>]</w:t>
      </w:r>
      <w:r>
        <w:rPr>
          <w:rFonts w:cs="Times New Roman"/>
          <w:szCs w:val="24"/>
        </w:rPr>
        <w:fldChar w:fldCharType="end"/>
      </w:r>
      <w:r w:rsidR="007F1288">
        <w:rPr>
          <w:rFonts w:cs="Times New Roman"/>
          <w:szCs w:val="24"/>
        </w:rPr>
        <w:t>.</w:t>
      </w:r>
      <w:r w:rsidRPr="00D51F92">
        <w:rPr>
          <w:rFonts w:cs="Times New Roman"/>
          <w:szCs w:val="24"/>
        </w:rPr>
        <w:t xml:space="preserve"> This is due in part by 310SS and FeCrAl containing more chromium and aluminum, respectively, than</w:t>
      </w:r>
      <w:r>
        <w:rPr>
          <w:rFonts w:cs="Times New Roman"/>
          <w:szCs w:val="24"/>
        </w:rPr>
        <w:t xml:space="preserve"> 310SS.</w:t>
      </w:r>
    </w:p>
    <w:p w14:paraId="5F594A97" w14:textId="77777777" w:rsidR="00176A5F" w:rsidRDefault="00176A5F" w:rsidP="00176A5F">
      <w:pPr>
        <w:spacing w:line="360" w:lineRule="auto"/>
        <w:jc w:val="both"/>
        <w:rPr>
          <w:rFonts w:cs="Times New Roman"/>
          <w:szCs w:val="24"/>
        </w:rPr>
      </w:pPr>
      <w:r>
        <w:rPr>
          <w:rFonts w:cs="Times New Roman"/>
          <w:szCs w:val="24"/>
        </w:rPr>
        <w:t>The high material strength of i</w:t>
      </w:r>
      <w:r w:rsidRPr="00930141">
        <w:rPr>
          <w:rFonts w:cs="Times New Roman"/>
          <w:szCs w:val="24"/>
        </w:rPr>
        <w:t xml:space="preserve">ron-based alloys </w:t>
      </w:r>
      <w:r>
        <w:rPr>
          <w:rFonts w:cs="Times New Roman"/>
          <w:szCs w:val="24"/>
        </w:rPr>
        <w:t>compared to that of</w:t>
      </w:r>
      <w:r w:rsidRPr="00930141">
        <w:rPr>
          <w:rFonts w:cs="Times New Roman"/>
          <w:szCs w:val="24"/>
        </w:rPr>
        <w:t xml:space="preserve"> zirconium alloys allow for manipulation of the cladding geometry. If additional fuel material is needed, ferritic and austenitic cladding materials can be partially thinned without losing </w:t>
      </w:r>
      <w:r>
        <w:rPr>
          <w:rFonts w:cs="Times New Roman"/>
          <w:szCs w:val="24"/>
        </w:rPr>
        <w:t xml:space="preserve">their mechanical integrity. </w:t>
      </w:r>
      <w:r>
        <w:rPr>
          <w:rFonts w:cs="Times New Roman"/>
          <w:szCs w:val="24"/>
        </w:rPr>
        <w:lastRenderedPageBreak/>
        <w:t>Figure 8</w:t>
      </w:r>
      <w:r w:rsidRPr="00930141">
        <w:rPr>
          <w:rFonts w:cs="Times New Roman"/>
          <w:szCs w:val="24"/>
        </w:rPr>
        <w:t xml:space="preserve"> plots the creep rupture stress of cladding material</w:t>
      </w:r>
      <w:r>
        <w:rPr>
          <w:rFonts w:cs="Times New Roman"/>
          <w:szCs w:val="24"/>
        </w:rPr>
        <w:t xml:space="preserve">s as a function of temperature </w:t>
      </w:r>
      <w:r>
        <w:rPr>
          <w:rFonts w:cs="Times New Roman"/>
          <w:szCs w:val="24"/>
        </w:rPr>
        <w:fldChar w:fldCharType="begin"/>
      </w:r>
      <w:r>
        <w:rPr>
          <w:rFonts w:cs="Times New Roman"/>
          <w:szCs w:val="24"/>
        </w:rPr>
        <w:instrText xml:space="preserve"> ADDIN EN.CITE &lt;EndNote&gt;&lt;Cite&gt;&lt;Author&gt;Terrani&lt;/Author&gt;&lt;Year&gt;2014&lt;/Year&gt;&lt;RecNum&gt;15&lt;/RecNum&gt;&lt;DisplayText&gt;[20]&lt;/DisplayText&gt;&lt;record&gt;&lt;rec-number&gt;15&lt;/rec-number&gt;&lt;foreign-keys&gt;&lt;key app="EN" db-id="trfxzx057wwv0qe0vz1vttttwf0522tvtwpt" timestamp="1422124768"&gt;15&lt;/key&gt;&lt;/foreign-keys&gt;&lt;ref-type name="Journal Article"&gt;17&lt;/ref-type&gt;&lt;contributors&gt;&lt;authors&gt;&lt;author&gt;Terrani, KA&lt;/author&gt;&lt;author&gt;Zinkle, SJ&lt;/author&gt;&lt;author&gt;Snead, LL&lt;/author&gt;&lt;/authors&gt;&lt;/contributors&gt;&lt;titles&gt;&lt;title&gt;Advanced oxidation-resistant iron-based alloys for LWR fuel cladding&lt;/title&gt;&lt;secondary-title&gt;Journal of Nuclear Materials&lt;/secondary-title&gt;&lt;/titles&gt;&lt;periodical&gt;&lt;full-title&gt;Journal of Nuclear Materials&lt;/full-title&gt;&lt;/periodical&gt;&lt;pages&gt;420-435&lt;/pages&gt;&lt;volume&gt;448&lt;/volume&gt;&lt;number&gt;1&lt;/number&gt;&lt;dates&gt;&lt;year&gt;2014&lt;/year&gt;&lt;/dates&gt;&lt;isbn&gt;0022-3115&lt;/isbn&gt;&lt;urls&gt;&lt;/urls&gt;&lt;/record&gt;&lt;/Cite&gt;&lt;/EndNote&gt;</w:instrText>
      </w:r>
      <w:r>
        <w:rPr>
          <w:rFonts w:cs="Times New Roman"/>
          <w:szCs w:val="24"/>
        </w:rPr>
        <w:fldChar w:fldCharType="separate"/>
      </w:r>
      <w:r>
        <w:rPr>
          <w:rFonts w:cs="Times New Roman"/>
          <w:noProof/>
          <w:szCs w:val="24"/>
        </w:rPr>
        <w:t>[</w:t>
      </w:r>
      <w:hyperlink w:anchor="_ENREF_20" w:tooltip="Terrani, 2014 #15" w:history="1">
        <w:r>
          <w:rPr>
            <w:rFonts w:cs="Times New Roman"/>
            <w:noProof/>
            <w:szCs w:val="24"/>
          </w:rPr>
          <w:t>20</w:t>
        </w:r>
      </w:hyperlink>
      <w:r>
        <w:rPr>
          <w:rFonts w:cs="Times New Roman"/>
          <w:noProof/>
          <w:szCs w:val="24"/>
        </w:rPr>
        <w:t>]</w:t>
      </w:r>
      <w:r>
        <w:rPr>
          <w:rFonts w:cs="Times New Roman"/>
          <w:szCs w:val="24"/>
        </w:rPr>
        <w:fldChar w:fldCharType="end"/>
      </w:r>
      <w:r w:rsidRPr="00930141">
        <w:rPr>
          <w:rFonts w:cs="Times New Roman"/>
          <w:szCs w:val="24"/>
        </w:rPr>
        <w:t xml:space="preserve">. Despite zirconium having a higher melting point, its rupture stress limit at higher temperatures is less than that of the alternate cladding </w:t>
      </w:r>
      <w:r>
        <w:rPr>
          <w:rFonts w:cs="Times New Roman"/>
          <w:szCs w:val="24"/>
        </w:rPr>
        <w:t>candidates</w:t>
      </w:r>
      <w:r w:rsidRPr="00930141">
        <w:rPr>
          <w:rFonts w:cs="Times New Roman"/>
          <w:szCs w:val="24"/>
        </w:rPr>
        <w:t xml:space="preserve"> </w:t>
      </w:r>
      <w:r>
        <w:rPr>
          <w:rFonts w:cs="Times New Roman"/>
          <w:szCs w:val="24"/>
        </w:rPr>
        <w:t>APMT</w:t>
      </w:r>
      <w:r w:rsidRPr="00CD6077">
        <w:rPr>
          <w:rFonts w:cs="Times New Roman"/>
          <w:szCs w:val="24"/>
          <w:vertAlign w:val="superscript"/>
        </w:rPr>
        <w:t>TM</w:t>
      </w:r>
      <w:r>
        <w:rPr>
          <w:rFonts w:cs="Times New Roman"/>
          <w:szCs w:val="24"/>
        </w:rPr>
        <w:t xml:space="preserve"> </w:t>
      </w:r>
      <w:r w:rsidRPr="00930141">
        <w:rPr>
          <w:rFonts w:cs="Times New Roman"/>
          <w:szCs w:val="24"/>
        </w:rPr>
        <w:t xml:space="preserve">and 310SS. </w:t>
      </w:r>
    </w:p>
    <w:p w14:paraId="2E06D0F7" w14:textId="77777777" w:rsidR="0091793B" w:rsidRDefault="0091793B" w:rsidP="0091793B">
      <w:pPr>
        <w:spacing w:line="360" w:lineRule="auto"/>
        <w:jc w:val="both"/>
        <w:rPr>
          <w:rFonts w:cs="Times New Roman"/>
          <w:szCs w:val="24"/>
        </w:rPr>
      </w:pPr>
    </w:p>
    <w:p w14:paraId="568B6E2B" w14:textId="77777777" w:rsidR="00DC51A0" w:rsidRDefault="00DC51A0" w:rsidP="0091793B">
      <w:pPr>
        <w:spacing w:line="360" w:lineRule="auto"/>
        <w:rPr>
          <w:rFonts w:cs="Times New Roman"/>
          <w:szCs w:val="24"/>
        </w:rPr>
      </w:pPr>
      <w:r w:rsidRPr="00DC51A0">
        <w:rPr>
          <w:rFonts w:cs="Times New Roman"/>
          <w:noProof/>
          <w:szCs w:val="24"/>
        </w:rPr>
        <w:drawing>
          <wp:inline distT="0" distB="0" distL="0" distR="0" wp14:anchorId="2F13A246" wp14:editId="1F4517B8">
            <wp:extent cx="3476625" cy="3266159"/>
            <wp:effectExtent l="0" t="0" r="0" b="0"/>
            <wp:docPr id="7187" name="Picture 71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476625" cy="3266159"/>
                    </a:xfrm>
                    <a:prstGeom prst="rect">
                      <a:avLst/>
                    </a:prstGeom>
                    <a:noFill/>
                    <a:ln>
                      <a:noFill/>
                    </a:ln>
                    <a:extLst/>
                  </pic:spPr>
                </pic:pic>
              </a:graphicData>
            </a:graphic>
          </wp:inline>
        </w:drawing>
      </w:r>
    </w:p>
    <w:p w14:paraId="3E0E4AAD" w14:textId="2CB478B4" w:rsidR="0039764A" w:rsidRDefault="0039764A" w:rsidP="0091793B">
      <w:pPr>
        <w:spacing w:line="360" w:lineRule="auto"/>
      </w:pPr>
      <w:bookmarkStart w:id="9" w:name="_Toc416993446"/>
      <w:r>
        <w:t xml:space="preserve">Figure </w:t>
      </w:r>
      <w:fldSimple w:instr=" SEQ Figure \* ARABIC ">
        <w:r w:rsidR="00F3244B">
          <w:rPr>
            <w:noProof/>
          </w:rPr>
          <w:t>7</w:t>
        </w:r>
      </w:fldSimple>
      <w:r>
        <w:t xml:space="preserve">: </w:t>
      </w:r>
      <w:r w:rsidRPr="00CA2C15">
        <w:t>Arrhenius plot of the parabolic rate constants</w:t>
      </w:r>
      <w:r w:rsidR="007F1288" w:rsidRPr="007F1288">
        <w:rPr>
          <w:rFonts w:cs="Times New Roman"/>
          <w:szCs w:val="24"/>
        </w:rPr>
        <w:t xml:space="preserve"> </w:t>
      </w:r>
      <w:r w:rsidR="007F1288">
        <w:rPr>
          <w:rFonts w:cs="Times New Roman"/>
          <w:szCs w:val="24"/>
        </w:rPr>
        <w:fldChar w:fldCharType="begin"/>
      </w:r>
      <w:r w:rsidR="007F1288">
        <w:rPr>
          <w:rFonts w:cs="Times New Roman"/>
          <w:szCs w:val="24"/>
        </w:rPr>
        <w:instrText xml:space="preserve"> ADDIN EN.CITE &lt;EndNote&gt;&lt;Cite&gt;&lt;Author&gt;Terrani&lt;/Author&gt;&lt;Year&gt;2014&lt;/Year&gt;&lt;RecNum&gt;15&lt;/RecNum&gt;&lt;DisplayText&gt;[20]&lt;/DisplayText&gt;&lt;record&gt;&lt;rec-number&gt;15&lt;/rec-number&gt;&lt;foreign-keys&gt;&lt;key app="EN" db-id="trfxzx057wwv0qe0vz1vttttwf0522tvtwpt" timestamp="1422124768"&gt;15&lt;/key&gt;&lt;/foreign-keys&gt;&lt;ref-type name="Journal Article"&gt;17&lt;/ref-type&gt;&lt;contributors&gt;&lt;authors&gt;&lt;author&gt;Terrani, KA&lt;/author&gt;&lt;author&gt;Zinkle, SJ&lt;/author&gt;&lt;author&gt;Snead, LL&lt;/author&gt;&lt;/authors&gt;&lt;/contributors&gt;&lt;titles&gt;&lt;title&gt;Advanced oxidation-resistant iron-based alloys for LWR fuel cladding&lt;/title&gt;&lt;secondary-title&gt;Journal of Nuclear Materials&lt;/secondary-title&gt;&lt;/titles&gt;&lt;periodical&gt;&lt;full-title&gt;Journal of Nuclear Materials&lt;/full-title&gt;&lt;/periodical&gt;&lt;pages&gt;420-435&lt;/pages&gt;&lt;volume&gt;448&lt;/volume&gt;&lt;number&gt;1&lt;/number&gt;&lt;dates&gt;&lt;year&gt;2014&lt;/year&gt;&lt;/dates&gt;&lt;isbn&gt;0022-3115&lt;/isbn&gt;&lt;urls&gt;&lt;/urls&gt;&lt;/record&gt;&lt;/Cite&gt;&lt;/EndNote&gt;</w:instrText>
      </w:r>
      <w:r w:rsidR="007F1288">
        <w:rPr>
          <w:rFonts w:cs="Times New Roman"/>
          <w:szCs w:val="24"/>
        </w:rPr>
        <w:fldChar w:fldCharType="separate"/>
      </w:r>
      <w:r w:rsidR="007F1288">
        <w:rPr>
          <w:rFonts w:cs="Times New Roman"/>
          <w:noProof/>
          <w:szCs w:val="24"/>
        </w:rPr>
        <w:t>[</w:t>
      </w:r>
      <w:hyperlink w:anchor="_ENREF_20" w:tooltip="Terrani, 2014 #15" w:history="1">
        <w:r w:rsidR="00DF20CB">
          <w:rPr>
            <w:rFonts w:cs="Times New Roman"/>
            <w:noProof/>
            <w:szCs w:val="24"/>
          </w:rPr>
          <w:t>20</w:t>
        </w:r>
      </w:hyperlink>
      <w:r w:rsidR="007F1288">
        <w:rPr>
          <w:rFonts w:cs="Times New Roman"/>
          <w:noProof/>
          <w:szCs w:val="24"/>
        </w:rPr>
        <w:t>]</w:t>
      </w:r>
      <w:bookmarkEnd w:id="9"/>
      <w:r w:rsidR="007F1288">
        <w:rPr>
          <w:rFonts w:cs="Times New Roman"/>
          <w:szCs w:val="24"/>
        </w:rPr>
        <w:fldChar w:fldCharType="end"/>
      </w:r>
    </w:p>
    <w:p w14:paraId="05F75CBE" w14:textId="77777777" w:rsidR="00564CB1" w:rsidRDefault="00564CB1" w:rsidP="0091793B">
      <w:pPr>
        <w:spacing w:line="360" w:lineRule="auto"/>
        <w:rPr>
          <w:rFonts w:cs="Times New Roman"/>
          <w:szCs w:val="24"/>
        </w:rPr>
      </w:pPr>
      <w:r w:rsidRPr="00930141">
        <w:rPr>
          <w:rFonts w:cs="Times New Roman"/>
          <w:noProof/>
          <w:szCs w:val="24"/>
        </w:rPr>
        <w:lastRenderedPageBreak/>
        <w:drawing>
          <wp:inline distT="0" distB="0" distL="0" distR="0" wp14:anchorId="38ABC1D7" wp14:editId="30382056">
            <wp:extent cx="3778955" cy="29432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3784146" cy="2947268"/>
                    </a:xfrm>
                    <a:prstGeom prst="rect">
                      <a:avLst/>
                    </a:prstGeom>
                    <a:noFill/>
                    <a:ln>
                      <a:noFill/>
                    </a:ln>
                  </pic:spPr>
                </pic:pic>
              </a:graphicData>
            </a:graphic>
          </wp:inline>
        </w:drawing>
      </w:r>
    </w:p>
    <w:p w14:paraId="7DAD9FC4" w14:textId="63411575" w:rsidR="000808D8" w:rsidRDefault="0039764A" w:rsidP="0091793B">
      <w:pPr>
        <w:spacing w:line="360" w:lineRule="auto"/>
      </w:pPr>
      <w:bookmarkStart w:id="10" w:name="_Toc416993447"/>
      <w:r>
        <w:t xml:space="preserve">Figure </w:t>
      </w:r>
      <w:fldSimple w:instr=" SEQ Figure \* ARABIC ">
        <w:r w:rsidR="00F3244B">
          <w:rPr>
            <w:noProof/>
          </w:rPr>
          <w:t>8</w:t>
        </w:r>
      </w:fldSimple>
      <w:r>
        <w:t xml:space="preserve">: </w:t>
      </w:r>
      <w:r w:rsidRPr="00A77632">
        <w:t>Comparison of creep rupture strengths of iron alloys</w:t>
      </w:r>
      <w:bookmarkEnd w:id="10"/>
    </w:p>
    <w:p w14:paraId="08D70BA2" w14:textId="77777777" w:rsidR="00D35009" w:rsidRPr="00930141" w:rsidRDefault="00D35009" w:rsidP="0091793B">
      <w:pPr>
        <w:spacing w:line="360" w:lineRule="auto"/>
        <w:rPr>
          <w:rFonts w:cs="Times New Roman"/>
          <w:szCs w:val="24"/>
        </w:rPr>
      </w:pPr>
    </w:p>
    <w:p w14:paraId="3CE5E8D8" w14:textId="77777777" w:rsidR="00C37225" w:rsidRPr="00930141" w:rsidRDefault="00317220" w:rsidP="0091793B">
      <w:pPr>
        <w:spacing w:line="360" w:lineRule="auto"/>
        <w:jc w:val="both"/>
        <w:rPr>
          <w:rFonts w:cs="Times New Roman"/>
          <w:b/>
          <w:szCs w:val="24"/>
        </w:rPr>
      </w:pPr>
      <w:r>
        <w:rPr>
          <w:rFonts w:cs="Times New Roman"/>
          <w:b/>
          <w:szCs w:val="24"/>
        </w:rPr>
        <w:t>II</w:t>
      </w:r>
      <w:r w:rsidR="00930141" w:rsidRPr="00930141">
        <w:rPr>
          <w:rFonts w:cs="Times New Roman"/>
          <w:b/>
          <w:szCs w:val="24"/>
        </w:rPr>
        <w:t>.</w:t>
      </w:r>
      <w:r>
        <w:rPr>
          <w:rFonts w:cs="Times New Roman"/>
          <w:b/>
          <w:szCs w:val="24"/>
        </w:rPr>
        <w:t>C</w:t>
      </w:r>
      <w:r w:rsidR="00930141" w:rsidRPr="00930141">
        <w:rPr>
          <w:rFonts w:cs="Times New Roman"/>
          <w:b/>
          <w:szCs w:val="24"/>
        </w:rPr>
        <w:t>.3</w:t>
      </w:r>
      <w:r w:rsidR="00930141" w:rsidRPr="00930141">
        <w:rPr>
          <w:rFonts w:cs="Times New Roman"/>
          <w:b/>
          <w:szCs w:val="24"/>
        </w:rPr>
        <w:tab/>
      </w:r>
      <w:r w:rsidR="00930141" w:rsidRPr="00930141">
        <w:rPr>
          <w:rFonts w:cs="Times New Roman"/>
          <w:b/>
          <w:szCs w:val="24"/>
        </w:rPr>
        <w:tab/>
      </w:r>
      <w:r w:rsidR="002D1559" w:rsidRPr="00930141">
        <w:rPr>
          <w:rFonts w:cs="Times New Roman"/>
          <w:b/>
          <w:szCs w:val="24"/>
        </w:rPr>
        <w:t>Silicon Carbide</w:t>
      </w:r>
    </w:p>
    <w:p w14:paraId="5B2279A3" w14:textId="29013B46" w:rsidR="00FF7FB1" w:rsidRPr="00930141" w:rsidRDefault="00ED4142" w:rsidP="0091793B">
      <w:pPr>
        <w:spacing w:line="360" w:lineRule="auto"/>
        <w:jc w:val="both"/>
        <w:rPr>
          <w:rFonts w:cs="Times New Roman"/>
          <w:szCs w:val="24"/>
        </w:rPr>
      </w:pPr>
      <w:r w:rsidRPr="00930141">
        <w:rPr>
          <w:rFonts w:cs="Times New Roman"/>
          <w:szCs w:val="24"/>
        </w:rPr>
        <w:t xml:space="preserve">Although silicon carbide (SiC) </w:t>
      </w:r>
      <w:r w:rsidR="00027757">
        <w:rPr>
          <w:rFonts w:cs="Times New Roman"/>
          <w:szCs w:val="24"/>
        </w:rPr>
        <w:t>has</w:t>
      </w:r>
      <w:r w:rsidRPr="00930141">
        <w:rPr>
          <w:rFonts w:cs="Times New Roman"/>
          <w:szCs w:val="24"/>
        </w:rPr>
        <w:t xml:space="preserve"> been used in high temperature gas reactors</w:t>
      </w:r>
      <w:r w:rsidR="003E246F">
        <w:rPr>
          <w:rFonts w:cs="Times New Roman"/>
          <w:szCs w:val="24"/>
        </w:rPr>
        <w:t>, the material has not yet been utilized as</w:t>
      </w:r>
      <w:r w:rsidR="003A01BC">
        <w:rPr>
          <w:rFonts w:cs="Times New Roman"/>
          <w:szCs w:val="24"/>
        </w:rPr>
        <w:t xml:space="preserve"> cladding for light water cooled n</w:t>
      </w:r>
      <w:r w:rsidRPr="00930141">
        <w:rPr>
          <w:rFonts w:cs="Times New Roman"/>
          <w:szCs w:val="24"/>
        </w:rPr>
        <w:t>uclear fuel.</w:t>
      </w:r>
      <w:r w:rsidR="003E246F">
        <w:rPr>
          <w:rFonts w:cs="Times New Roman"/>
          <w:szCs w:val="24"/>
        </w:rPr>
        <w:t xml:space="preserve"> Regardless,</w:t>
      </w:r>
      <w:r w:rsidRPr="00930141">
        <w:rPr>
          <w:rFonts w:cs="Times New Roman"/>
          <w:szCs w:val="24"/>
        </w:rPr>
        <w:t xml:space="preserve"> SiC/SiC composites (SiC fibers embedded in SiC matrix) have gained commercial interest in high-temperature</w:t>
      </w:r>
      <w:r w:rsidR="00D51F92">
        <w:rPr>
          <w:rFonts w:cs="Times New Roman"/>
          <w:szCs w:val="24"/>
        </w:rPr>
        <w:t>,</w:t>
      </w:r>
      <w:r w:rsidRPr="00930141">
        <w:rPr>
          <w:rFonts w:cs="Times New Roman"/>
          <w:szCs w:val="24"/>
        </w:rPr>
        <w:t xml:space="preserve"> hostile envi</w:t>
      </w:r>
      <w:r w:rsidR="008952C2">
        <w:rPr>
          <w:rFonts w:cs="Times New Roman"/>
          <w:szCs w:val="24"/>
        </w:rPr>
        <w:t xml:space="preserve">ronments </w:t>
      </w:r>
      <w:r w:rsidR="00D00A8B">
        <w:rPr>
          <w:rFonts w:cs="Times New Roman"/>
          <w:szCs w:val="24"/>
        </w:rPr>
        <w:fldChar w:fldCharType="begin"/>
      </w:r>
      <w:r w:rsidR="00046F32">
        <w:rPr>
          <w:rFonts w:cs="Times New Roman"/>
          <w:szCs w:val="24"/>
        </w:rPr>
        <w:instrText xml:space="preserve"> ADDIN EN.CITE &lt;EndNote&gt;&lt;Cite&gt;&lt;Author&gt;Ben-Belgacem&lt;/Author&gt;&lt;Year&gt;2014&lt;/Year&gt;&lt;RecNum&gt;3&lt;/RecNum&gt;&lt;DisplayText&gt;[23]&lt;/DisplayText&gt;&lt;record&gt;&lt;rec-number&gt;3&lt;/rec-number&gt;&lt;foreign-keys&gt;&lt;key app="EN" db-id="2xr5xwvelzde2mew29sv50pv0rfe95epfwxp" timestamp="1422335365"&gt;3&lt;/key&gt;&lt;/foreign-keys&gt;&lt;ref-type name="Journal Article"&gt;17&lt;/ref-type&gt;&lt;contributors&gt;&lt;authors&gt;&lt;author&gt;Ben-Belgacem, M.&lt;/author&gt;&lt;author&gt;Richet, V.&lt;/author&gt;&lt;author&gt;Terrani, K. A.&lt;/author&gt;&lt;author&gt;Katoh, Y.&lt;/author&gt;&lt;author&gt;Snead, L. L.&lt;/author&gt;&lt;/authors&gt;&lt;/contributors&gt;&lt;titles&gt;&lt;title&gt;Thermo-mechanical analysis of LWR SiC/SiC composite cladding&lt;/title&gt;&lt;secondary-title&gt;Journal of Nuclear Materials&lt;/secondary-title&gt;&lt;/titles&gt;&lt;pages&gt;125-142&lt;/pages&gt;&lt;volume&gt;447&lt;/volume&gt;&lt;number&gt;1-3&lt;/number&gt;&lt;dates&gt;&lt;year&gt;2014&lt;/year&gt;&lt;/dates&gt;&lt;isbn&gt;00223115&lt;/isbn&gt;&lt;urls&gt;&lt;/urls&gt;&lt;electronic-resource-num&gt;10.1016/j.jnucmat.2014.01.006&lt;/electronic-resource-num&gt;&lt;/record&gt;&lt;/Cite&gt;&lt;/EndNote&gt;</w:instrText>
      </w:r>
      <w:r w:rsidR="00D00A8B">
        <w:rPr>
          <w:rFonts w:cs="Times New Roman"/>
          <w:szCs w:val="24"/>
        </w:rPr>
        <w:fldChar w:fldCharType="separate"/>
      </w:r>
      <w:r w:rsidR="00046F32">
        <w:rPr>
          <w:rFonts w:cs="Times New Roman"/>
          <w:noProof/>
          <w:szCs w:val="24"/>
        </w:rPr>
        <w:t>[</w:t>
      </w:r>
      <w:hyperlink w:anchor="_ENREF_23" w:tooltip="Ben-Belgacem, 2014 #3" w:history="1">
        <w:r w:rsidR="00DF20CB">
          <w:rPr>
            <w:rFonts w:cs="Times New Roman"/>
            <w:noProof/>
            <w:szCs w:val="24"/>
          </w:rPr>
          <w:t>23</w:t>
        </w:r>
      </w:hyperlink>
      <w:r w:rsidR="00046F32">
        <w:rPr>
          <w:rFonts w:cs="Times New Roman"/>
          <w:noProof/>
          <w:szCs w:val="24"/>
        </w:rPr>
        <w:t>]</w:t>
      </w:r>
      <w:r w:rsidR="00D00A8B">
        <w:rPr>
          <w:rFonts w:cs="Times New Roman"/>
          <w:szCs w:val="24"/>
        </w:rPr>
        <w:fldChar w:fldCharType="end"/>
      </w:r>
      <w:r w:rsidR="008D0110">
        <w:rPr>
          <w:rFonts w:cs="Times New Roman"/>
          <w:szCs w:val="24"/>
        </w:rPr>
        <w:t>.</w:t>
      </w:r>
      <w:r w:rsidR="00012C35" w:rsidRPr="00930141">
        <w:rPr>
          <w:rFonts w:cs="Times New Roman"/>
          <w:szCs w:val="24"/>
        </w:rPr>
        <w:t xml:space="preserve"> </w:t>
      </w:r>
      <w:r w:rsidR="008F7223" w:rsidRPr="00930141">
        <w:rPr>
          <w:rFonts w:cs="Times New Roman"/>
          <w:szCs w:val="24"/>
        </w:rPr>
        <w:t xml:space="preserve">Material data </w:t>
      </w:r>
      <w:r w:rsidRPr="00930141">
        <w:rPr>
          <w:rFonts w:cs="Times New Roman"/>
          <w:szCs w:val="24"/>
        </w:rPr>
        <w:t>suggests</w:t>
      </w:r>
      <w:r w:rsidR="00012C35" w:rsidRPr="00930141">
        <w:rPr>
          <w:rFonts w:cs="Times New Roman"/>
          <w:szCs w:val="24"/>
        </w:rPr>
        <w:t xml:space="preserve"> that the </w:t>
      </w:r>
      <w:r w:rsidR="008F7223" w:rsidRPr="00930141">
        <w:rPr>
          <w:rFonts w:cs="Times New Roman"/>
          <w:szCs w:val="24"/>
        </w:rPr>
        <w:t>SiC displays</w:t>
      </w:r>
      <w:r w:rsidR="00012C35" w:rsidRPr="00930141">
        <w:rPr>
          <w:rFonts w:cs="Times New Roman"/>
          <w:szCs w:val="24"/>
        </w:rPr>
        <w:t xml:space="preserve"> excellent performance in a LWR environment and is known to be very stable in the presence of very high fast neutron fluences. </w:t>
      </w:r>
      <w:r w:rsidR="008F7223" w:rsidRPr="00930141">
        <w:rPr>
          <w:rFonts w:cs="Times New Roman"/>
          <w:szCs w:val="24"/>
        </w:rPr>
        <w:t>While zirconium based alloys produce hy</w:t>
      </w:r>
      <w:r w:rsidR="002E67EB" w:rsidRPr="00930141">
        <w:rPr>
          <w:rFonts w:cs="Times New Roman"/>
          <w:szCs w:val="24"/>
        </w:rPr>
        <w:t>drogen induced deg</w:t>
      </w:r>
      <w:r w:rsidR="008F7223" w:rsidRPr="00930141">
        <w:rPr>
          <w:rFonts w:cs="Times New Roman"/>
          <w:szCs w:val="24"/>
        </w:rPr>
        <w:t xml:space="preserve">radation mechanisms, the phenomenon is </w:t>
      </w:r>
      <w:r w:rsidR="006A7BC5" w:rsidRPr="00930141">
        <w:rPr>
          <w:rFonts w:cs="Times New Roman"/>
          <w:szCs w:val="24"/>
        </w:rPr>
        <w:t xml:space="preserve">virtually </w:t>
      </w:r>
      <w:r w:rsidR="008F7223" w:rsidRPr="00930141">
        <w:rPr>
          <w:rFonts w:cs="Times New Roman"/>
          <w:szCs w:val="24"/>
        </w:rPr>
        <w:t>non-existent in SiC/SiC composites</w:t>
      </w:r>
      <w:r w:rsidR="002E67EB" w:rsidRPr="00930141">
        <w:rPr>
          <w:rFonts w:cs="Times New Roman"/>
          <w:szCs w:val="24"/>
        </w:rPr>
        <w:t xml:space="preserve">  </w:t>
      </w:r>
      <w:r w:rsidR="00D00A8B">
        <w:rPr>
          <w:rFonts w:cs="Times New Roman"/>
          <w:szCs w:val="24"/>
        </w:rPr>
        <w:fldChar w:fldCharType="begin"/>
      </w:r>
      <w:r w:rsidR="00046F32">
        <w:rPr>
          <w:rFonts w:cs="Times New Roman"/>
          <w:szCs w:val="24"/>
        </w:rPr>
        <w:instrText xml:space="preserve"> ADDIN EN.CITE &lt;EndNote&gt;&lt;Cite&gt;&lt;Author&gt;Yueh&lt;/Author&gt;&lt;Year&gt;2014&lt;/Year&gt;&lt;RecNum&gt;18&lt;/RecNum&gt;&lt;DisplayText&gt;[24]&lt;/DisplayText&gt;&lt;record&gt;&lt;rec-number&gt;18&lt;/rec-number&gt;&lt;foreign-keys&gt;&lt;key app="EN" db-id="trfxzx057wwv0qe0vz1vttttwf0522tvtwpt" timestamp="1422125002"&gt;18&lt;/key&gt;&lt;/foreign-keys&gt;&lt;ref-type name="Journal Article"&gt;17&lt;/ref-type&gt;&lt;contributors&gt;&lt;authors&gt;&lt;author&gt;Yueh, Ken&lt;/author&gt;&lt;author&gt;Terrani, Kurt A&lt;/author&gt;&lt;/authors&gt;&lt;/contributors&gt;&lt;titles&gt;&lt;title&gt;Silicon carbide composite for light water reactor fuel assembly applications&lt;/title&gt;&lt;secondary-title&gt;Journal of Nuclear Materials&lt;/secondary-title&gt;&lt;/titles&gt;&lt;periodical&gt;&lt;full-title&gt;Journal of Nuclear Materials&lt;/full-title&gt;&lt;/periodical&gt;&lt;pages&gt;380-388&lt;/pages&gt;&lt;volume&gt;448&lt;/volume&gt;&lt;number&gt;1&lt;/number&gt;&lt;dates&gt;&lt;year&gt;2014&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24" w:tooltip="Yueh, 2014 #18" w:history="1">
        <w:r w:rsidR="00DF20CB">
          <w:rPr>
            <w:rFonts w:cs="Times New Roman"/>
            <w:noProof/>
            <w:szCs w:val="24"/>
          </w:rPr>
          <w:t>24</w:t>
        </w:r>
      </w:hyperlink>
      <w:r w:rsidR="00046F32">
        <w:rPr>
          <w:rFonts w:cs="Times New Roman"/>
          <w:noProof/>
          <w:szCs w:val="24"/>
        </w:rPr>
        <w:t>]</w:t>
      </w:r>
      <w:r w:rsidR="00D00A8B">
        <w:rPr>
          <w:rFonts w:cs="Times New Roman"/>
          <w:szCs w:val="24"/>
        </w:rPr>
        <w:fldChar w:fldCharType="end"/>
      </w:r>
      <w:r w:rsidR="008D0110">
        <w:rPr>
          <w:rFonts w:cs="Times New Roman"/>
          <w:szCs w:val="24"/>
        </w:rPr>
        <w:t>.</w:t>
      </w:r>
    </w:p>
    <w:p w14:paraId="54A153E1" w14:textId="6762D5A3" w:rsidR="00E972B1" w:rsidRDefault="00B06B8A" w:rsidP="0091793B">
      <w:pPr>
        <w:spacing w:line="360" w:lineRule="auto"/>
        <w:jc w:val="both"/>
        <w:rPr>
          <w:rFonts w:cs="Times New Roman"/>
          <w:szCs w:val="24"/>
        </w:rPr>
      </w:pPr>
      <w:r w:rsidRPr="00930141">
        <w:rPr>
          <w:rFonts w:cs="Times New Roman"/>
          <w:szCs w:val="24"/>
        </w:rPr>
        <w:t>In a UO</w:t>
      </w:r>
      <w:r w:rsidRPr="00930141">
        <w:rPr>
          <w:rFonts w:cs="Times New Roman"/>
          <w:szCs w:val="24"/>
          <w:vertAlign w:val="subscript"/>
        </w:rPr>
        <w:t>2</w:t>
      </w:r>
      <w:r w:rsidR="0013708F">
        <w:rPr>
          <w:rFonts w:cs="Times New Roman"/>
          <w:szCs w:val="24"/>
        </w:rPr>
        <w:t>/</w:t>
      </w:r>
      <w:r w:rsidRPr="00930141">
        <w:rPr>
          <w:rFonts w:cs="Times New Roman"/>
          <w:szCs w:val="24"/>
        </w:rPr>
        <w:t xml:space="preserve">zirconium alloy fuel </w:t>
      </w:r>
      <w:r w:rsidR="007B06F2" w:rsidRPr="00930141">
        <w:rPr>
          <w:rFonts w:cs="Times New Roman"/>
          <w:szCs w:val="24"/>
        </w:rPr>
        <w:t>environment</w:t>
      </w:r>
      <w:r w:rsidRPr="00930141">
        <w:rPr>
          <w:rFonts w:cs="Times New Roman"/>
          <w:szCs w:val="24"/>
        </w:rPr>
        <w:t>, the UO</w:t>
      </w:r>
      <w:r w:rsidRPr="00930141">
        <w:rPr>
          <w:rFonts w:cs="Times New Roman"/>
          <w:szCs w:val="24"/>
          <w:vertAlign w:val="subscript"/>
        </w:rPr>
        <w:t>2</w:t>
      </w:r>
      <w:r w:rsidRPr="00930141">
        <w:rPr>
          <w:rFonts w:cs="Times New Roman"/>
          <w:szCs w:val="24"/>
        </w:rPr>
        <w:t xml:space="preserve"> pellet swells upon thermal expansion and irradiation growth while the zirconium cladding undergoes</w:t>
      </w:r>
      <w:r w:rsidR="00027757">
        <w:rPr>
          <w:rFonts w:cs="Times New Roman"/>
          <w:szCs w:val="24"/>
        </w:rPr>
        <w:t xml:space="preserve"> creep, which in turn cl</w:t>
      </w:r>
      <w:r w:rsidRPr="00930141">
        <w:rPr>
          <w:rFonts w:cs="Times New Roman"/>
          <w:szCs w:val="24"/>
        </w:rPr>
        <w:t xml:space="preserve">oses the gap region </w:t>
      </w:r>
      <w:r w:rsidR="007B06F2" w:rsidRPr="00930141">
        <w:rPr>
          <w:rFonts w:cs="Times New Roman"/>
          <w:szCs w:val="24"/>
        </w:rPr>
        <w:t>and causes</w:t>
      </w:r>
      <w:r w:rsidRPr="00930141">
        <w:rPr>
          <w:rFonts w:cs="Times New Roman"/>
          <w:szCs w:val="24"/>
        </w:rPr>
        <w:t xml:space="preserve"> pellet </w:t>
      </w:r>
      <w:r w:rsidR="007B06F2" w:rsidRPr="00930141">
        <w:rPr>
          <w:rFonts w:cs="Times New Roman"/>
          <w:szCs w:val="24"/>
        </w:rPr>
        <w:t>cladding interaction</w:t>
      </w:r>
      <w:r w:rsidR="00506B4A">
        <w:rPr>
          <w:rFonts w:cs="Times New Roman"/>
          <w:szCs w:val="24"/>
        </w:rPr>
        <w:t xml:space="preserve"> (PCI)</w:t>
      </w:r>
      <w:r w:rsidR="007B06F2" w:rsidRPr="00930141">
        <w:rPr>
          <w:rFonts w:cs="Times New Roman"/>
          <w:szCs w:val="24"/>
        </w:rPr>
        <w:t>. In</w:t>
      </w:r>
      <w:r w:rsidRPr="00930141">
        <w:rPr>
          <w:rFonts w:cs="Times New Roman"/>
          <w:szCs w:val="24"/>
        </w:rPr>
        <w:t xml:space="preserve"> </w:t>
      </w:r>
      <w:r w:rsidR="008F7223" w:rsidRPr="00930141">
        <w:rPr>
          <w:rFonts w:cs="Times New Roman"/>
          <w:szCs w:val="24"/>
        </w:rPr>
        <w:t>UO</w:t>
      </w:r>
      <w:r w:rsidR="008F7223" w:rsidRPr="00930141">
        <w:rPr>
          <w:rFonts w:cs="Times New Roman"/>
          <w:szCs w:val="24"/>
          <w:vertAlign w:val="subscript"/>
        </w:rPr>
        <w:t>2</w:t>
      </w:r>
      <w:r w:rsidR="0013708F">
        <w:rPr>
          <w:rFonts w:cs="Times New Roman"/>
          <w:szCs w:val="24"/>
        </w:rPr>
        <w:t>/</w:t>
      </w:r>
      <w:r w:rsidRPr="00930141">
        <w:rPr>
          <w:rFonts w:cs="Times New Roman"/>
          <w:szCs w:val="24"/>
        </w:rPr>
        <w:t>SiC system</w:t>
      </w:r>
      <w:r w:rsidR="007B06F2" w:rsidRPr="00930141">
        <w:rPr>
          <w:rFonts w:cs="Times New Roman"/>
          <w:szCs w:val="24"/>
        </w:rPr>
        <w:t xml:space="preserve"> however</w:t>
      </w:r>
      <w:r w:rsidRPr="00930141">
        <w:rPr>
          <w:rFonts w:cs="Times New Roman"/>
          <w:szCs w:val="24"/>
        </w:rPr>
        <w:t xml:space="preserve">, the </w:t>
      </w:r>
      <w:r w:rsidR="008F7223" w:rsidRPr="00930141">
        <w:rPr>
          <w:rFonts w:cs="Times New Roman"/>
          <w:szCs w:val="24"/>
        </w:rPr>
        <w:t>cladding material</w:t>
      </w:r>
      <w:r w:rsidR="007B06F2" w:rsidRPr="00930141">
        <w:rPr>
          <w:rFonts w:cs="Times New Roman"/>
          <w:szCs w:val="24"/>
        </w:rPr>
        <w:t xml:space="preserve"> would</w:t>
      </w:r>
      <w:r w:rsidRPr="00930141">
        <w:rPr>
          <w:rFonts w:cs="Times New Roman"/>
          <w:szCs w:val="24"/>
        </w:rPr>
        <w:t xml:space="preserve"> not undergo a creep towards the pellet. Therefore </w:t>
      </w:r>
      <w:r w:rsidR="00506B4A">
        <w:rPr>
          <w:rFonts w:cs="Times New Roman"/>
          <w:szCs w:val="24"/>
        </w:rPr>
        <w:t>PCI</w:t>
      </w:r>
      <w:r w:rsidR="005271C6">
        <w:rPr>
          <w:rFonts w:cs="Times New Roman"/>
          <w:szCs w:val="24"/>
        </w:rPr>
        <w:t xml:space="preserve"> </w:t>
      </w:r>
      <w:r w:rsidRPr="00930141">
        <w:rPr>
          <w:rFonts w:cs="Times New Roman"/>
          <w:szCs w:val="24"/>
        </w:rPr>
        <w:t xml:space="preserve">is a function of the rate at which the pellet </w:t>
      </w:r>
      <w:r w:rsidR="00D51F92">
        <w:rPr>
          <w:rFonts w:cs="Times New Roman"/>
          <w:szCs w:val="24"/>
        </w:rPr>
        <w:t>swells in relation</w:t>
      </w:r>
      <w:r w:rsidR="007B06F2" w:rsidRPr="00930141">
        <w:rPr>
          <w:rFonts w:cs="Times New Roman"/>
          <w:szCs w:val="24"/>
        </w:rPr>
        <w:t xml:space="preserve"> to swelling of the SiC material. </w:t>
      </w:r>
      <w:r w:rsidR="000810FE" w:rsidRPr="00930141">
        <w:rPr>
          <w:rFonts w:cs="Times New Roman"/>
          <w:szCs w:val="24"/>
        </w:rPr>
        <w:t>Under a reac</w:t>
      </w:r>
      <w:r w:rsidR="00E97B42">
        <w:rPr>
          <w:rFonts w:cs="Times New Roman"/>
          <w:szCs w:val="24"/>
        </w:rPr>
        <w:t xml:space="preserve">tivity insertion accident </w:t>
      </w:r>
      <w:r w:rsidR="000810FE" w:rsidRPr="00930141">
        <w:rPr>
          <w:rFonts w:cs="Times New Roman"/>
          <w:szCs w:val="24"/>
        </w:rPr>
        <w:t>or ramp in power, the delay of closure between the pelle</w:t>
      </w:r>
      <w:r w:rsidR="000810FE">
        <w:rPr>
          <w:rFonts w:cs="Times New Roman"/>
          <w:szCs w:val="24"/>
        </w:rPr>
        <w:t xml:space="preserve">t and gap is crucial in reducing </w:t>
      </w:r>
      <w:r w:rsidR="000810FE">
        <w:rPr>
          <w:rFonts w:cs="Times New Roman"/>
          <w:szCs w:val="24"/>
        </w:rPr>
        <w:lastRenderedPageBreak/>
        <w:t xml:space="preserve">the chances of a rod failing. </w:t>
      </w:r>
      <w:r w:rsidR="007B06F2" w:rsidRPr="00930141">
        <w:rPr>
          <w:rFonts w:cs="Times New Roman"/>
          <w:szCs w:val="24"/>
        </w:rPr>
        <w:t xml:space="preserve">If a reasonably large gap is </w:t>
      </w:r>
      <w:r w:rsidR="00E972B1">
        <w:rPr>
          <w:rFonts w:cs="Times New Roman"/>
          <w:szCs w:val="24"/>
        </w:rPr>
        <w:t xml:space="preserve">initially </w:t>
      </w:r>
      <w:r w:rsidR="007B06F2" w:rsidRPr="00930141">
        <w:rPr>
          <w:rFonts w:cs="Times New Roman"/>
          <w:szCs w:val="24"/>
        </w:rPr>
        <w:t xml:space="preserve">considered, then the </w:t>
      </w:r>
      <w:r w:rsidR="008F7223" w:rsidRPr="00930141">
        <w:rPr>
          <w:rFonts w:cs="Times New Roman"/>
          <w:szCs w:val="24"/>
        </w:rPr>
        <w:t>space</w:t>
      </w:r>
      <w:r w:rsidR="00B5114F" w:rsidRPr="00930141">
        <w:rPr>
          <w:rFonts w:cs="Times New Roman"/>
          <w:szCs w:val="24"/>
        </w:rPr>
        <w:t xml:space="preserve"> between the </w:t>
      </w:r>
      <w:r w:rsidR="007B06F2" w:rsidRPr="00930141">
        <w:rPr>
          <w:rFonts w:cs="Times New Roman"/>
          <w:szCs w:val="24"/>
        </w:rPr>
        <w:t>pellet and cladding in a UO</w:t>
      </w:r>
      <w:r w:rsidR="007B06F2" w:rsidRPr="00930141">
        <w:rPr>
          <w:rFonts w:cs="Times New Roman"/>
          <w:szCs w:val="24"/>
          <w:vertAlign w:val="subscript"/>
        </w:rPr>
        <w:t>2</w:t>
      </w:r>
      <w:r w:rsidR="0013708F">
        <w:rPr>
          <w:rFonts w:cs="Times New Roman"/>
          <w:szCs w:val="24"/>
        </w:rPr>
        <w:t>/</w:t>
      </w:r>
      <w:r w:rsidR="007B06F2" w:rsidRPr="00930141">
        <w:rPr>
          <w:rFonts w:cs="Times New Roman"/>
          <w:szCs w:val="24"/>
        </w:rPr>
        <w:t xml:space="preserve">SiC fuel design would never </w:t>
      </w:r>
      <w:r w:rsidR="008F7223" w:rsidRPr="00930141">
        <w:rPr>
          <w:rFonts w:cs="Times New Roman"/>
          <w:szCs w:val="24"/>
        </w:rPr>
        <w:t xml:space="preserve">fully </w:t>
      </w:r>
      <w:r w:rsidR="007B06F2" w:rsidRPr="00930141">
        <w:rPr>
          <w:rFonts w:cs="Times New Roman"/>
          <w:szCs w:val="24"/>
        </w:rPr>
        <w:t xml:space="preserve">close throughout the lifetime of the fuel </w:t>
      </w:r>
      <w:r w:rsidR="00D00A8B">
        <w:rPr>
          <w:rFonts w:cs="Times New Roman"/>
          <w:szCs w:val="24"/>
        </w:rPr>
        <w:fldChar w:fldCharType="begin"/>
      </w:r>
      <w:r w:rsidR="00046F32">
        <w:rPr>
          <w:rFonts w:cs="Times New Roman"/>
          <w:szCs w:val="24"/>
        </w:rPr>
        <w:instrText xml:space="preserve"> ADDIN EN.CITE &lt;EndNote&gt;&lt;Cite&gt;&lt;Author&gt;Ben-Belgacem&lt;/Author&gt;&lt;Year&gt;2014&lt;/Year&gt;&lt;RecNum&gt;3&lt;/RecNum&gt;&lt;DisplayText&gt;[23]&lt;/DisplayText&gt;&lt;record&gt;&lt;rec-number&gt;3&lt;/rec-number&gt;&lt;foreign-keys&gt;&lt;key app="EN" db-id="2xr5xwvelzde2mew29sv50pv0rfe95epfwxp" timestamp="1422335365"&gt;3&lt;/key&gt;&lt;/foreign-keys&gt;&lt;ref-type name="Journal Article"&gt;17&lt;/ref-type&gt;&lt;contributors&gt;&lt;authors&gt;&lt;author&gt;Ben-Belgacem, M.&lt;/author&gt;&lt;author&gt;Richet, V.&lt;/author&gt;&lt;author&gt;Terrani, K. A.&lt;/author&gt;&lt;author&gt;Katoh, Y.&lt;/author&gt;&lt;author&gt;Snead, L. L.&lt;/author&gt;&lt;/authors&gt;&lt;/contributors&gt;&lt;titles&gt;&lt;title&gt;Thermo-mechanical analysis of LWR SiC/SiC composite cladding&lt;/title&gt;&lt;secondary-title&gt;Journal of Nuclear Materials&lt;/secondary-title&gt;&lt;/titles&gt;&lt;pages&gt;125-142&lt;/pages&gt;&lt;volume&gt;447&lt;/volume&gt;&lt;number&gt;1-3&lt;/number&gt;&lt;dates&gt;&lt;year&gt;2014&lt;/year&gt;&lt;/dates&gt;&lt;isbn&gt;00223115&lt;/isbn&gt;&lt;urls&gt;&lt;/urls&gt;&lt;electronic-resource-num&gt;10.1016/j.jnucmat.2014.01.006&lt;/electronic-resource-num&gt;&lt;/record&gt;&lt;/Cite&gt;&lt;/EndNote&gt;</w:instrText>
      </w:r>
      <w:r w:rsidR="00D00A8B">
        <w:rPr>
          <w:rFonts w:cs="Times New Roman"/>
          <w:szCs w:val="24"/>
        </w:rPr>
        <w:fldChar w:fldCharType="separate"/>
      </w:r>
      <w:r w:rsidR="00046F32">
        <w:rPr>
          <w:rFonts w:cs="Times New Roman"/>
          <w:noProof/>
          <w:szCs w:val="24"/>
        </w:rPr>
        <w:t>[</w:t>
      </w:r>
      <w:hyperlink w:anchor="_ENREF_23" w:tooltip="Ben-Belgacem, 2014 #3" w:history="1">
        <w:r w:rsidR="00DF20CB">
          <w:rPr>
            <w:rFonts w:cs="Times New Roman"/>
            <w:noProof/>
            <w:szCs w:val="24"/>
          </w:rPr>
          <w:t>23</w:t>
        </w:r>
      </w:hyperlink>
      <w:r w:rsidR="00046F32">
        <w:rPr>
          <w:rFonts w:cs="Times New Roman"/>
          <w:noProof/>
          <w:szCs w:val="24"/>
        </w:rPr>
        <w:t>]</w:t>
      </w:r>
      <w:r w:rsidR="00D00A8B">
        <w:rPr>
          <w:rFonts w:cs="Times New Roman"/>
          <w:szCs w:val="24"/>
        </w:rPr>
        <w:fldChar w:fldCharType="end"/>
      </w:r>
      <w:r w:rsidR="008D0110">
        <w:rPr>
          <w:rFonts w:cs="Times New Roman"/>
          <w:szCs w:val="24"/>
        </w:rPr>
        <w:t>.</w:t>
      </w:r>
    </w:p>
    <w:p w14:paraId="4C1BCDA2" w14:textId="41003E41" w:rsidR="002E67EB" w:rsidRPr="00930141" w:rsidRDefault="00E972B1" w:rsidP="0091793B">
      <w:pPr>
        <w:spacing w:line="360" w:lineRule="auto"/>
        <w:jc w:val="both"/>
        <w:rPr>
          <w:rFonts w:cs="Times New Roman"/>
          <w:szCs w:val="24"/>
        </w:rPr>
      </w:pPr>
      <w:r>
        <w:rPr>
          <w:rFonts w:cs="Times New Roman"/>
          <w:szCs w:val="24"/>
        </w:rPr>
        <w:t xml:space="preserve">A disadvantage in utilizing SiC includes the </w:t>
      </w:r>
      <w:r w:rsidR="008F7223" w:rsidRPr="00930141">
        <w:rPr>
          <w:rFonts w:cs="Times New Roman"/>
          <w:szCs w:val="24"/>
        </w:rPr>
        <w:t xml:space="preserve">poor thermal conductivity </w:t>
      </w:r>
      <w:r>
        <w:rPr>
          <w:rFonts w:cs="Times New Roman"/>
          <w:szCs w:val="24"/>
        </w:rPr>
        <w:t>properties within the SiC/SiC composite material. E</w:t>
      </w:r>
      <w:r w:rsidRPr="00930141">
        <w:rPr>
          <w:rFonts w:cs="Times New Roman"/>
          <w:szCs w:val="24"/>
        </w:rPr>
        <w:t>xtended separation of the cladding and pellet</w:t>
      </w:r>
      <w:r w:rsidR="00D51F92">
        <w:rPr>
          <w:rFonts w:cs="Times New Roman"/>
          <w:szCs w:val="24"/>
        </w:rPr>
        <w:t xml:space="preserve"> region</w:t>
      </w:r>
      <w:r>
        <w:rPr>
          <w:rFonts w:cs="Times New Roman"/>
          <w:szCs w:val="24"/>
        </w:rPr>
        <w:t xml:space="preserve"> as well as its poor conductivity would lead to increased fuel centerline temperatures if implemented in a LWR system</w:t>
      </w:r>
      <w:r w:rsidR="008F7223" w:rsidRPr="00930141">
        <w:rPr>
          <w:rFonts w:cs="Times New Roman"/>
          <w:szCs w:val="24"/>
        </w:rPr>
        <w:t>.</w:t>
      </w:r>
      <w:r w:rsidR="007B06F2" w:rsidRPr="00930141">
        <w:rPr>
          <w:rFonts w:cs="Times New Roman"/>
          <w:szCs w:val="24"/>
        </w:rPr>
        <w:t xml:space="preserve">  </w:t>
      </w:r>
      <w:r w:rsidR="006A79E4" w:rsidRPr="00930141">
        <w:rPr>
          <w:rFonts w:cs="Times New Roman"/>
          <w:szCs w:val="24"/>
        </w:rPr>
        <w:t>Another</w:t>
      </w:r>
      <w:r w:rsidR="002E67EB" w:rsidRPr="00930141">
        <w:rPr>
          <w:rFonts w:cs="Times New Roman"/>
          <w:szCs w:val="24"/>
        </w:rPr>
        <w:t xml:space="preserve"> challenge when utilizing SiC as a cladding concept is the lack of a concrete solution on how to seal the cladding tube after the fuel pellets have been loaded. This is </w:t>
      </w:r>
      <w:r w:rsidR="009E0EB6">
        <w:rPr>
          <w:rFonts w:cs="Times New Roman"/>
          <w:szCs w:val="24"/>
        </w:rPr>
        <w:t>due to the inability of</w:t>
      </w:r>
      <w:r w:rsidR="002E67EB" w:rsidRPr="00930141">
        <w:rPr>
          <w:rFonts w:cs="Times New Roman"/>
          <w:szCs w:val="24"/>
        </w:rPr>
        <w:t xml:space="preserve"> SiC composites</w:t>
      </w:r>
      <w:r w:rsidR="009E0EB6">
        <w:rPr>
          <w:rFonts w:cs="Times New Roman"/>
          <w:szCs w:val="24"/>
        </w:rPr>
        <w:t xml:space="preserve"> to</w:t>
      </w:r>
      <w:r w:rsidR="002E67EB" w:rsidRPr="00930141">
        <w:rPr>
          <w:rFonts w:cs="Times New Roman"/>
          <w:szCs w:val="24"/>
        </w:rPr>
        <w:t xml:space="preserve"> melt, but rather sublimate at 3003 K</w:t>
      </w:r>
      <w:r w:rsidR="00D51F92">
        <w:rPr>
          <w:rFonts w:cs="Times New Roman"/>
          <w:szCs w:val="24"/>
        </w:rPr>
        <w:t>,</w:t>
      </w:r>
      <w:r w:rsidR="002E67EB" w:rsidRPr="00930141">
        <w:rPr>
          <w:rFonts w:cs="Times New Roman"/>
          <w:szCs w:val="24"/>
        </w:rPr>
        <w:t xml:space="preserve"> </w:t>
      </w:r>
      <w:r w:rsidR="000810FE">
        <w:rPr>
          <w:rFonts w:cs="Times New Roman"/>
          <w:szCs w:val="24"/>
        </w:rPr>
        <w:t>making welding impossible</w:t>
      </w:r>
      <w:r w:rsidR="008D0110">
        <w:rPr>
          <w:rFonts w:cs="Times New Roman"/>
          <w:szCs w:val="24"/>
        </w:rPr>
        <w:t xml:space="preserve"> </w:t>
      </w:r>
      <w:r w:rsidR="00D00A8B">
        <w:rPr>
          <w:rFonts w:cs="Times New Roman"/>
          <w:szCs w:val="24"/>
        </w:rPr>
        <w:fldChar w:fldCharType="begin"/>
      </w:r>
      <w:r w:rsidR="00046F32">
        <w:rPr>
          <w:rFonts w:cs="Times New Roman"/>
          <w:szCs w:val="24"/>
        </w:rPr>
        <w:instrText xml:space="preserve"> ADDIN EN.CITE &lt;EndNote&gt;&lt;Cite&gt;&lt;Author&gt;Yueh&lt;/Author&gt;&lt;Year&gt;2014&lt;/Year&gt;&lt;RecNum&gt;18&lt;/RecNum&gt;&lt;DisplayText&gt;[24]&lt;/DisplayText&gt;&lt;record&gt;&lt;rec-number&gt;18&lt;/rec-number&gt;&lt;foreign-keys&gt;&lt;key app="EN" db-id="trfxzx057wwv0qe0vz1vttttwf0522tvtwpt" timestamp="1422125002"&gt;18&lt;/key&gt;&lt;/foreign-keys&gt;&lt;ref-type name="Journal Article"&gt;17&lt;/ref-type&gt;&lt;contributors&gt;&lt;authors&gt;&lt;author&gt;Yueh, Ken&lt;/author&gt;&lt;author&gt;Terrani, Kurt A&lt;/author&gt;&lt;/authors&gt;&lt;/contributors&gt;&lt;titles&gt;&lt;title&gt;Silicon carbide composite for light water reactor fuel assembly applications&lt;/title&gt;&lt;secondary-title&gt;Journal of Nuclear Materials&lt;/secondary-title&gt;&lt;/titles&gt;&lt;periodical&gt;&lt;full-title&gt;Journal of Nuclear Materials&lt;/full-title&gt;&lt;/periodical&gt;&lt;pages&gt;380-388&lt;/pages&gt;&lt;volume&gt;448&lt;/volume&gt;&lt;number&gt;1&lt;/number&gt;&lt;dates&gt;&lt;year&gt;2014&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24" w:tooltip="Yueh, 2014 #18" w:history="1">
        <w:r w:rsidR="00DF20CB">
          <w:rPr>
            <w:rFonts w:cs="Times New Roman"/>
            <w:noProof/>
            <w:szCs w:val="24"/>
          </w:rPr>
          <w:t>24</w:t>
        </w:r>
      </w:hyperlink>
      <w:r w:rsidR="00046F32">
        <w:rPr>
          <w:rFonts w:cs="Times New Roman"/>
          <w:noProof/>
          <w:szCs w:val="24"/>
        </w:rPr>
        <w:t>]</w:t>
      </w:r>
      <w:r w:rsidR="00D00A8B">
        <w:rPr>
          <w:rFonts w:cs="Times New Roman"/>
          <w:szCs w:val="24"/>
        </w:rPr>
        <w:fldChar w:fldCharType="end"/>
      </w:r>
      <w:r w:rsidR="008D0110">
        <w:rPr>
          <w:rFonts w:cs="Times New Roman"/>
          <w:szCs w:val="24"/>
        </w:rPr>
        <w:t>.</w:t>
      </w:r>
      <w:r w:rsidR="00080D61">
        <w:rPr>
          <w:rFonts w:cs="Times New Roman"/>
          <w:szCs w:val="24"/>
        </w:rPr>
        <w:t xml:space="preserve"> </w:t>
      </w:r>
    </w:p>
    <w:p w14:paraId="61AC9318" w14:textId="29176402" w:rsidR="00314B71" w:rsidRDefault="00D51F92" w:rsidP="0091793B">
      <w:pPr>
        <w:spacing w:line="360" w:lineRule="auto"/>
        <w:jc w:val="both"/>
        <w:rPr>
          <w:rFonts w:cs="Times New Roman"/>
          <w:szCs w:val="24"/>
        </w:rPr>
      </w:pPr>
      <w:r>
        <w:rPr>
          <w:rFonts w:cs="Times New Roman"/>
          <w:szCs w:val="24"/>
        </w:rPr>
        <w:t xml:space="preserve">Figure 7 shows </w:t>
      </w:r>
      <w:r w:rsidR="00B44FDD">
        <w:rPr>
          <w:rFonts w:cs="Times New Roman"/>
          <w:szCs w:val="24"/>
        </w:rPr>
        <w:t>the oxidation rate</w:t>
      </w:r>
      <w:r w:rsidR="006A79E4" w:rsidRPr="00930141">
        <w:rPr>
          <w:rFonts w:cs="Times New Roman"/>
          <w:szCs w:val="24"/>
        </w:rPr>
        <w:t xml:space="preserve"> of SiC </w:t>
      </w:r>
      <w:r w:rsidR="00B44FDD">
        <w:rPr>
          <w:rFonts w:cs="Times New Roman"/>
          <w:szCs w:val="24"/>
        </w:rPr>
        <w:t>is</w:t>
      </w:r>
      <w:r w:rsidR="006A79E4" w:rsidRPr="00930141">
        <w:rPr>
          <w:rFonts w:cs="Times New Roman"/>
          <w:szCs w:val="24"/>
        </w:rPr>
        <w:t xml:space="preserve"> a small fraction of zirconium based alloys at high temperatures. </w:t>
      </w:r>
      <w:r w:rsidR="006A7BC5" w:rsidRPr="00930141">
        <w:rPr>
          <w:rFonts w:cs="Times New Roman"/>
          <w:szCs w:val="24"/>
        </w:rPr>
        <w:t>This becomes an extreme advantage under accident scenarios. At 1473 K, zirconium-based alloy cladding ductility would be lost in 5 minutes of exposure to high temperature steam. After 15 minutes of e</w:t>
      </w:r>
      <w:r w:rsidR="00EB7E6D" w:rsidRPr="00930141">
        <w:rPr>
          <w:rFonts w:cs="Times New Roman"/>
          <w:szCs w:val="24"/>
        </w:rPr>
        <w:t>x</w:t>
      </w:r>
      <w:r w:rsidR="006A7BC5" w:rsidRPr="00930141">
        <w:rPr>
          <w:rFonts w:cs="Times New Roman"/>
          <w:szCs w:val="24"/>
        </w:rPr>
        <w:t xml:space="preserve">posure, the material would disintegrate upon reflooding of the core. </w:t>
      </w:r>
      <w:r w:rsidR="00EB7E6D" w:rsidRPr="00930141">
        <w:rPr>
          <w:rFonts w:cs="Times New Roman"/>
          <w:szCs w:val="24"/>
        </w:rPr>
        <w:t xml:space="preserve">On the contrary, SiC cladding, having a much slower oxidation process, would survive for hours at temperatures of 1673 K  </w:t>
      </w:r>
      <w:r w:rsidR="00D00A8B">
        <w:rPr>
          <w:rFonts w:cs="Times New Roman"/>
          <w:szCs w:val="24"/>
        </w:rPr>
        <w:fldChar w:fldCharType="begin"/>
      </w:r>
      <w:r w:rsidR="00046F32">
        <w:rPr>
          <w:rFonts w:cs="Times New Roman"/>
          <w:szCs w:val="24"/>
        </w:rPr>
        <w:instrText xml:space="preserve"> ADDIN EN.CITE &lt;EndNote&gt;&lt;Cite&gt;&lt;Author&gt;Yueh&lt;/Author&gt;&lt;Year&gt;2014&lt;/Year&gt;&lt;RecNum&gt;18&lt;/RecNum&gt;&lt;DisplayText&gt;[24]&lt;/DisplayText&gt;&lt;record&gt;&lt;rec-number&gt;18&lt;/rec-number&gt;&lt;foreign-keys&gt;&lt;key app="EN" db-id="trfxzx057wwv0qe0vz1vttttwf0522tvtwpt" timestamp="1422125002"&gt;18&lt;/key&gt;&lt;/foreign-keys&gt;&lt;ref-type name="Journal Article"&gt;17&lt;/ref-type&gt;&lt;contributors&gt;&lt;authors&gt;&lt;author&gt;Yueh, Ken&lt;/author&gt;&lt;author&gt;Terrani, Kurt A&lt;/author&gt;&lt;/authors&gt;&lt;/contributors&gt;&lt;titles&gt;&lt;title&gt;Silicon carbide composite for light water reactor fuel assembly applications&lt;/title&gt;&lt;secondary-title&gt;Journal of Nuclear Materials&lt;/secondary-title&gt;&lt;/titles&gt;&lt;periodical&gt;&lt;full-title&gt;Journal of Nuclear Materials&lt;/full-title&gt;&lt;/periodical&gt;&lt;pages&gt;380-388&lt;/pages&gt;&lt;volume&gt;448&lt;/volume&gt;&lt;number&gt;1&lt;/number&gt;&lt;dates&gt;&lt;year&gt;2014&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24" w:tooltip="Yueh, 2014 #18" w:history="1">
        <w:r w:rsidR="00DF20CB">
          <w:rPr>
            <w:rFonts w:cs="Times New Roman"/>
            <w:noProof/>
            <w:szCs w:val="24"/>
          </w:rPr>
          <w:t>24</w:t>
        </w:r>
      </w:hyperlink>
      <w:r w:rsidR="00046F32">
        <w:rPr>
          <w:rFonts w:cs="Times New Roman"/>
          <w:noProof/>
          <w:szCs w:val="24"/>
        </w:rPr>
        <w:t>]</w:t>
      </w:r>
      <w:r w:rsidR="00D00A8B">
        <w:rPr>
          <w:rFonts w:cs="Times New Roman"/>
          <w:szCs w:val="24"/>
        </w:rPr>
        <w:fldChar w:fldCharType="end"/>
      </w:r>
      <w:r w:rsidR="008D0110">
        <w:rPr>
          <w:rFonts w:cs="Times New Roman"/>
          <w:szCs w:val="24"/>
        </w:rPr>
        <w:t>.</w:t>
      </w:r>
    </w:p>
    <w:p w14:paraId="039DAD12" w14:textId="77777777" w:rsidR="0092568C" w:rsidRDefault="0092568C" w:rsidP="0091793B">
      <w:pPr>
        <w:spacing w:line="360" w:lineRule="auto"/>
        <w:jc w:val="both"/>
        <w:rPr>
          <w:rFonts w:cs="Times New Roman"/>
          <w:szCs w:val="24"/>
        </w:rPr>
      </w:pPr>
    </w:p>
    <w:p w14:paraId="2F69F6BB" w14:textId="77777777" w:rsidR="00314B71" w:rsidRDefault="00314B71" w:rsidP="0091793B">
      <w:pPr>
        <w:spacing w:line="360" w:lineRule="auto"/>
        <w:jc w:val="both"/>
        <w:rPr>
          <w:rFonts w:cs="Times New Roman"/>
          <w:b/>
          <w:sz w:val="28"/>
        </w:rPr>
      </w:pPr>
      <w:r>
        <w:rPr>
          <w:rFonts w:cs="Times New Roman"/>
          <w:b/>
          <w:sz w:val="28"/>
        </w:rPr>
        <w:t>II</w:t>
      </w:r>
      <w:r w:rsidRPr="00930141">
        <w:rPr>
          <w:rFonts w:cs="Times New Roman"/>
          <w:b/>
          <w:sz w:val="28"/>
        </w:rPr>
        <w:t>.</w:t>
      </w:r>
      <w:r w:rsidR="0030764F">
        <w:rPr>
          <w:rFonts w:cs="Times New Roman"/>
          <w:b/>
          <w:sz w:val="28"/>
        </w:rPr>
        <w:t>D</w:t>
      </w:r>
      <w:r w:rsidRPr="00930141">
        <w:rPr>
          <w:rFonts w:cs="Times New Roman"/>
          <w:b/>
          <w:sz w:val="28"/>
        </w:rPr>
        <w:t>.</w:t>
      </w:r>
      <w:r w:rsidRPr="00930141">
        <w:rPr>
          <w:rFonts w:cs="Times New Roman"/>
          <w:b/>
          <w:sz w:val="28"/>
        </w:rPr>
        <w:tab/>
      </w:r>
      <w:r w:rsidRPr="00930141">
        <w:rPr>
          <w:rFonts w:cs="Times New Roman"/>
          <w:b/>
          <w:sz w:val="28"/>
        </w:rPr>
        <w:tab/>
      </w:r>
      <w:r>
        <w:rPr>
          <w:rFonts w:cs="Times New Roman"/>
          <w:b/>
          <w:sz w:val="28"/>
        </w:rPr>
        <w:t xml:space="preserve">Fuel Performance </w:t>
      </w:r>
      <w:r w:rsidR="008522CD">
        <w:rPr>
          <w:rFonts w:cs="Times New Roman"/>
          <w:b/>
          <w:sz w:val="28"/>
        </w:rPr>
        <w:t>Modeling</w:t>
      </w:r>
    </w:p>
    <w:p w14:paraId="0F2B3A2E" w14:textId="77777777" w:rsidR="00007C03" w:rsidRPr="00007C03" w:rsidRDefault="00314B71" w:rsidP="0091793B">
      <w:pPr>
        <w:spacing w:line="360" w:lineRule="auto"/>
        <w:jc w:val="both"/>
        <w:rPr>
          <w:rFonts w:cs="Times New Roman"/>
          <w:color w:val="FF0000"/>
          <w:szCs w:val="24"/>
        </w:rPr>
      </w:pPr>
      <w:r w:rsidRPr="00314B71">
        <w:rPr>
          <w:rFonts w:cs="Times New Roman"/>
          <w:szCs w:val="24"/>
        </w:rPr>
        <w:t xml:space="preserve">There are numerous failure mechanisms within a reactor that can lead to the release of radioactive material. </w:t>
      </w:r>
      <w:r w:rsidR="00DE4EE4" w:rsidRPr="00DE4EE4">
        <w:rPr>
          <w:rFonts w:cs="Times New Roman"/>
          <w:szCs w:val="24"/>
        </w:rPr>
        <w:t xml:space="preserve">As pellet and cladding temperatures increase from the intense core conditions, pressure in the gap can fluctuate. </w:t>
      </w:r>
      <w:r w:rsidRPr="00314B71">
        <w:rPr>
          <w:rFonts w:cs="Times New Roman"/>
          <w:szCs w:val="24"/>
        </w:rPr>
        <w:t>Although grid to rod fretting is the number one cause of fuel failur</w:t>
      </w:r>
      <w:r w:rsidR="00B44FDD">
        <w:rPr>
          <w:rFonts w:cs="Times New Roman"/>
          <w:szCs w:val="24"/>
        </w:rPr>
        <w:t>e, PCI</w:t>
      </w:r>
      <w:r w:rsidRPr="00314B71">
        <w:rPr>
          <w:rFonts w:cs="Times New Roman"/>
          <w:szCs w:val="24"/>
        </w:rPr>
        <w:t xml:space="preserve"> is also of major concern</w:t>
      </w:r>
      <w:r w:rsidR="00FB4DAF">
        <w:rPr>
          <w:rFonts w:cs="Times New Roman"/>
          <w:szCs w:val="24"/>
        </w:rPr>
        <w:t xml:space="preserve">. </w:t>
      </w:r>
      <w:r w:rsidR="00CC6EDA">
        <w:rPr>
          <w:rFonts w:cs="Times New Roman"/>
          <w:szCs w:val="24"/>
        </w:rPr>
        <w:t>On the other hand</w:t>
      </w:r>
      <w:r w:rsidR="00FF251E">
        <w:rPr>
          <w:rFonts w:cs="Times New Roman"/>
          <w:szCs w:val="24"/>
        </w:rPr>
        <w:t xml:space="preserve">, </w:t>
      </w:r>
      <w:r w:rsidR="00D51F92" w:rsidRPr="00314B71">
        <w:rPr>
          <w:rFonts w:cs="Times New Roman"/>
          <w:szCs w:val="24"/>
        </w:rPr>
        <w:t xml:space="preserve">the overall </w:t>
      </w:r>
      <w:r w:rsidR="00D51F92">
        <w:rPr>
          <w:rFonts w:cs="Times New Roman"/>
          <w:szCs w:val="24"/>
        </w:rPr>
        <w:t>thermal conductivity of the rod</w:t>
      </w:r>
      <w:r w:rsidR="00D51F92" w:rsidRPr="00314B71">
        <w:rPr>
          <w:rFonts w:cs="Times New Roman"/>
          <w:szCs w:val="24"/>
        </w:rPr>
        <w:t xml:space="preserve"> decrease</w:t>
      </w:r>
      <w:r w:rsidR="00D51F92">
        <w:rPr>
          <w:rFonts w:cs="Times New Roman"/>
          <w:szCs w:val="24"/>
        </w:rPr>
        <w:t xml:space="preserve">s </w:t>
      </w:r>
      <w:r w:rsidR="00FF251E">
        <w:rPr>
          <w:rFonts w:cs="Times New Roman"/>
          <w:szCs w:val="24"/>
        </w:rPr>
        <w:t>when</w:t>
      </w:r>
      <w:r w:rsidRPr="00314B71">
        <w:rPr>
          <w:rFonts w:cs="Times New Roman"/>
          <w:szCs w:val="24"/>
        </w:rPr>
        <w:t xml:space="preserve"> the cladding</w:t>
      </w:r>
      <w:r w:rsidR="00FB4DAF">
        <w:rPr>
          <w:rFonts w:cs="Times New Roman"/>
          <w:szCs w:val="24"/>
        </w:rPr>
        <w:t xml:space="preserve"> </w:t>
      </w:r>
      <w:r w:rsidR="00FF251E">
        <w:rPr>
          <w:rFonts w:cs="Times New Roman"/>
          <w:szCs w:val="24"/>
        </w:rPr>
        <w:t>does not come into contact with the</w:t>
      </w:r>
      <w:r w:rsidRPr="00314B71">
        <w:rPr>
          <w:rFonts w:cs="Times New Roman"/>
          <w:szCs w:val="24"/>
        </w:rPr>
        <w:t xml:space="preserve"> pellet</w:t>
      </w:r>
      <w:r w:rsidR="00D51F92">
        <w:rPr>
          <w:rFonts w:cs="Times New Roman"/>
          <w:szCs w:val="24"/>
        </w:rPr>
        <w:t xml:space="preserve"> for an extended period of time</w:t>
      </w:r>
      <w:r w:rsidRPr="00314B71">
        <w:rPr>
          <w:rFonts w:cs="Times New Roman"/>
          <w:szCs w:val="24"/>
        </w:rPr>
        <w:t xml:space="preserve">. This can lead to exceedingly high centerline temperatures of the fuel. </w:t>
      </w:r>
      <w:r w:rsidR="008522CD">
        <w:rPr>
          <w:rFonts w:cs="Times New Roman"/>
          <w:szCs w:val="24"/>
        </w:rPr>
        <w:t xml:space="preserve">PCI, fission gas buildup and irradiation creep/swelling are factors that need to </w:t>
      </w:r>
      <w:r w:rsidR="00CC6EDA">
        <w:rPr>
          <w:rFonts w:cs="Times New Roman"/>
          <w:szCs w:val="24"/>
        </w:rPr>
        <w:t xml:space="preserve">be analyzed when investigating </w:t>
      </w:r>
      <w:r w:rsidR="00FB4DAF">
        <w:rPr>
          <w:rFonts w:cs="Times New Roman"/>
          <w:szCs w:val="24"/>
        </w:rPr>
        <w:t>alternate cladding material</w:t>
      </w:r>
      <w:r w:rsidR="00CC6EDA">
        <w:rPr>
          <w:rFonts w:cs="Times New Roman"/>
          <w:szCs w:val="24"/>
        </w:rPr>
        <w:t xml:space="preserve">. </w:t>
      </w:r>
    </w:p>
    <w:p w14:paraId="0863ACD0" w14:textId="3378A5CC" w:rsidR="00007C03" w:rsidRPr="0009448A" w:rsidRDefault="00007C03" w:rsidP="00007C03">
      <w:pPr>
        <w:spacing w:line="360" w:lineRule="auto"/>
        <w:jc w:val="both"/>
        <w:rPr>
          <w:rFonts w:cs="Times New Roman"/>
          <w:szCs w:val="24"/>
        </w:rPr>
      </w:pPr>
      <w:r>
        <w:rPr>
          <w:rFonts w:cs="Times New Roman"/>
          <w:szCs w:val="24"/>
        </w:rPr>
        <w:lastRenderedPageBreak/>
        <w:t xml:space="preserve">BISON-CASL (formerly PEREGRINE) is a </w:t>
      </w:r>
      <w:r w:rsidRPr="00781749">
        <w:rPr>
          <w:rFonts w:cs="Times New Roman"/>
        </w:rPr>
        <w:t>finite-element simulation tool for nuclear fuel</w:t>
      </w:r>
      <w:r>
        <w:rPr>
          <w:rFonts w:cs="Times New Roman"/>
        </w:rPr>
        <w:t xml:space="preserve"> elements that is</w:t>
      </w:r>
      <w:r w:rsidRPr="00781749">
        <w:rPr>
          <w:rFonts w:cs="Times New Roman"/>
        </w:rPr>
        <w:t xml:space="preserve"> based on the</w:t>
      </w:r>
      <w:r>
        <w:rPr>
          <w:rFonts w:cs="Times New Roman"/>
        </w:rPr>
        <w:t xml:space="preserve"> </w:t>
      </w:r>
      <w:r w:rsidRPr="00781749">
        <w:rPr>
          <w:rFonts w:cs="Times New Roman"/>
        </w:rPr>
        <w:t>MOOSE (Multiphysics Object Oriented Simulation Environment) framework</w:t>
      </w:r>
      <w:r>
        <w:rPr>
          <w:rFonts w:cs="Times New Roman"/>
        </w:rPr>
        <w:t xml:space="preserve"> and utilizes capabilities from the BISON fuel-modeling tool developed by Idaho National Laboratory</w:t>
      </w:r>
      <w:r w:rsidRPr="00781749">
        <w:rPr>
          <w:rFonts w:cs="Times New Roman"/>
        </w:rPr>
        <w:t>. It utilizes</w:t>
      </w:r>
      <w:r>
        <w:rPr>
          <w:rFonts w:cs="Times New Roman"/>
        </w:rPr>
        <w:t xml:space="preserve"> Jacobian-Free Newton-Krylov method</w:t>
      </w:r>
      <w:r w:rsidRPr="00781749">
        <w:rPr>
          <w:rFonts w:cs="Times New Roman"/>
        </w:rPr>
        <w:t xml:space="preserve"> </w:t>
      </w:r>
      <w:r w:rsidR="00817846">
        <w:rPr>
          <w:rFonts w:cs="Times New Roman"/>
        </w:rPr>
        <w:t xml:space="preserve">to solve fully coupled and </w:t>
      </w:r>
      <w:r>
        <w:rPr>
          <w:rFonts w:cs="Times New Roman"/>
        </w:rPr>
        <w:t>fully implicit</w:t>
      </w:r>
      <w:r w:rsidRPr="00781749">
        <w:rPr>
          <w:rFonts w:cs="Times New Roman"/>
        </w:rPr>
        <w:t xml:space="preserve"> partial differential equations</w:t>
      </w:r>
      <w:r>
        <w:rPr>
          <w:rFonts w:cs="Times New Roman"/>
        </w:rPr>
        <w:t xml:space="preserve"> while leveraging the scalability of parallel computing</w:t>
      </w:r>
      <w:r w:rsidRPr="00781749">
        <w:rPr>
          <w:rFonts w:cs="Times New Roman"/>
        </w:rPr>
        <w:t xml:space="preserve">. </w:t>
      </w:r>
      <w:r w:rsidRPr="00C61418">
        <w:rPr>
          <w:rFonts w:cs="Times New Roman"/>
        </w:rPr>
        <w:t>Because of the expandability of the MOOSE framewo</w:t>
      </w:r>
      <w:r w:rsidRPr="0009448A">
        <w:rPr>
          <w:rFonts w:cs="Times New Roman"/>
        </w:rPr>
        <w:t xml:space="preserve">rk, </w:t>
      </w:r>
      <w:r>
        <w:rPr>
          <w:rFonts w:cs="Times New Roman"/>
        </w:rPr>
        <w:t>BISON-CASL</w:t>
      </w:r>
      <w:r w:rsidRPr="0009448A">
        <w:rPr>
          <w:rFonts w:cs="Times New Roman"/>
        </w:rPr>
        <w:t xml:space="preserve"> can incorporate a host of materials as well as behavioral models for fuel and fuel cladding. </w:t>
      </w:r>
      <w:r>
        <w:rPr>
          <w:rFonts w:cs="Times New Roman"/>
          <w:szCs w:val="24"/>
        </w:rPr>
        <w:t>It</w:t>
      </w:r>
      <w:r w:rsidRPr="00C61418">
        <w:rPr>
          <w:rFonts w:cs="Times New Roman"/>
          <w:szCs w:val="24"/>
        </w:rPr>
        <w:t xml:space="preserve"> has the capability to model </w:t>
      </w:r>
      <w:r w:rsidRPr="008B29FF">
        <w:rPr>
          <w:rFonts w:cs="Times New Roman"/>
          <w:szCs w:val="24"/>
        </w:rPr>
        <w:t xml:space="preserve">complex </w:t>
      </w:r>
      <w:r w:rsidRPr="00C61418">
        <w:rPr>
          <w:rFonts w:cs="Times New Roman"/>
          <w:szCs w:val="24"/>
        </w:rPr>
        <w:t>thermo</w:t>
      </w:r>
      <w:r w:rsidRPr="008B29FF">
        <w:rPr>
          <w:rFonts w:cs="Times New Roman"/>
          <w:szCs w:val="24"/>
        </w:rPr>
        <w:t>-</w:t>
      </w:r>
      <w:r w:rsidRPr="00C61418">
        <w:rPr>
          <w:rFonts w:cs="Times New Roman"/>
          <w:szCs w:val="24"/>
        </w:rPr>
        <w:t xml:space="preserve">mechanical behavior of </w:t>
      </w:r>
      <w:r w:rsidRPr="008B29FF">
        <w:rPr>
          <w:rFonts w:cs="Times New Roman"/>
          <w:szCs w:val="24"/>
        </w:rPr>
        <w:t>discrete</w:t>
      </w:r>
      <w:r w:rsidRPr="00C61418">
        <w:rPr>
          <w:rFonts w:cs="Times New Roman"/>
          <w:szCs w:val="24"/>
        </w:rPr>
        <w:t xml:space="preserve"> and smeared fuel</w:t>
      </w:r>
      <w:r w:rsidRPr="008B29FF">
        <w:rPr>
          <w:rFonts w:cs="Times New Roman"/>
          <w:szCs w:val="24"/>
        </w:rPr>
        <w:t>s, the fuel rod gap and plenum,</w:t>
      </w:r>
      <w:r w:rsidRPr="00C61418">
        <w:rPr>
          <w:rFonts w:cs="Times New Roman"/>
          <w:szCs w:val="24"/>
        </w:rPr>
        <w:t xml:space="preserve"> </w:t>
      </w:r>
      <w:r w:rsidRPr="008B29FF">
        <w:rPr>
          <w:rFonts w:cs="Times New Roman"/>
          <w:szCs w:val="24"/>
        </w:rPr>
        <w:t xml:space="preserve">and various cladding materials over time </w:t>
      </w:r>
      <w:r>
        <w:rPr>
          <w:rFonts w:cs="Times New Roman"/>
          <w:szCs w:val="24"/>
        </w:rPr>
        <w:fldChar w:fldCharType="begin"/>
      </w:r>
      <w:r w:rsidR="00817846">
        <w:rPr>
          <w:rFonts w:cs="Times New Roman"/>
          <w:szCs w:val="24"/>
        </w:rPr>
        <w:instrText xml:space="preserve"> ADDIN EN.CITE &lt;EndNote&gt;&lt;Cite ExcludeYear="1"&gt;&lt;Author&gt;Permann&lt;/Author&gt;&lt;RecNum&gt;106&lt;/RecNum&gt;&lt;DisplayText&gt;[25-27]&lt;/DisplayText&gt;&lt;record&gt;&lt;rec-number&gt;106&lt;/rec-number&gt;&lt;foreign-keys&gt;&lt;key app="EN" db-id="trfxzx057wwv0qe0vz1vttttwf0522tvtwpt" timestamp="1422918851"&gt;106&lt;/key&gt;&lt;/foreign-keys&gt;&lt;ref-type name="Newspaper Article"&gt;23&lt;/ref-type&gt;&lt;contributors&gt;&lt;authors&gt;&lt;author&gt;C.J. Permann&lt;/author&gt;&lt;/authors&gt;&lt;/contributors&gt;&lt;titles&gt;&lt;title&gt;Multidimensional Multisale Fuels Modeling and Simulation&lt;/title&gt;&lt;secondary-title&gt;Nuclear Fuels &amp;amp; Materials Spotlight&lt;/secondary-title&gt;&lt;/titles&gt;&lt;dates&gt;&lt;/dates&gt;&lt;pub-location&gt;Idaho National Laboratory&lt;/pub-location&gt;&lt;urls&gt;&lt;/urls&gt;&lt;/record&gt;&lt;/Cite&gt;&lt;Cite&gt;&lt;Author&gt;George&lt;/Author&gt;&lt;Year&gt;2015&lt;/Year&gt;&lt;RecNum&gt;114&lt;/RecNum&gt;&lt;record&gt;&lt;rec-number&gt;114&lt;/rec-number&gt;&lt;foreign-keys&gt;&lt;key app="EN" db-id="trfxzx057wwv0qe0vz1vttttwf0522tvtwpt" timestamp="1424837981"&gt;114&lt;/key&gt;&lt;/foreign-keys&gt;&lt;ref-type name="Journal Article"&gt;17&lt;/ref-type&gt;&lt;contributors&gt;&lt;authors&gt;&lt;author&gt;George, Nathan M, et al.&lt;/author&gt;&lt;/authors&gt;&lt;/contributors&gt;&lt;titles&gt;&lt;title&gt;Full-core Evaluation of Enhanced Alternate Cladding Concepts in BWRs (in review)&lt;/title&gt;&lt;/titles&gt;&lt;dates&gt;&lt;year&gt;2015&lt;/year&gt;&lt;/dates&gt;&lt;urls&gt;&lt;/urls&gt;&lt;/record&gt;&lt;/Cite&gt;&lt;Cite&gt;&lt;Author&gt;Gaston&lt;/Author&gt;&lt;Year&gt;2009&lt;/Year&gt;&lt;RecNum&gt;115&lt;/RecNum&gt;&lt;record&gt;&lt;rec-number&gt;115&lt;/rec-number&gt;&lt;foreign-keys&gt;&lt;key app="EN" db-id="trfxzx057wwv0qe0vz1vttttwf0522tvtwpt" timestamp="1427314701"&gt;115&lt;/key&gt;&lt;/foreign-keys&gt;&lt;ref-type name="Journal Article"&gt;17&lt;/ref-type&gt;&lt;contributors&gt;&lt;authors&gt;&lt;author&gt;Gaston, Derek&lt;/author&gt;&lt;author&gt;Newman, Chris&lt;/author&gt;&lt;author&gt;Hansen, Glen&lt;/author&gt;&lt;author&gt;Lebrun-Grandie, Damien&lt;/author&gt;&lt;/authors&gt;&lt;/contributors&gt;&lt;titles&gt;&lt;title&gt;MOOSE: A parallel computational framework for coupled systems of nonlinear equations&lt;/title&gt;&lt;secondary-title&gt;Nuclear Engineering and Design&lt;/secondary-title&gt;&lt;/titles&gt;&lt;periodical&gt;&lt;full-title&gt;Nuclear Engineering and Design&lt;/full-title&gt;&lt;/periodical&gt;&lt;pages&gt;1768-1778&lt;/pages&gt;&lt;volume&gt;239&lt;/volume&gt;&lt;number&gt;10&lt;/number&gt;&lt;dates&gt;&lt;year&gt;2009&lt;/year&gt;&lt;/dates&gt;&lt;isbn&gt;0029-5493&lt;/isbn&gt;&lt;urls&gt;&lt;/urls&gt;&lt;/record&gt;&lt;/Cite&gt;&lt;/EndNote&gt;</w:instrText>
      </w:r>
      <w:r>
        <w:rPr>
          <w:rFonts w:cs="Times New Roman"/>
          <w:szCs w:val="24"/>
        </w:rPr>
        <w:fldChar w:fldCharType="separate"/>
      </w:r>
      <w:r w:rsidR="00817846">
        <w:rPr>
          <w:rFonts w:cs="Times New Roman"/>
          <w:noProof/>
          <w:szCs w:val="24"/>
        </w:rPr>
        <w:t>[</w:t>
      </w:r>
      <w:hyperlink w:anchor="_ENREF_25" w:tooltip="Permann,  #106" w:history="1">
        <w:r w:rsidR="00DF20CB">
          <w:rPr>
            <w:rFonts w:cs="Times New Roman"/>
            <w:noProof/>
            <w:szCs w:val="24"/>
          </w:rPr>
          <w:t>25-27</w:t>
        </w:r>
      </w:hyperlink>
      <w:r w:rsidR="00817846">
        <w:rPr>
          <w:rFonts w:cs="Times New Roman"/>
          <w:noProof/>
          <w:szCs w:val="24"/>
        </w:rPr>
        <w:t>]</w:t>
      </w:r>
      <w:r>
        <w:rPr>
          <w:rFonts w:cs="Times New Roman"/>
          <w:szCs w:val="24"/>
        </w:rPr>
        <w:fldChar w:fldCharType="end"/>
      </w:r>
      <w:r w:rsidR="008D0110">
        <w:rPr>
          <w:rFonts w:cs="Times New Roman"/>
          <w:szCs w:val="24"/>
        </w:rPr>
        <w:t>.</w:t>
      </w:r>
    </w:p>
    <w:p w14:paraId="72E96095" w14:textId="35A9034A" w:rsidR="00696949" w:rsidRDefault="00314B71" w:rsidP="0091793B">
      <w:pPr>
        <w:spacing w:line="360" w:lineRule="auto"/>
        <w:jc w:val="both"/>
        <w:rPr>
          <w:rFonts w:cs="Times New Roman"/>
          <w:szCs w:val="24"/>
        </w:rPr>
      </w:pPr>
      <w:r>
        <w:rPr>
          <w:rFonts w:cs="Times New Roman"/>
          <w:szCs w:val="24"/>
        </w:rPr>
        <w:t>Though prima</w:t>
      </w:r>
      <w:r w:rsidR="00007C03">
        <w:rPr>
          <w:rFonts w:cs="Times New Roman"/>
          <w:szCs w:val="24"/>
        </w:rPr>
        <w:t>rily used for LWR applications, BISON-CASL</w:t>
      </w:r>
      <w:r>
        <w:rPr>
          <w:rFonts w:cs="Times New Roman"/>
          <w:szCs w:val="24"/>
        </w:rPr>
        <w:t xml:space="preserve"> has the ability to analyze TRISO fuel designs as well as metal </w:t>
      </w:r>
      <w:r w:rsidR="00A63BA8">
        <w:rPr>
          <w:rFonts w:cs="Times New Roman"/>
          <w:szCs w:val="24"/>
        </w:rPr>
        <w:t xml:space="preserve">fuel in rod and plate form </w:t>
      </w:r>
      <w:r w:rsidR="00D00A8B">
        <w:rPr>
          <w:rFonts w:cs="Times New Roman"/>
          <w:szCs w:val="24"/>
        </w:rPr>
        <w:fldChar w:fldCharType="begin"/>
      </w:r>
      <w:r w:rsidR="00817846">
        <w:rPr>
          <w:rFonts w:cs="Times New Roman"/>
          <w:szCs w:val="24"/>
        </w:rPr>
        <w:instrText xml:space="preserve"> ADDIN EN.CITE &lt;EndNote&gt;&lt;Cite&gt;&lt;Author&gt;Hales&lt;/Author&gt;&lt;Year&gt;2014&lt;/Year&gt;&lt;RecNum&gt;22&lt;/RecNum&gt;&lt;DisplayText&gt;[28]&lt;/DisplayText&gt;&lt;record&gt;&lt;rec-number&gt;22&lt;/rec-number&gt;&lt;foreign-keys&gt;&lt;key app="EN" db-id="trfxzx057wwv0qe0vz1vttttwf0522tvtwpt" timestamp="1422125240"&gt;22&lt;/key&gt;&lt;/foreign-keys&gt;&lt;ref-type name="Journal Article"&gt;17&lt;/ref-type&gt;&lt;contributors&gt;&lt;authors&gt;&lt;author&gt;Hales, JD&lt;/author&gt;&lt;author&gt;Novascone, SR&lt;/author&gt;&lt;author&gt;Spencer, BW&lt;/author&gt;&lt;author&gt;Williamson, RL&lt;/author&gt;&lt;author&gt;Pastore, G&lt;/author&gt;&lt;author&gt;Perez, DM&lt;/author&gt;&lt;/authors&gt;&lt;/contributors&gt;&lt;titles&gt;&lt;title&gt;Verification of the BISON fuel performance code&lt;/title&gt;&lt;secondary-title&gt;Annals of Nuclear Energy&lt;/secondary-title&gt;&lt;/titles&gt;&lt;periodical&gt;&lt;full-title&gt;Annals of Nuclear Energy&lt;/full-title&gt;&lt;/periodical&gt;&lt;pages&gt;81-90&lt;/pages&gt;&lt;volume&gt;71&lt;/volume&gt;&lt;dates&gt;&lt;year&gt;2014&lt;/year&gt;&lt;/dates&gt;&lt;isbn&gt;0306-4549&lt;/isbn&gt;&lt;urls&gt;&lt;/urls&gt;&lt;/record&gt;&lt;/Cite&gt;&lt;/EndNote&gt;</w:instrText>
      </w:r>
      <w:r w:rsidR="00D00A8B">
        <w:rPr>
          <w:rFonts w:cs="Times New Roman"/>
          <w:szCs w:val="24"/>
        </w:rPr>
        <w:fldChar w:fldCharType="separate"/>
      </w:r>
      <w:r w:rsidR="00817846">
        <w:rPr>
          <w:rFonts w:cs="Times New Roman"/>
          <w:noProof/>
          <w:szCs w:val="24"/>
        </w:rPr>
        <w:t>[</w:t>
      </w:r>
      <w:hyperlink w:anchor="_ENREF_28" w:tooltip="Hales, 2014 #22" w:history="1">
        <w:r w:rsidR="00DF20CB">
          <w:rPr>
            <w:rFonts w:cs="Times New Roman"/>
            <w:noProof/>
            <w:szCs w:val="24"/>
          </w:rPr>
          <w:t>28</w:t>
        </w:r>
      </w:hyperlink>
      <w:r w:rsidR="00817846">
        <w:rPr>
          <w:rFonts w:cs="Times New Roman"/>
          <w:noProof/>
          <w:szCs w:val="24"/>
        </w:rPr>
        <w:t>]</w:t>
      </w:r>
      <w:r w:rsidR="00D00A8B">
        <w:rPr>
          <w:rFonts w:cs="Times New Roman"/>
          <w:szCs w:val="24"/>
        </w:rPr>
        <w:fldChar w:fldCharType="end"/>
      </w:r>
      <w:r w:rsidR="008D0110">
        <w:rPr>
          <w:rFonts w:cs="Times New Roman"/>
          <w:szCs w:val="24"/>
        </w:rPr>
        <w:t>.</w:t>
      </w:r>
      <w:r>
        <w:rPr>
          <w:rFonts w:cs="Times New Roman"/>
          <w:szCs w:val="24"/>
        </w:rPr>
        <w:t xml:space="preserve"> Models have been implemented in </w:t>
      </w:r>
      <w:r w:rsidR="00007C03">
        <w:rPr>
          <w:rFonts w:cs="Times New Roman"/>
          <w:szCs w:val="24"/>
        </w:rPr>
        <w:t>BISON-CASL</w:t>
      </w:r>
      <w:r>
        <w:rPr>
          <w:rFonts w:cs="Times New Roman"/>
          <w:szCs w:val="24"/>
        </w:rPr>
        <w:t xml:space="preserve"> to analyze thermal and irradiation creep and growth of </w:t>
      </w:r>
      <w:r w:rsidR="007257D7">
        <w:rPr>
          <w:rFonts w:cs="Times New Roman"/>
          <w:szCs w:val="24"/>
        </w:rPr>
        <w:t xml:space="preserve">Zircaloy as a cladding material </w:t>
      </w:r>
      <w:r w:rsidR="00D00A8B">
        <w:rPr>
          <w:rFonts w:cs="Times New Roman"/>
          <w:szCs w:val="24"/>
        </w:rPr>
        <w:fldChar w:fldCharType="begin"/>
      </w:r>
      <w:r w:rsidR="00817846">
        <w:rPr>
          <w:rFonts w:cs="Times New Roman"/>
          <w:szCs w:val="24"/>
        </w:rPr>
        <w:instrText xml:space="preserve"> ADDIN EN.CITE &lt;EndNote&gt;&lt;Cite&gt;&lt;Author&gt;Williamson&lt;/Author&gt;&lt;Year&gt;2013&lt;/Year&gt;&lt;RecNum&gt;23&lt;/RecNum&gt;&lt;DisplayText&gt;[29]&lt;/DisplayText&gt;&lt;record&gt;&lt;rec-number&gt;23&lt;/rec-number&gt;&lt;foreign-keys&gt;&lt;key app="EN" db-id="trfxzx057wwv0qe0vz1vttttwf0522tvtwpt" timestamp="1422125258"&gt;23&lt;/key&gt;&lt;/foreign-keys&gt;&lt;ref-type name="Journal Article"&gt;17&lt;/ref-type&gt;&lt;contributors&gt;&lt;authors&gt;&lt;author&gt;Williamson, RL&lt;/author&gt;&lt;author&gt;Novascone, SR&lt;/author&gt;&lt;/authors&gt;&lt;/contributors&gt;&lt;titles&gt;&lt;title&gt;Application of the BISON Fuel Performance Code of the FUMEX-III Coordinated Research Project&lt;/title&gt;&lt;/titles&gt;&lt;dates&gt;&lt;year&gt;2013&lt;/year&gt;&lt;/dates&gt;&lt;urls&gt;&lt;/urls&gt;&lt;/record&gt;&lt;/Cite&gt;&lt;/EndNote&gt;</w:instrText>
      </w:r>
      <w:r w:rsidR="00D00A8B">
        <w:rPr>
          <w:rFonts w:cs="Times New Roman"/>
          <w:szCs w:val="24"/>
        </w:rPr>
        <w:fldChar w:fldCharType="separate"/>
      </w:r>
      <w:r w:rsidR="00817846">
        <w:rPr>
          <w:rFonts w:cs="Times New Roman"/>
          <w:noProof/>
          <w:szCs w:val="24"/>
        </w:rPr>
        <w:t>[</w:t>
      </w:r>
      <w:hyperlink w:anchor="_ENREF_29" w:tooltip="Williamson, 2013 #23" w:history="1">
        <w:r w:rsidR="00DF20CB">
          <w:rPr>
            <w:rFonts w:cs="Times New Roman"/>
            <w:noProof/>
            <w:szCs w:val="24"/>
          </w:rPr>
          <w:t>29</w:t>
        </w:r>
      </w:hyperlink>
      <w:r w:rsidR="00817846">
        <w:rPr>
          <w:rFonts w:cs="Times New Roman"/>
          <w:noProof/>
          <w:szCs w:val="24"/>
        </w:rPr>
        <w:t>]</w:t>
      </w:r>
      <w:r w:rsidR="00D00A8B">
        <w:rPr>
          <w:rFonts w:cs="Times New Roman"/>
          <w:szCs w:val="24"/>
        </w:rPr>
        <w:fldChar w:fldCharType="end"/>
      </w:r>
      <w:r w:rsidR="007257D7">
        <w:rPr>
          <w:rFonts w:cs="Times New Roman"/>
          <w:szCs w:val="24"/>
        </w:rPr>
        <w:t xml:space="preserve">. However the code can </w:t>
      </w:r>
      <w:r>
        <w:rPr>
          <w:rFonts w:cs="Times New Roman"/>
          <w:szCs w:val="24"/>
        </w:rPr>
        <w:t>model specified compositions</w:t>
      </w:r>
      <w:r w:rsidR="007257D7">
        <w:rPr>
          <w:rFonts w:cs="Times New Roman"/>
          <w:szCs w:val="24"/>
        </w:rPr>
        <w:t xml:space="preserve"> of alternate cladding candidates by creating fuel performance material libraries</w:t>
      </w:r>
      <w:r>
        <w:rPr>
          <w:rFonts w:cs="Times New Roman"/>
          <w:szCs w:val="24"/>
        </w:rPr>
        <w:t xml:space="preserve"> </w:t>
      </w:r>
      <w:r w:rsidR="00D00A8B">
        <w:rPr>
          <w:rFonts w:cs="Times New Roman"/>
          <w:szCs w:val="24"/>
        </w:rPr>
        <w:fldChar w:fldCharType="begin"/>
      </w:r>
      <w:r w:rsidR="00817846">
        <w:rPr>
          <w:rFonts w:cs="Times New Roman"/>
          <w:szCs w:val="24"/>
        </w:rPr>
        <w:instrText xml:space="preserve"> ADDIN EN.CITE &lt;EndNote&gt;&lt;Cite&gt;&lt;Author&gt;Hales&lt;/Author&gt;&lt;Year&gt;2013&lt;/Year&gt;&lt;RecNum&gt;24&lt;/RecNum&gt;&lt;DisplayText&gt;[30]&lt;/DisplayText&gt;&lt;record&gt;&lt;rec-number&gt;24&lt;/rec-number&gt;&lt;foreign-keys&gt;&lt;key app="EN" db-id="trfxzx057wwv0qe0vz1vttttwf0522tvtwpt" timestamp="1422125321"&gt;24&lt;/key&gt;&lt;/foreign-keys&gt;&lt;ref-type name="Journal Article"&gt;17&lt;/ref-type&gt;&lt;contributors&gt;&lt;authors&gt;&lt;author&gt;Hales, JD&lt;/author&gt;&lt;author&gt;Novascone, SR&lt;/author&gt;&lt;author&gt;Pastore, G&lt;/author&gt;&lt;author&gt;Perez, DM&lt;/author&gt;&lt;author&gt;Spencer, BW&lt;/author&gt;&lt;author&gt;Williamson, RL&lt;/author&gt;&lt;/authors&gt;&lt;/contributors&gt;&lt;titles&gt;&lt;title&gt;BISON Theory Manual The Equations Behind Nuclear Fuel Analysis&lt;/title&gt;&lt;/titles&gt;&lt;dates&gt;&lt;year&gt;2013&lt;/year&gt;&lt;/dates&gt;&lt;urls&gt;&lt;/urls&gt;&lt;/record&gt;&lt;/Cite&gt;&lt;/EndNote&gt;</w:instrText>
      </w:r>
      <w:r w:rsidR="00D00A8B">
        <w:rPr>
          <w:rFonts w:cs="Times New Roman"/>
          <w:szCs w:val="24"/>
        </w:rPr>
        <w:fldChar w:fldCharType="separate"/>
      </w:r>
      <w:r w:rsidR="00817846">
        <w:rPr>
          <w:rFonts w:cs="Times New Roman"/>
          <w:noProof/>
          <w:szCs w:val="24"/>
        </w:rPr>
        <w:t>[</w:t>
      </w:r>
      <w:hyperlink w:anchor="_ENREF_30" w:tooltip="Hales, 2013 #24" w:history="1">
        <w:r w:rsidR="00DF20CB">
          <w:rPr>
            <w:rFonts w:cs="Times New Roman"/>
            <w:noProof/>
            <w:szCs w:val="24"/>
          </w:rPr>
          <w:t>30</w:t>
        </w:r>
      </w:hyperlink>
      <w:r w:rsidR="00817846">
        <w:rPr>
          <w:rFonts w:cs="Times New Roman"/>
          <w:noProof/>
          <w:szCs w:val="24"/>
        </w:rPr>
        <w:t>]</w:t>
      </w:r>
      <w:r w:rsidR="00D00A8B">
        <w:rPr>
          <w:rFonts w:cs="Times New Roman"/>
          <w:szCs w:val="24"/>
        </w:rPr>
        <w:fldChar w:fldCharType="end"/>
      </w:r>
      <w:r w:rsidR="008D0110">
        <w:rPr>
          <w:rFonts w:cs="Times New Roman"/>
          <w:szCs w:val="24"/>
        </w:rPr>
        <w:t>.</w:t>
      </w:r>
    </w:p>
    <w:p w14:paraId="7E2B16BB" w14:textId="77777777" w:rsidR="00B44FDD" w:rsidRPr="00DE4EE4" w:rsidRDefault="00B44FDD" w:rsidP="0091793B">
      <w:pPr>
        <w:spacing w:line="360" w:lineRule="auto"/>
        <w:jc w:val="both"/>
        <w:rPr>
          <w:rFonts w:cs="Times New Roman"/>
          <w:szCs w:val="24"/>
        </w:rPr>
      </w:pPr>
    </w:p>
    <w:p w14:paraId="561405A2" w14:textId="77777777" w:rsidR="00317220" w:rsidRDefault="00317220" w:rsidP="0091793B">
      <w:pPr>
        <w:spacing w:line="360" w:lineRule="auto"/>
        <w:jc w:val="both"/>
        <w:rPr>
          <w:rFonts w:cs="Times New Roman"/>
          <w:b/>
          <w:sz w:val="28"/>
        </w:rPr>
      </w:pPr>
      <w:r>
        <w:rPr>
          <w:rFonts w:cs="Times New Roman"/>
          <w:b/>
          <w:sz w:val="28"/>
        </w:rPr>
        <w:t>II</w:t>
      </w:r>
      <w:r w:rsidR="00930141" w:rsidRPr="00930141">
        <w:rPr>
          <w:rFonts w:cs="Times New Roman"/>
          <w:b/>
          <w:sz w:val="28"/>
        </w:rPr>
        <w:t>.</w:t>
      </w:r>
      <w:r w:rsidR="0030764F">
        <w:rPr>
          <w:rFonts w:cs="Times New Roman"/>
          <w:b/>
          <w:sz w:val="28"/>
        </w:rPr>
        <w:t>E</w:t>
      </w:r>
      <w:r w:rsidR="00930141" w:rsidRPr="00930141">
        <w:rPr>
          <w:rFonts w:cs="Times New Roman"/>
          <w:b/>
          <w:sz w:val="28"/>
        </w:rPr>
        <w:t>.</w:t>
      </w:r>
      <w:r w:rsidR="00930141" w:rsidRPr="00930141">
        <w:rPr>
          <w:rFonts w:cs="Times New Roman"/>
          <w:b/>
          <w:sz w:val="28"/>
        </w:rPr>
        <w:tab/>
      </w:r>
      <w:r w:rsidR="00930141" w:rsidRPr="00930141">
        <w:rPr>
          <w:rFonts w:cs="Times New Roman"/>
          <w:b/>
          <w:sz w:val="28"/>
        </w:rPr>
        <w:tab/>
      </w:r>
      <w:r w:rsidR="008424D2" w:rsidRPr="00930141">
        <w:rPr>
          <w:rFonts w:cs="Times New Roman"/>
          <w:b/>
          <w:sz w:val="28"/>
        </w:rPr>
        <w:t xml:space="preserve">Reactor </w:t>
      </w:r>
      <w:r w:rsidR="00314B71">
        <w:rPr>
          <w:rFonts w:cs="Times New Roman"/>
          <w:b/>
          <w:sz w:val="28"/>
        </w:rPr>
        <w:t xml:space="preserve">Physics </w:t>
      </w:r>
      <w:r w:rsidR="006705CB" w:rsidRPr="00930141">
        <w:rPr>
          <w:rFonts w:cs="Times New Roman"/>
          <w:b/>
          <w:sz w:val="28"/>
        </w:rPr>
        <w:t>M</w:t>
      </w:r>
      <w:r w:rsidR="008424D2" w:rsidRPr="00930141">
        <w:rPr>
          <w:rFonts w:cs="Times New Roman"/>
          <w:b/>
          <w:sz w:val="28"/>
        </w:rPr>
        <w:t>odeling</w:t>
      </w:r>
      <w:r w:rsidR="0030764F">
        <w:rPr>
          <w:rFonts w:cs="Times New Roman"/>
          <w:b/>
          <w:sz w:val="28"/>
        </w:rPr>
        <w:t xml:space="preserve"> and Simulation</w:t>
      </w:r>
    </w:p>
    <w:p w14:paraId="592901E0" w14:textId="77777777" w:rsidR="000808D8" w:rsidRDefault="005252F1" w:rsidP="0091793B">
      <w:pPr>
        <w:spacing w:line="360" w:lineRule="auto"/>
        <w:jc w:val="both"/>
        <w:rPr>
          <w:rFonts w:cs="Times New Roman"/>
          <w:szCs w:val="24"/>
        </w:rPr>
      </w:pPr>
      <w:r w:rsidRPr="00930141">
        <w:rPr>
          <w:rFonts w:cs="Times New Roman"/>
          <w:szCs w:val="24"/>
        </w:rPr>
        <w:t xml:space="preserve">When considering all of the different </w:t>
      </w:r>
      <w:r w:rsidR="007257D7">
        <w:rPr>
          <w:rFonts w:cs="Times New Roman"/>
          <w:szCs w:val="24"/>
        </w:rPr>
        <w:t xml:space="preserve">full-core </w:t>
      </w:r>
      <w:r w:rsidRPr="00930141">
        <w:rPr>
          <w:rFonts w:cs="Times New Roman"/>
          <w:szCs w:val="24"/>
        </w:rPr>
        <w:t xml:space="preserve">analyses </w:t>
      </w:r>
      <w:r w:rsidR="00D51F92">
        <w:rPr>
          <w:rFonts w:cs="Times New Roman"/>
          <w:szCs w:val="24"/>
        </w:rPr>
        <w:t>on</w:t>
      </w:r>
      <w:r w:rsidR="007257D7">
        <w:rPr>
          <w:rFonts w:cs="Times New Roman"/>
          <w:szCs w:val="24"/>
        </w:rPr>
        <w:t>e can perform</w:t>
      </w:r>
      <w:r w:rsidRPr="00930141">
        <w:rPr>
          <w:rFonts w:cs="Times New Roman"/>
          <w:szCs w:val="24"/>
        </w:rPr>
        <w:t>: neutronics, material performance, thermal hydraulics, fluid dynamics, it is nearly impossible to accurately model all of the inner workings of a reactor</w:t>
      </w:r>
      <w:r w:rsidR="007A6B2B" w:rsidRPr="00930141">
        <w:rPr>
          <w:rFonts w:cs="Times New Roman"/>
          <w:szCs w:val="24"/>
        </w:rPr>
        <w:t xml:space="preserve"> with the same code</w:t>
      </w:r>
      <w:r w:rsidRPr="00930141">
        <w:rPr>
          <w:rFonts w:cs="Times New Roman"/>
          <w:szCs w:val="24"/>
        </w:rPr>
        <w:t xml:space="preserve">. For the scope of </w:t>
      </w:r>
      <w:r w:rsidR="007A6B2B" w:rsidRPr="00930141">
        <w:rPr>
          <w:rFonts w:cs="Times New Roman"/>
          <w:szCs w:val="24"/>
        </w:rPr>
        <w:t>t</w:t>
      </w:r>
      <w:r w:rsidRPr="00930141">
        <w:rPr>
          <w:rFonts w:cs="Times New Roman"/>
          <w:szCs w:val="24"/>
        </w:rPr>
        <w:t>his dissertation, t</w:t>
      </w:r>
      <w:r w:rsidR="003D5ECD" w:rsidRPr="00930141">
        <w:rPr>
          <w:rFonts w:cs="Times New Roman"/>
          <w:szCs w:val="24"/>
        </w:rPr>
        <w:t xml:space="preserve">he final objective </w:t>
      </w:r>
      <w:r w:rsidR="007A6B2B" w:rsidRPr="00930141">
        <w:rPr>
          <w:rFonts w:cs="Times New Roman"/>
          <w:szCs w:val="24"/>
        </w:rPr>
        <w:t xml:space="preserve">was to simulate </w:t>
      </w:r>
      <w:r w:rsidR="007257D7">
        <w:rPr>
          <w:rFonts w:cs="Times New Roman"/>
          <w:szCs w:val="24"/>
        </w:rPr>
        <w:t xml:space="preserve">BWR </w:t>
      </w:r>
      <w:r w:rsidR="007A6B2B" w:rsidRPr="00930141">
        <w:rPr>
          <w:rFonts w:cs="Times New Roman"/>
          <w:szCs w:val="24"/>
        </w:rPr>
        <w:t xml:space="preserve">ATF </w:t>
      </w:r>
      <w:r w:rsidR="003D5ECD" w:rsidRPr="00930141">
        <w:rPr>
          <w:rFonts w:cs="Times New Roman"/>
          <w:szCs w:val="24"/>
        </w:rPr>
        <w:t xml:space="preserve">fuel </w:t>
      </w:r>
      <w:r w:rsidR="008424D2" w:rsidRPr="00930141">
        <w:rPr>
          <w:rFonts w:cs="Times New Roman"/>
          <w:szCs w:val="24"/>
        </w:rPr>
        <w:t>in</w:t>
      </w:r>
      <w:r w:rsidR="003D5ECD" w:rsidRPr="00930141">
        <w:rPr>
          <w:rFonts w:cs="Times New Roman"/>
          <w:szCs w:val="24"/>
        </w:rPr>
        <w:t xml:space="preserve"> </w:t>
      </w:r>
      <w:r w:rsidR="007A6B2B" w:rsidRPr="00930141">
        <w:rPr>
          <w:rFonts w:cs="Times New Roman"/>
          <w:szCs w:val="24"/>
        </w:rPr>
        <w:t xml:space="preserve">a 3D </w:t>
      </w:r>
      <w:r w:rsidR="003D5ECD" w:rsidRPr="00930141">
        <w:rPr>
          <w:rFonts w:cs="Times New Roman"/>
          <w:szCs w:val="24"/>
        </w:rPr>
        <w:t>nodal simulator with thermal hydraulic feedback. Accomplishing this allows f</w:t>
      </w:r>
      <w:r w:rsidR="007257D7">
        <w:rPr>
          <w:rFonts w:cs="Times New Roman"/>
          <w:szCs w:val="24"/>
        </w:rPr>
        <w:t xml:space="preserve">or analysis </w:t>
      </w:r>
      <w:r w:rsidR="00C34A55">
        <w:rPr>
          <w:rFonts w:cs="Times New Roman"/>
          <w:szCs w:val="24"/>
        </w:rPr>
        <w:t>of core properties, such as</w:t>
      </w:r>
      <w:r w:rsidR="007257D7">
        <w:rPr>
          <w:rFonts w:cs="Times New Roman"/>
          <w:szCs w:val="24"/>
        </w:rPr>
        <w:t xml:space="preserve"> reactivity</w:t>
      </w:r>
      <w:r w:rsidR="00C34A55">
        <w:rPr>
          <w:rFonts w:cs="Times New Roman"/>
          <w:szCs w:val="24"/>
        </w:rPr>
        <w:t xml:space="preserve"> and</w:t>
      </w:r>
      <w:r w:rsidR="003D5ECD" w:rsidRPr="00930141">
        <w:rPr>
          <w:rFonts w:cs="Times New Roman"/>
          <w:szCs w:val="24"/>
        </w:rPr>
        <w:t xml:space="preserve"> </w:t>
      </w:r>
      <w:r w:rsidR="003D5ECD" w:rsidRPr="00C34A55">
        <w:rPr>
          <w:rFonts w:cs="Times New Roman"/>
          <w:szCs w:val="24"/>
        </w:rPr>
        <w:t xml:space="preserve">linear </w:t>
      </w:r>
      <w:r w:rsidR="00C34A55" w:rsidRPr="00C34A55">
        <w:rPr>
          <w:rFonts w:cs="Times New Roman"/>
          <w:szCs w:val="24"/>
        </w:rPr>
        <w:t>heat rate</w:t>
      </w:r>
      <w:r w:rsidR="003D5ECD" w:rsidRPr="00C34A55">
        <w:rPr>
          <w:rFonts w:cs="Times New Roman"/>
          <w:szCs w:val="24"/>
        </w:rPr>
        <w:t xml:space="preserve"> coupled with feedback mechanisms such as </w:t>
      </w:r>
      <w:r w:rsidR="007257D7" w:rsidRPr="00C34A55">
        <w:rPr>
          <w:rFonts w:cs="Times New Roman"/>
          <w:szCs w:val="24"/>
        </w:rPr>
        <w:t>coolant density, fuel temperature</w:t>
      </w:r>
      <w:r w:rsidR="003D5ECD" w:rsidRPr="00C34A55">
        <w:rPr>
          <w:rFonts w:cs="Times New Roman"/>
          <w:szCs w:val="24"/>
        </w:rPr>
        <w:t xml:space="preserve"> and </w:t>
      </w:r>
      <w:r w:rsidR="006224E8">
        <w:rPr>
          <w:rFonts w:cs="Times New Roman"/>
          <w:szCs w:val="24"/>
        </w:rPr>
        <w:t>CB</w:t>
      </w:r>
      <w:r w:rsidR="007257D7" w:rsidRPr="00C34A55">
        <w:rPr>
          <w:rFonts w:cs="Times New Roman"/>
          <w:szCs w:val="24"/>
        </w:rPr>
        <w:t xml:space="preserve"> insertion</w:t>
      </w:r>
      <w:r w:rsidR="003D5ECD" w:rsidRPr="00930141">
        <w:rPr>
          <w:rFonts w:cs="Times New Roman"/>
          <w:szCs w:val="24"/>
        </w:rPr>
        <w:t xml:space="preserve"> fluctuations. However before this process can be done, many steps must first take place analyzing the fuel in zero, one and two-dimensions.</w:t>
      </w:r>
      <w:r w:rsidR="008424D2" w:rsidRPr="00930141">
        <w:rPr>
          <w:rFonts w:cs="Times New Roman"/>
          <w:szCs w:val="24"/>
        </w:rPr>
        <w:t xml:space="preserve"> </w:t>
      </w:r>
      <w:r w:rsidR="003D5ECD" w:rsidRPr="00930141">
        <w:rPr>
          <w:rFonts w:cs="Times New Roman"/>
          <w:szCs w:val="24"/>
        </w:rPr>
        <w:t xml:space="preserve"> </w:t>
      </w:r>
      <w:r w:rsidR="008424D2" w:rsidRPr="00930141">
        <w:rPr>
          <w:rFonts w:cs="Times New Roman"/>
          <w:szCs w:val="24"/>
        </w:rPr>
        <w:t>The fo</w:t>
      </w:r>
      <w:r w:rsidRPr="00930141">
        <w:rPr>
          <w:rFonts w:cs="Times New Roman"/>
          <w:szCs w:val="24"/>
        </w:rPr>
        <w:t xml:space="preserve">llowing section will discuss the availability of various </w:t>
      </w:r>
      <w:r w:rsidR="008424D2" w:rsidRPr="00930141">
        <w:rPr>
          <w:rFonts w:cs="Times New Roman"/>
          <w:szCs w:val="24"/>
        </w:rPr>
        <w:t xml:space="preserve">2D </w:t>
      </w:r>
      <w:r w:rsidR="00CA752A">
        <w:rPr>
          <w:rFonts w:cs="Times New Roman"/>
          <w:szCs w:val="24"/>
        </w:rPr>
        <w:t xml:space="preserve">neutron transport </w:t>
      </w:r>
      <w:r w:rsidR="007257D7">
        <w:rPr>
          <w:rFonts w:cs="Times New Roman"/>
          <w:szCs w:val="24"/>
        </w:rPr>
        <w:t>and</w:t>
      </w:r>
      <w:r w:rsidR="00CA752A">
        <w:rPr>
          <w:rFonts w:cs="Times New Roman"/>
          <w:szCs w:val="24"/>
        </w:rPr>
        <w:t xml:space="preserve"> </w:t>
      </w:r>
      <w:r w:rsidR="008424D2" w:rsidRPr="00930141">
        <w:rPr>
          <w:rFonts w:cs="Times New Roman"/>
          <w:szCs w:val="24"/>
        </w:rPr>
        <w:t>full cor</w:t>
      </w:r>
      <w:r w:rsidR="00317220">
        <w:rPr>
          <w:rFonts w:cs="Times New Roman"/>
          <w:szCs w:val="24"/>
        </w:rPr>
        <w:t>e</w:t>
      </w:r>
      <w:r w:rsidRPr="00930141">
        <w:rPr>
          <w:rFonts w:cs="Times New Roman"/>
          <w:szCs w:val="24"/>
        </w:rPr>
        <w:t xml:space="preserve"> simulators</w:t>
      </w:r>
      <w:r w:rsidR="00051BA9" w:rsidRPr="00930141">
        <w:rPr>
          <w:rFonts w:cs="Times New Roman"/>
          <w:szCs w:val="24"/>
        </w:rPr>
        <w:t xml:space="preserve"> that are used for research and industry applications</w:t>
      </w:r>
      <w:r w:rsidRPr="00930141">
        <w:rPr>
          <w:rFonts w:cs="Times New Roman"/>
          <w:szCs w:val="24"/>
        </w:rPr>
        <w:t xml:space="preserve">. </w:t>
      </w:r>
    </w:p>
    <w:p w14:paraId="3D660D45" w14:textId="77777777" w:rsidR="00E4261C" w:rsidRPr="00930141" w:rsidRDefault="00E4261C" w:rsidP="0091793B">
      <w:pPr>
        <w:spacing w:line="360" w:lineRule="auto"/>
        <w:jc w:val="both"/>
        <w:rPr>
          <w:rFonts w:cs="Times New Roman"/>
          <w:szCs w:val="24"/>
        </w:rPr>
      </w:pPr>
    </w:p>
    <w:p w14:paraId="1539C90B" w14:textId="77777777" w:rsidR="005252F1" w:rsidRPr="00930141" w:rsidRDefault="00317220" w:rsidP="0091793B">
      <w:pPr>
        <w:spacing w:line="360" w:lineRule="auto"/>
        <w:jc w:val="both"/>
        <w:rPr>
          <w:rFonts w:cs="Times New Roman"/>
          <w:b/>
          <w:szCs w:val="24"/>
        </w:rPr>
      </w:pPr>
      <w:r>
        <w:rPr>
          <w:rFonts w:cs="Times New Roman"/>
          <w:b/>
          <w:szCs w:val="24"/>
        </w:rPr>
        <w:lastRenderedPageBreak/>
        <w:t>II</w:t>
      </w:r>
      <w:r w:rsidR="00930141" w:rsidRPr="00930141">
        <w:rPr>
          <w:rFonts w:cs="Times New Roman"/>
          <w:b/>
          <w:szCs w:val="24"/>
        </w:rPr>
        <w:t>.</w:t>
      </w:r>
      <w:r w:rsidR="00CD06E6">
        <w:rPr>
          <w:rFonts w:cs="Times New Roman"/>
          <w:b/>
          <w:szCs w:val="24"/>
        </w:rPr>
        <w:t>E</w:t>
      </w:r>
      <w:r w:rsidR="00930141" w:rsidRPr="00930141">
        <w:rPr>
          <w:rFonts w:cs="Times New Roman"/>
          <w:b/>
          <w:szCs w:val="24"/>
        </w:rPr>
        <w:t>.1</w:t>
      </w:r>
      <w:r w:rsidR="00930141" w:rsidRPr="00930141">
        <w:rPr>
          <w:rFonts w:cs="Times New Roman"/>
          <w:b/>
          <w:szCs w:val="24"/>
        </w:rPr>
        <w:tab/>
      </w:r>
      <w:r w:rsidR="00930141" w:rsidRPr="00930141">
        <w:rPr>
          <w:rFonts w:cs="Times New Roman"/>
          <w:b/>
          <w:szCs w:val="24"/>
        </w:rPr>
        <w:tab/>
      </w:r>
      <w:r w:rsidR="005252F1" w:rsidRPr="00930141">
        <w:rPr>
          <w:rFonts w:cs="Times New Roman"/>
          <w:b/>
          <w:szCs w:val="24"/>
        </w:rPr>
        <w:t xml:space="preserve">Lattice Physics </w:t>
      </w:r>
    </w:p>
    <w:p w14:paraId="64E2563A" w14:textId="13B307F5" w:rsidR="00930141" w:rsidRDefault="007257D7" w:rsidP="0091793B">
      <w:pPr>
        <w:spacing w:line="360" w:lineRule="auto"/>
        <w:jc w:val="both"/>
        <w:rPr>
          <w:rFonts w:cs="Times New Roman"/>
          <w:szCs w:val="24"/>
        </w:rPr>
      </w:pPr>
      <w:r>
        <w:rPr>
          <w:rFonts w:cs="Times New Roman"/>
          <w:szCs w:val="24"/>
        </w:rPr>
        <w:t xml:space="preserve">When performing </w:t>
      </w:r>
      <w:r w:rsidR="00476174">
        <w:rPr>
          <w:rFonts w:cs="Times New Roman"/>
          <w:szCs w:val="24"/>
        </w:rPr>
        <w:t xml:space="preserve">reactor physics </w:t>
      </w:r>
      <w:r>
        <w:rPr>
          <w:rFonts w:cs="Times New Roman"/>
          <w:szCs w:val="24"/>
        </w:rPr>
        <w:t>calculations</w:t>
      </w:r>
      <w:r w:rsidR="00476174">
        <w:rPr>
          <w:rFonts w:cs="Times New Roman"/>
          <w:szCs w:val="24"/>
        </w:rPr>
        <w:t>, there are two types of neutron transport codes available</w:t>
      </w:r>
      <w:r w:rsidR="00DF156F">
        <w:rPr>
          <w:rFonts w:cs="Times New Roman"/>
          <w:szCs w:val="24"/>
        </w:rPr>
        <w:t xml:space="preserve">: stochastic and deterministic. </w:t>
      </w:r>
      <w:r w:rsidR="00476174">
        <w:rPr>
          <w:rFonts w:cs="Times New Roman"/>
          <w:szCs w:val="24"/>
        </w:rPr>
        <w:t>Stochastic neutron transport codes use probabilistic</w:t>
      </w:r>
      <w:r w:rsidR="00F1588E">
        <w:rPr>
          <w:rFonts w:cs="Times New Roman"/>
          <w:szCs w:val="24"/>
        </w:rPr>
        <w:t xml:space="preserve"> algorithms such as</w:t>
      </w:r>
      <w:r w:rsidR="00476174">
        <w:rPr>
          <w:rFonts w:cs="Times New Roman"/>
          <w:szCs w:val="24"/>
        </w:rPr>
        <w:t xml:space="preserve"> </w:t>
      </w:r>
      <w:r w:rsidR="00E451CB">
        <w:rPr>
          <w:rFonts w:cs="Times New Roman"/>
          <w:szCs w:val="24"/>
        </w:rPr>
        <w:t>M</w:t>
      </w:r>
      <w:r w:rsidR="00476174">
        <w:rPr>
          <w:rFonts w:cs="Times New Roman"/>
          <w:szCs w:val="24"/>
        </w:rPr>
        <w:t xml:space="preserve">onte </w:t>
      </w:r>
      <w:r w:rsidR="00E451CB">
        <w:rPr>
          <w:rFonts w:cs="Times New Roman"/>
          <w:szCs w:val="24"/>
        </w:rPr>
        <w:t>C</w:t>
      </w:r>
      <w:r w:rsidR="003E246F">
        <w:rPr>
          <w:rFonts w:cs="Times New Roman"/>
          <w:szCs w:val="24"/>
        </w:rPr>
        <w:t xml:space="preserve">arlo to approximate </w:t>
      </w:r>
      <w:r w:rsidR="00117B6B">
        <w:rPr>
          <w:rFonts w:cs="Times New Roman"/>
          <w:szCs w:val="24"/>
        </w:rPr>
        <w:t>the k-effective eigenvalue</w:t>
      </w:r>
      <w:r w:rsidR="00476174">
        <w:rPr>
          <w:rFonts w:cs="Times New Roman"/>
          <w:szCs w:val="24"/>
        </w:rPr>
        <w:t xml:space="preserve">, while deterministic codes </w:t>
      </w:r>
      <w:r w:rsidR="00117B6B">
        <w:rPr>
          <w:rFonts w:cs="Times New Roman"/>
          <w:szCs w:val="24"/>
        </w:rPr>
        <w:t>solve the Boltzmann’s Equation</w:t>
      </w:r>
      <w:r w:rsidR="00E451CB">
        <w:rPr>
          <w:rFonts w:cs="Times New Roman"/>
          <w:szCs w:val="24"/>
        </w:rPr>
        <w:t xml:space="preserve"> using discrete ordinates or method of characteristics. </w:t>
      </w:r>
      <w:r w:rsidR="00BA450E">
        <w:rPr>
          <w:rFonts w:cs="Times New Roman"/>
          <w:szCs w:val="24"/>
        </w:rPr>
        <w:t xml:space="preserve">In order to calculate interaction probabilities as a function of particle energy, cross-section data from libraries such as ENDF and JEFF </w:t>
      </w:r>
      <w:r>
        <w:rPr>
          <w:rFonts w:cs="Times New Roman"/>
          <w:szCs w:val="24"/>
        </w:rPr>
        <w:t>can be</w:t>
      </w:r>
      <w:r w:rsidR="00BA450E">
        <w:rPr>
          <w:rFonts w:cs="Times New Roman"/>
          <w:szCs w:val="24"/>
        </w:rPr>
        <w:t xml:space="preserve"> utilized. </w:t>
      </w:r>
    </w:p>
    <w:p w14:paraId="5A12E7DA" w14:textId="77777777" w:rsidR="00F1588E" w:rsidRDefault="00F95405" w:rsidP="0091793B">
      <w:pPr>
        <w:spacing w:line="360" w:lineRule="auto"/>
        <w:jc w:val="both"/>
        <w:rPr>
          <w:rFonts w:cs="Times New Roman"/>
          <w:szCs w:val="24"/>
        </w:rPr>
      </w:pPr>
      <w:r>
        <w:rPr>
          <w:rFonts w:cs="Times New Roman"/>
          <w:szCs w:val="24"/>
        </w:rPr>
        <w:t>S</w:t>
      </w:r>
      <w:r w:rsidR="00F1588E">
        <w:rPr>
          <w:rFonts w:cs="Times New Roman"/>
          <w:szCs w:val="24"/>
        </w:rPr>
        <w:t xml:space="preserve">tochastic codes that are currently maintained for reactor applications include: MCNP, SERPENT, KENO and SHIFT. </w:t>
      </w:r>
      <w:r>
        <w:rPr>
          <w:rFonts w:cs="Times New Roman"/>
          <w:szCs w:val="24"/>
        </w:rPr>
        <w:t xml:space="preserve">These codes </w:t>
      </w:r>
      <w:r w:rsidR="003866CA">
        <w:rPr>
          <w:rFonts w:cs="Times New Roman"/>
          <w:szCs w:val="24"/>
        </w:rPr>
        <w:t xml:space="preserve">use a certain number of specified particles (histories) per generation to </w:t>
      </w:r>
      <w:r w:rsidR="003866CA" w:rsidRPr="00C34A55">
        <w:rPr>
          <w:rFonts w:cs="Times New Roman"/>
          <w:szCs w:val="24"/>
        </w:rPr>
        <w:t>calculate an approximate answer to an exact geometry layout. By tracking the particles position</w:t>
      </w:r>
      <w:r w:rsidR="00C34A55">
        <w:rPr>
          <w:rFonts w:cs="Times New Roman"/>
          <w:szCs w:val="24"/>
        </w:rPr>
        <w:t>, direction</w:t>
      </w:r>
      <w:r w:rsidRPr="00C34A55">
        <w:rPr>
          <w:rFonts w:cs="Times New Roman"/>
          <w:szCs w:val="24"/>
        </w:rPr>
        <w:t xml:space="preserve"> </w:t>
      </w:r>
      <w:r w:rsidR="00C34A55">
        <w:rPr>
          <w:rFonts w:cs="Times New Roman"/>
          <w:szCs w:val="24"/>
        </w:rPr>
        <w:t>and energy,</w:t>
      </w:r>
      <w:r w:rsidRPr="00C34A55">
        <w:rPr>
          <w:rFonts w:cs="Times New Roman"/>
          <w:szCs w:val="24"/>
        </w:rPr>
        <w:t xml:space="preserve"> interaction probabilities</w:t>
      </w:r>
      <w:r w:rsidR="003866CA">
        <w:rPr>
          <w:rFonts w:cs="Times New Roman"/>
          <w:szCs w:val="24"/>
        </w:rPr>
        <w:t xml:space="preserve"> </w:t>
      </w:r>
      <w:r>
        <w:rPr>
          <w:rFonts w:cs="Times New Roman"/>
          <w:szCs w:val="24"/>
        </w:rPr>
        <w:t xml:space="preserve">from the reactor’s compositions </w:t>
      </w:r>
      <w:r w:rsidR="003866CA">
        <w:rPr>
          <w:rFonts w:cs="Times New Roman"/>
          <w:szCs w:val="24"/>
        </w:rPr>
        <w:t>are evaluated and the eigenvalue can be calculated to a certain standard error. With the exception of KENO</w:t>
      </w:r>
      <w:r w:rsidR="003866CA">
        <w:rPr>
          <w:rFonts w:cs="Times New Roman"/>
          <w:szCs w:val="24"/>
          <w:vertAlign w:val="superscript"/>
        </w:rPr>
        <w:t>1</w:t>
      </w:r>
      <w:r w:rsidR="003866CA">
        <w:rPr>
          <w:rFonts w:cs="Times New Roman"/>
          <w:szCs w:val="24"/>
        </w:rPr>
        <w:t xml:space="preserve">, all of these codes utilize a continuous energy spectrum </w:t>
      </w:r>
      <w:r>
        <w:rPr>
          <w:rFonts w:cs="Times New Roman"/>
          <w:szCs w:val="24"/>
        </w:rPr>
        <w:t>when binning a particle’s energy (</w:t>
      </w:r>
      <w:r>
        <w:rPr>
          <w:rFonts w:cs="Times New Roman"/>
          <w:szCs w:val="24"/>
          <w:vertAlign w:val="superscript"/>
        </w:rPr>
        <w:t>1</w:t>
      </w:r>
      <w:r w:rsidR="007257D7">
        <w:rPr>
          <w:rFonts w:cs="Times New Roman"/>
          <w:szCs w:val="24"/>
        </w:rPr>
        <w:t>Continuous Energy</w:t>
      </w:r>
      <w:r>
        <w:rPr>
          <w:rFonts w:cs="Times New Roman"/>
          <w:szCs w:val="24"/>
        </w:rPr>
        <w:t xml:space="preserve">-KENO in development). </w:t>
      </w:r>
    </w:p>
    <w:p w14:paraId="22558EE8" w14:textId="31959D68" w:rsidR="00CE5127" w:rsidRPr="00BA450E" w:rsidRDefault="00CE5127" w:rsidP="0091793B">
      <w:pPr>
        <w:spacing w:line="360" w:lineRule="auto"/>
        <w:jc w:val="both"/>
        <w:rPr>
          <w:rFonts w:cs="Times New Roman"/>
          <w:szCs w:val="24"/>
        </w:rPr>
      </w:pPr>
      <w:r>
        <w:rPr>
          <w:rFonts w:cs="Times New Roman"/>
          <w:szCs w:val="24"/>
        </w:rPr>
        <w:t>Nuclear vendors: General Electric</w:t>
      </w:r>
      <w:r w:rsidR="00043FE7">
        <w:rPr>
          <w:rFonts w:cs="Times New Roman"/>
          <w:szCs w:val="24"/>
        </w:rPr>
        <w:t xml:space="preserve"> (GE)</w:t>
      </w:r>
      <w:r>
        <w:rPr>
          <w:rFonts w:cs="Times New Roman"/>
          <w:szCs w:val="24"/>
        </w:rPr>
        <w:t xml:space="preserve">, Westinghouse, AREVA, etc. use deterministic transport solvers when optimizing fuel bundles prior to their construction. CASMO is an industry sponsored code developed by </w:t>
      </w:r>
      <w:r w:rsidR="00D47E61">
        <w:rPr>
          <w:rFonts w:cs="Times New Roman"/>
          <w:szCs w:val="24"/>
        </w:rPr>
        <w:t xml:space="preserve">the Swedish company, Studsvik. </w:t>
      </w:r>
      <w:r>
        <w:rPr>
          <w:rFonts w:cs="Times New Roman"/>
          <w:szCs w:val="24"/>
        </w:rPr>
        <w:t>CAS</w:t>
      </w:r>
      <w:r w:rsidR="00096AE2">
        <w:rPr>
          <w:rFonts w:cs="Times New Roman"/>
          <w:szCs w:val="24"/>
        </w:rPr>
        <w:t>M</w:t>
      </w:r>
      <w:r>
        <w:rPr>
          <w:rFonts w:cs="Times New Roman"/>
          <w:szCs w:val="24"/>
        </w:rPr>
        <w:t xml:space="preserve">O uses </w:t>
      </w:r>
      <w:r w:rsidR="00D65CDA">
        <w:rPr>
          <w:rFonts w:cs="Times New Roman"/>
          <w:szCs w:val="24"/>
        </w:rPr>
        <w:t xml:space="preserve">Method of Characteristics </w:t>
      </w:r>
      <w:r>
        <w:rPr>
          <w:rFonts w:cs="Times New Roman"/>
          <w:szCs w:val="24"/>
        </w:rPr>
        <w:t>to solve the two-d</w:t>
      </w:r>
      <w:r w:rsidR="00921252">
        <w:rPr>
          <w:rFonts w:cs="Times New Roman"/>
          <w:szCs w:val="24"/>
        </w:rPr>
        <w:t xml:space="preserve">imensional transport solution </w:t>
      </w:r>
      <w:r w:rsidR="00921252">
        <w:rPr>
          <w:rFonts w:cs="Times New Roman"/>
          <w:szCs w:val="24"/>
        </w:rPr>
        <w:fldChar w:fldCharType="begin"/>
      </w:r>
      <w:r w:rsidR="00817846">
        <w:rPr>
          <w:rFonts w:cs="Times New Roman"/>
          <w:szCs w:val="24"/>
        </w:rPr>
        <w:instrText xml:space="preserve"> ADDIN EN.CITE &lt;EndNote&gt;&lt;Cite&gt;&lt;Author&gt;Smith&lt;/Author&gt;&lt;Year&gt;2000&lt;/Year&gt;&lt;RecNum&gt;95&lt;/RecNum&gt;&lt;DisplayText&gt;[31]&lt;/DisplayText&gt;&lt;record&gt;&lt;rec-number&gt;95&lt;/rec-number&gt;&lt;foreign-keys&gt;&lt;key app="EN" db-id="trfxzx057wwv0qe0vz1vttttwf0522tvtwpt" timestamp="1422295573"&gt;95&lt;/key&gt;&lt;/foreign-keys&gt;&lt;ref-type name="Journal Article"&gt;17&lt;/ref-type&gt;&lt;contributors&gt;&lt;authors&gt;&lt;author&gt;Smith, KS&lt;/author&gt;&lt;author&gt;Rhodes, JD&lt;/author&gt;&lt;/authors&gt;&lt;/contributors&gt;&lt;titles&gt;&lt;title&gt;CASMO-4 characteristics method for two-dimensional PWR and BWR core calculations&lt;/title&gt;&lt;secondary-title&gt;Trans. Am. Nucl. Soc&lt;/secondary-title&gt;&lt;/titles&gt;&lt;periodical&gt;&lt;full-title&gt;Trans. Am. Nucl. Soc&lt;/full-title&gt;&lt;/periodical&gt;&lt;pages&gt;294&lt;/pages&gt;&lt;volume&gt;83&lt;/volume&gt;&lt;dates&gt;&lt;year&gt;2000&lt;/year&gt;&lt;/dates&gt;&lt;urls&gt;&lt;/urls&gt;&lt;/record&gt;&lt;/Cite&gt;&lt;/EndNote&gt;</w:instrText>
      </w:r>
      <w:r w:rsidR="00921252">
        <w:rPr>
          <w:rFonts w:cs="Times New Roman"/>
          <w:szCs w:val="24"/>
        </w:rPr>
        <w:fldChar w:fldCharType="separate"/>
      </w:r>
      <w:r w:rsidR="00817846">
        <w:rPr>
          <w:rFonts w:cs="Times New Roman"/>
          <w:noProof/>
          <w:szCs w:val="24"/>
        </w:rPr>
        <w:t>[</w:t>
      </w:r>
      <w:hyperlink w:anchor="_ENREF_31" w:tooltip="Smith, 2000 #95" w:history="1">
        <w:r w:rsidR="00DF20CB">
          <w:rPr>
            <w:rFonts w:cs="Times New Roman"/>
            <w:noProof/>
            <w:szCs w:val="24"/>
          </w:rPr>
          <w:t>31</w:t>
        </w:r>
      </w:hyperlink>
      <w:r w:rsidR="00817846">
        <w:rPr>
          <w:rFonts w:cs="Times New Roman"/>
          <w:noProof/>
          <w:szCs w:val="24"/>
        </w:rPr>
        <w:t>]</w:t>
      </w:r>
      <w:r w:rsidR="00921252">
        <w:rPr>
          <w:rFonts w:cs="Times New Roman"/>
          <w:szCs w:val="24"/>
        </w:rPr>
        <w:fldChar w:fldCharType="end"/>
      </w:r>
      <w:r w:rsidR="00893829">
        <w:rPr>
          <w:rFonts w:cs="Times New Roman"/>
          <w:szCs w:val="24"/>
        </w:rPr>
        <w:t>.</w:t>
      </w:r>
      <w:r w:rsidR="00921252">
        <w:rPr>
          <w:rFonts w:cs="Times New Roman"/>
          <w:szCs w:val="24"/>
        </w:rPr>
        <w:t xml:space="preserve"> </w:t>
      </w:r>
      <w:r>
        <w:rPr>
          <w:rFonts w:cs="Times New Roman"/>
          <w:szCs w:val="24"/>
        </w:rPr>
        <w:t xml:space="preserve"> PARAGON, used at Westinghouse, solves the 2D lattice calculations based on collision probability and interface current coupling methods. Written in FORTRAN 90/95, PARAGON uses advanced numerical methods such as the Successive </w:t>
      </w:r>
      <w:r w:rsidR="00394CEB">
        <w:rPr>
          <w:rFonts w:cs="Times New Roman"/>
          <w:szCs w:val="24"/>
        </w:rPr>
        <w:t>over</w:t>
      </w:r>
      <w:r>
        <w:rPr>
          <w:rFonts w:cs="Times New Roman"/>
          <w:szCs w:val="24"/>
        </w:rPr>
        <w:t xml:space="preserve"> Relaxation method to significantly reduce computational runtimes </w:t>
      </w:r>
      <w:r w:rsidR="00E54D37">
        <w:rPr>
          <w:rFonts w:cs="Times New Roman"/>
          <w:szCs w:val="24"/>
        </w:rPr>
        <w:fldChar w:fldCharType="begin"/>
      </w:r>
      <w:r w:rsidR="00817846">
        <w:rPr>
          <w:rFonts w:cs="Times New Roman"/>
          <w:szCs w:val="24"/>
        </w:rPr>
        <w:instrText xml:space="preserve"> ADDIN EN.CITE &lt;EndNote&gt;&lt;Cite&gt;&lt;Author&gt;Kucukboyaci&lt;/Author&gt;&lt;Year&gt;2009&lt;/Year&gt;&lt;RecNum&gt;101&lt;/RecNum&gt;&lt;DisplayText&gt;[32]&lt;/DisplayText&gt;&lt;record&gt;&lt;rec-number&gt;101&lt;/rec-number&gt;&lt;foreign-keys&gt;&lt;key app="EN" db-id="trfxzx057wwv0qe0vz1vttttwf0522tvtwpt" timestamp="1422340730"&gt;101&lt;/key&gt;&lt;/foreign-keys&gt;&lt;ref-type name="Conference Proceedings"&gt;10&lt;/ref-type&gt;&lt;contributors&gt;&lt;authors&gt;&lt;author&gt;Kucukboyaci, Vefa N&lt;/author&gt;&lt;author&gt;Ouisloumen, Mohamed&lt;/author&gt;&lt;author&gt;Franceschini, Fausto&lt;/author&gt;&lt;/authors&gt;&lt;/contributors&gt;&lt;titles&gt;&lt;title&gt;Two-dimensional whole core transport calculations using PARAGON&lt;/title&gt;&lt;secondary-title&gt;Proc. Int. Conf. on Mathematics, Computational Methods &amp;amp; Reactor Physics (M&amp;amp;C 2009)&lt;/secondary-title&gt;&lt;/titles&gt;&lt;pages&gt;3-7&lt;/pages&gt;&lt;dates&gt;&lt;year&gt;2009&lt;/year&gt;&lt;/dates&gt;&lt;urls&gt;&lt;/urls&gt;&lt;/record&gt;&lt;/Cite&gt;&lt;/EndNote&gt;</w:instrText>
      </w:r>
      <w:r w:rsidR="00E54D37">
        <w:rPr>
          <w:rFonts w:cs="Times New Roman"/>
          <w:szCs w:val="24"/>
        </w:rPr>
        <w:fldChar w:fldCharType="separate"/>
      </w:r>
      <w:r w:rsidR="00817846">
        <w:rPr>
          <w:rFonts w:cs="Times New Roman"/>
          <w:noProof/>
          <w:szCs w:val="24"/>
        </w:rPr>
        <w:t>[</w:t>
      </w:r>
      <w:hyperlink w:anchor="_ENREF_32" w:tooltip="Kucukboyaci, 2009 #101" w:history="1">
        <w:r w:rsidR="00DF20CB">
          <w:rPr>
            <w:rFonts w:cs="Times New Roman"/>
            <w:noProof/>
            <w:szCs w:val="24"/>
          </w:rPr>
          <w:t>32</w:t>
        </w:r>
      </w:hyperlink>
      <w:r w:rsidR="00817846">
        <w:rPr>
          <w:rFonts w:cs="Times New Roman"/>
          <w:noProof/>
          <w:szCs w:val="24"/>
        </w:rPr>
        <w:t>]</w:t>
      </w:r>
      <w:r w:rsidR="00E54D37">
        <w:rPr>
          <w:rFonts w:cs="Times New Roman"/>
          <w:szCs w:val="24"/>
        </w:rPr>
        <w:fldChar w:fldCharType="end"/>
      </w:r>
      <w:r w:rsidR="00893829">
        <w:rPr>
          <w:rFonts w:cs="Times New Roman"/>
          <w:szCs w:val="24"/>
        </w:rPr>
        <w:t>.</w:t>
      </w:r>
    </w:p>
    <w:p w14:paraId="475825A9" w14:textId="77777777" w:rsidR="009F03F3" w:rsidRPr="00F57142" w:rsidRDefault="00F1588E" w:rsidP="0091793B">
      <w:pPr>
        <w:spacing w:line="360" w:lineRule="auto"/>
        <w:jc w:val="both"/>
        <w:rPr>
          <w:rFonts w:cs="Times New Roman"/>
          <w:szCs w:val="24"/>
        </w:rPr>
      </w:pPr>
      <w:r>
        <w:rPr>
          <w:rFonts w:cs="Times New Roman"/>
          <w:szCs w:val="24"/>
        </w:rPr>
        <w:t>Various non-industry deterministic codes include</w:t>
      </w:r>
      <w:r w:rsidR="009F5120">
        <w:rPr>
          <w:rFonts w:cs="Times New Roman"/>
          <w:szCs w:val="24"/>
        </w:rPr>
        <w:t>: NEWT, MPACT and DENOVO</w:t>
      </w:r>
      <w:r>
        <w:rPr>
          <w:rFonts w:cs="Times New Roman"/>
          <w:szCs w:val="24"/>
        </w:rPr>
        <w:t xml:space="preserve">. MPACT, which is developed at the University of Michigan, </w:t>
      </w:r>
      <w:r w:rsidR="00CE5127">
        <w:rPr>
          <w:rFonts w:cs="Times New Roman"/>
          <w:szCs w:val="24"/>
        </w:rPr>
        <w:t xml:space="preserve">also </w:t>
      </w:r>
      <w:r w:rsidR="00D65CDA">
        <w:rPr>
          <w:rFonts w:cs="Times New Roman"/>
          <w:szCs w:val="24"/>
        </w:rPr>
        <w:t>uses Method of Characteristics</w:t>
      </w:r>
      <w:r>
        <w:rPr>
          <w:rFonts w:cs="Times New Roman"/>
          <w:szCs w:val="24"/>
        </w:rPr>
        <w:t xml:space="preserve"> to solve the neutron transport problem. NE</w:t>
      </w:r>
      <w:r w:rsidR="003E246F">
        <w:rPr>
          <w:rFonts w:cs="Times New Roman"/>
          <w:szCs w:val="24"/>
        </w:rPr>
        <w:t>WT and</w:t>
      </w:r>
      <w:r w:rsidR="00FE09EF">
        <w:rPr>
          <w:rFonts w:cs="Times New Roman"/>
          <w:szCs w:val="24"/>
        </w:rPr>
        <w:t xml:space="preserve"> DENOVO </w:t>
      </w:r>
      <w:r w:rsidR="003E246F">
        <w:rPr>
          <w:rFonts w:cs="Times New Roman"/>
          <w:szCs w:val="24"/>
        </w:rPr>
        <w:t xml:space="preserve">however, </w:t>
      </w:r>
      <w:r w:rsidR="00FE09EF">
        <w:rPr>
          <w:rFonts w:cs="Times New Roman"/>
          <w:szCs w:val="24"/>
        </w:rPr>
        <w:t>use a specified Sn quadrature through discretized elements and energy groups.</w:t>
      </w:r>
      <w:r w:rsidR="009F5120">
        <w:rPr>
          <w:rFonts w:cs="Times New Roman"/>
          <w:szCs w:val="24"/>
        </w:rPr>
        <w:t xml:space="preserve"> All of these codes have the capability </w:t>
      </w:r>
      <w:r w:rsidR="004E2940">
        <w:rPr>
          <w:rFonts w:cs="Times New Roman"/>
          <w:szCs w:val="24"/>
        </w:rPr>
        <w:t xml:space="preserve">to generate homogenized </w:t>
      </w:r>
      <w:r w:rsidR="009F5120">
        <w:rPr>
          <w:rFonts w:cs="Times New Roman"/>
          <w:szCs w:val="24"/>
        </w:rPr>
        <w:t>few-group cross-section</w:t>
      </w:r>
      <w:r w:rsidR="004E2940">
        <w:rPr>
          <w:rFonts w:cs="Times New Roman"/>
          <w:szCs w:val="24"/>
        </w:rPr>
        <w:t>s</w:t>
      </w:r>
      <w:r w:rsidR="009F5120">
        <w:rPr>
          <w:rFonts w:cs="Times New Roman"/>
          <w:szCs w:val="24"/>
        </w:rPr>
        <w:t>.</w:t>
      </w:r>
      <w:r w:rsidR="004E2940">
        <w:rPr>
          <w:rFonts w:cs="Times New Roman"/>
          <w:szCs w:val="24"/>
        </w:rPr>
        <w:t xml:space="preserve"> This is crucial if 3D calculations are to be done in a 3D core simulator, as will be discussed in following sections.</w:t>
      </w:r>
    </w:p>
    <w:p w14:paraId="1BA993E5" w14:textId="77777777" w:rsidR="00755FEC" w:rsidRPr="00930141" w:rsidRDefault="008944AB" w:rsidP="0091793B">
      <w:pPr>
        <w:spacing w:line="360" w:lineRule="auto"/>
        <w:jc w:val="both"/>
        <w:rPr>
          <w:rFonts w:cs="Times New Roman"/>
          <w:b/>
          <w:szCs w:val="24"/>
        </w:rPr>
      </w:pPr>
      <w:r>
        <w:rPr>
          <w:rFonts w:cs="Times New Roman"/>
          <w:b/>
          <w:szCs w:val="24"/>
        </w:rPr>
        <w:lastRenderedPageBreak/>
        <w:t>II</w:t>
      </w:r>
      <w:r w:rsidR="00930141" w:rsidRPr="00930141">
        <w:rPr>
          <w:rFonts w:cs="Times New Roman"/>
          <w:b/>
          <w:szCs w:val="24"/>
        </w:rPr>
        <w:t>.</w:t>
      </w:r>
      <w:r w:rsidR="00CD06E6">
        <w:rPr>
          <w:rFonts w:cs="Times New Roman"/>
          <w:b/>
          <w:szCs w:val="24"/>
        </w:rPr>
        <w:t>E</w:t>
      </w:r>
      <w:r w:rsidR="00930141" w:rsidRPr="00930141">
        <w:rPr>
          <w:rFonts w:cs="Times New Roman"/>
          <w:b/>
          <w:szCs w:val="24"/>
        </w:rPr>
        <w:t>.2</w:t>
      </w:r>
      <w:r w:rsidR="00930141" w:rsidRPr="00930141">
        <w:rPr>
          <w:rFonts w:cs="Times New Roman"/>
          <w:b/>
          <w:szCs w:val="24"/>
        </w:rPr>
        <w:tab/>
      </w:r>
      <w:r w:rsidR="00930141" w:rsidRPr="00930141">
        <w:rPr>
          <w:rFonts w:cs="Times New Roman"/>
          <w:b/>
          <w:szCs w:val="24"/>
        </w:rPr>
        <w:tab/>
      </w:r>
      <w:r w:rsidR="00755FEC" w:rsidRPr="00930141">
        <w:rPr>
          <w:rFonts w:cs="Times New Roman"/>
          <w:b/>
          <w:szCs w:val="24"/>
        </w:rPr>
        <w:t>Parametric Analysis</w:t>
      </w:r>
    </w:p>
    <w:p w14:paraId="539B8751" w14:textId="77777777" w:rsidR="00E451CB" w:rsidRDefault="00755FEC" w:rsidP="0091793B">
      <w:pPr>
        <w:spacing w:line="360" w:lineRule="auto"/>
        <w:jc w:val="both"/>
        <w:rPr>
          <w:rFonts w:cs="Times New Roman"/>
          <w:szCs w:val="24"/>
        </w:rPr>
      </w:pPr>
      <w:r w:rsidRPr="00930141">
        <w:rPr>
          <w:rFonts w:cs="Times New Roman"/>
          <w:szCs w:val="24"/>
        </w:rPr>
        <w:t xml:space="preserve">When </w:t>
      </w:r>
      <w:r w:rsidR="00807F53">
        <w:rPr>
          <w:rFonts w:cs="Times New Roman"/>
          <w:szCs w:val="24"/>
        </w:rPr>
        <w:t>performing</w:t>
      </w:r>
      <w:r w:rsidRPr="00930141">
        <w:rPr>
          <w:rFonts w:cs="Times New Roman"/>
          <w:szCs w:val="24"/>
        </w:rPr>
        <w:t xml:space="preserve"> a neutronic parametric study on advanced fuel designs such as ATFs, </w:t>
      </w:r>
      <w:r w:rsidR="00807F53">
        <w:rPr>
          <w:rFonts w:cs="Times New Roman"/>
          <w:szCs w:val="24"/>
        </w:rPr>
        <w:t>numerous iterations of models</w:t>
      </w:r>
      <w:r w:rsidR="00324D57" w:rsidRPr="00930141">
        <w:rPr>
          <w:rFonts w:cs="Times New Roman"/>
          <w:szCs w:val="24"/>
        </w:rPr>
        <w:t xml:space="preserve"> need</w:t>
      </w:r>
      <w:r w:rsidR="00807F53">
        <w:rPr>
          <w:rFonts w:cs="Times New Roman"/>
          <w:szCs w:val="24"/>
        </w:rPr>
        <w:t xml:space="preserve"> to be investigated</w:t>
      </w:r>
      <w:r w:rsidRPr="00930141">
        <w:rPr>
          <w:rFonts w:cs="Times New Roman"/>
          <w:szCs w:val="24"/>
        </w:rPr>
        <w:t xml:space="preserve"> and run before a design can be optimized. </w:t>
      </w:r>
      <w:r w:rsidR="00807F53" w:rsidRPr="00C34A55">
        <w:rPr>
          <w:rFonts w:cs="Times New Roman"/>
          <w:szCs w:val="24"/>
        </w:rPr>
        <w:t>Before a fuel can</w:t>
      </w:r>
      <w:r w:rsidR="00324D57" w:rsidRPr="00C34A55">
        <w:rPr>
          <w:rFonts w:cs="Times New Roman"/>
          <w:szCs w:val="24"/>
        </w:rPr>
        <w:t xml:space="preserve"> be considered for commercialization</w:t>
      </w:r>
      <w:r w:rsidRPr="00C34A55">
        <w:rPr>
          <w:rFonts w:cs="Times New Roman"/>
          <w:szCs w:val="24"/>
        </w:rPr>
        <w:t xml:space="preserve">, the </w:t>
      </w:r>
      <w:r w:rsidR="00807F53" w:rsidRPr="00C34A55">
        <w:rPr>
          <w:rFonts w:cs="Times New Roman"/>
          <w:szCs w:val="24"/>
        </w:rPr>
        <w:t>design</w:t>
      </w:r>
      <w:r w:rsidRPr="00C34A55">
        <w:rPr>
          <w:rFonts w:cs="Times New Roman"/>
          <w:szCs w:val="24"/>
        </w:rPr>
        <w:t xml:space="preserve"> must be able to meet</w:t>
      </w:r>
      <w:r w:rsidR="00807F53" w:rsidRPr="00C34A55">
        <w:rPr>
          <w:rFonts w:cs="Times New Roman"/>
          <w:szCs w:val="24"/>
        </w:rPr>
        <w:t xml:space="preserve"> standard licensing criteria including:</w:t>
      </w:r>
      <w:r w:rsidRPr="00C34A55">
        <w:rPr>
          <w:rFonts w:cs="Times New Roman"/>
          <w:szCs w:val="24"/>
        </w:rPr>
        <w:t xml:space="preserve"> </w:t>
      </w:r>
      <w:r w:rsidR="00324D57" w:rsidRPr="00C34A55">
        <w:rPr>
          <w:rFonts w:cs="Times New Roman"/>
          <w:szCs w:val="24"/>
        </w:rPr>
        <w:t>reactivity lifetime requirements,</w:t>
      </w:r>
      <w:r w:rsidRPr="00C34A55">
        <w:rPr>
          <w:rFonts w:cs="Times New Roman"/>
          <w:szCs w:val="24"/>
        </w:rPr>
        <w:t xml:space="preserve"> </w:t>
      </w:r>
      <w:r w:rsidR="00807F53" w:rsidRPr="00C34A55">
        <w:rPr>
          <w:rFonts w:cs="Times New Roman"/>
          <w:szCs w:val="24"/>
        </w:rPr>
        <w:t>core power peaking, reactivity</w:t>
      </w:r>
      <w:r w:rsidR="00324D57" w:rsidRPr="00C34A55">
        <w:rPr>
          <w:rFonts w:cs="Times New Roman"/>
          <w:szCs w:val="24"/>
        </w:rPr>
        <w:t xml:space="preserve"> coefficient</w:t>
      </w:r>
      <w:r w:rsidR="00807F53" w:rsidRPr="00C34A55">
        <w:rPr>
          <w:rFonts w:cs="Times New Roman"/>
          <w:szCs w:val="24"/>
        </w:rPr>
        <w:t>s, etc.</w:t>
      </w:r>
      <w:r w:rsidR="00324D57" w:rsidRPr="00C34A55">
        <w:rPr>
          <w:rFonts w:cs="Times New Roman"/>
          <w:szCs w:val="24"/>
        </w:rPr>
        <w:t xml:space="preserve"> However, all of</w:t>
      </w:r>
      <w:r w:rsidR="00324D57" w:rsidRPr="00930141">
        <w:rPr>
          <w:rFonts w:cs="Times New Roman"/>
          <w:szCs w:val="24"/>
        </w:rPr>
        <w:t xml:space="preserve"> these checks cannot be done thoroughly with one model. </w:t>
      </w:r>
      <w:r w:rsidR="00F14E53" w:rsidRPr="00930141">
        <w:rPr>
          <w:rFonts w:cs="Times New Roman"/>
          <w:szCs w:val="24"/>
        </w:rPr>
        <w:t xml:space="preserve">First, the fuel must </w:t>
      </w:r>
      <w:r w:rsidR="00807F53">
        <w:rPr>
          <w:rFonts w:cs="Times New Roman"/>
          <w:szCs w:val="24"/>
        </w:rPr>
        <w:t>contain sufficient fissile material in order to meet cycle length requirements</w:t>
      </w:r>
      <w:r w:rsidR="00D26094" w:rsidRPr="00930141">
        <w:rPr>
          <w:rFonts w:cs="Times New Roman"/>
          <w:szCs w:val="24"/>
        </w:rPr>
        <w:t xml:space="preserve">. </w:t>
      </w:r>
    </w:p>
    <w:p w14:paraId="10A30113" w14:textId="46853323" w:rsidR="000808D8" w:rsidRPr="00930141" w:rsidRDefault="00D26094" w:rsidP="0091793B">
      <w:pPr>
        <w:spacing w:line="360" w:lineRule="auto"/>
        <w:jc w:val="both"/>
        <w:rPr>
          <w:rFonts w:cs="Times New Roman"/>
          <w:szCs w:val="24"/>
        </w:rPr>
      </w:pPr>
      <w:r w:rsidRPr="00930141">
        <w:rPr>
          <w:rFonts w:cs="Times New Roman"/>
          <w:szCs w:val="24"/>
        </w:rPr>
        <w:t>In a later section, this dissertation will display methodology for setting up a pas</w:t>
      </w:r>
      <w:r w:rsidR="00F14E53" w:rsidRPr="00930141">
        <w:rPr>
          <w:rFonts w:cs="Times New Roman"/>
          <w:szCs w:val="24"/>
        </w:rPr>
        <w:t xml:space="preserve">s/fail system for </w:t>
      </w:r>
      <w:r w:rsidR="007167F6">
        <w:rPr>
          <w:rFonts w:cs="Times New Roman"/>
          <w:szCs w:val="24"/>
        </w:rPr>
        <w:t>FCM in PWRs and alternate cladding in both PWR and BWRs</w:t>
      </w:r>
      <w:r w:rsidR="00F14E53" w:rsidRPr="00930141">
        <w:rPr>
          <w:rFonts w:cs="Times New Roman"/>
          <w:szCs w:val="24"/>
        </w:rPr>
        <w:t>. Based off of the linear reactivity model</w:t>
      </w:r>
      <w:r w:rsidR="004339DE">
        <w:rPr>
          <w:rFonts w:cs="Times New Roman"/>
          <w:szCs w:val="24"/>
        </w:rPr>
        <w:t xml:space="preserve"> </w:t>
      </w:r>
      <w:r w:rsidR="00E54D37">
        <w:rPr>
          <w:rFonts w:cs="Times New Roman"/>
          <w:szCs w:val="24"/>
        </w:rPr>
        <w:fldChar w:fldCharType="begin"/>
      </w:r>
      <w:r w:rsidR="00817846">
        <w:rPr>
          <w:rFonts w:cs="Times New Roman"/>
          <w:szCs w:val="24"/>
        </w:rPr>
        <w:instrText xml:space="preserve"> ADDIN EN.CITE &lt;EndNote&gt;&lt;Cite&gt;&lt;Author&gt;Driscoll&lt;/Author&gt;&lt;Year&gt;1990&lt;/Year&gt;&lt;RecNum&gt;45&lt;/RecNum&gt;&lt;DisplayText&gt;[33]&lt;/DisplayText&gt;&lt;record&gt;&lt;rec-number&gt;45&lt;/rec-number&gt;&lt;foreign-keys&gt;&lt;key app="EN" db-id="trfxzx057wwv0qe0vz1vttttwf0522tvtwpt" timestamp="1422130004"&gt;45&lt;/key&gt;&lt;/foreign-keys&gt;&lt;ref-type name="Book"&gt;6&lt;/ref-type&gt;&lt;contributors&gt;&lt;authors&gt;&lt;author&gt;Driscoll, Michael J&lt;/author&gt;&lt;author&gt;Downar, Thomas Joseph&lt;/author&gt;&lt;author&gt;Pilat, Edward E&lt;/author&gt;&lt;/authors&gt;&lt;/contributors&gt;&lt;titles&gt;&lt;title&gt;The linear reactivity model for nuclear fuel management&lt;/title&gt;&lt;/titles&gt;&lt;dates&gt;&lt;year&gt;1990&lt;/year&gt;&lt;/dates&gt;&lt;publisher&gt;American Nuclear Society La Grange Park&lt;/publisher&gt;&lt;isbn&gt;0894480359&lt;/isbn&gt;&lt;urls&gt;&lt;/urls&gt;&lt;/record&gt;&lt;/Cite&gt;&lt;/EndNote&gt;</w:instrText>
      </w:r>
      <w:r w:rsidR="00E54D37">
        <w:rPr>
          <w:rFonts w:cs="Times New Roman"/>
          <w:szCs w:val="24"/>
        </w:rPr>
        <w:fldChar w:fldCharType="separate"/>
      </w:r>
      <w:r w:rsidR="00817846">
        <w:rPr>
          <w:rFonts w:cs="Times New Roman"/>
          <w:noProof/>
          <w:szCs w:val="24"/>
        </w:rPr>
        <w:t>[</w:t>
      </w:r>
      <w:hyperlink w:anchor="_ENREF_33" w:tooltip="Driscoll, 1990 #45" w:history="1">
        <w:r w:rsidR="00DF20CB">
          <w:rPr>
            <w:rFonts w:cs="Times New Roman"/>
            <w:noProof/>
            <w:szCs w:val="24"/>
          </w:rPr>
          <w:t>33</w:t>
        </w:r>
      </w:hyperlink>
      <w:r w:rsidR="00817846">
        <w:rPr>
          <w:rFonts w:cs="Times New Roman"/>
          <w:noProof/>
          <w:szCs w:val="24"/>
        </w:rPr>
        <w:t>]</w:t>
      </w:r>
      <w:r w:rsidR="00E54D37">
        <w:rPr>
          <w:rFonts w:cs="Times New Roman"/>
          <w:szCs w:val="24"/>
        </w:rPr>
        <w:fldChar w:fldCharType="end"/>
      </w:r>
      <w:r w:rsidR="00F14E53" w:rsidRPr="00930141">
        <w:rPr>
          <w:rFonts w:cs="Times New Roman"/>
          <w:szCs w:val="24"/>
        </w:rPr>
        <w:t>, the methodol</w:t>
      </w:r>
      <w:r w:rsidR="006224E8">
        <w:rPr>
          <w:rFonts w:cs="Times New Roman"/>
          <w:szCs w:val="24"/>
        </w:rPr>
        <w:t>ogy is called the EOC</w:t>
      </w:r>
      <w:r w:rsidR="00F14E53" w:rsidRPr="00930141">
        <w:rPr>
          <w:rFonts w:cs="Times New Roman"/>
          <w:szCs w:val="24"/>
        </w:rPr>
        <w:t xml:space="preserve"> Reactivity Method</w:t>
      </w:r>
      <w:r w:rsidR="004339DE">
        <w:rPr>
          <w:rFonts w:cs="Times New Roman"/>
          <w:szCs w:val="24"/>
        </w:rPr>
        <w:t xml:space="preserve"> </w:t>
      </w:r>
      <w:r w:rsidR="00E54D37">
        <w:rPr>
          <w:rFonts w:cs="Times New Roman"/>
          <w:szCs w:val="24"/>
        </w:rPr>
        <w:fldChar w:fldCharType="begin"/>
      </w:r>
      <w:r w:rsidR="00E54D37">
        <w:rPr>
          <w:rFonts w:cs="Times New Roman"/>
          <w:szCs w:val="24"/>
        </w:rPr>
        <w:instrText xml:space="preserve"> ADDIN EN.CITE &lt;EndNote&gt;&lt;Cite&gt;&lt;Author&gt;George&lt;/Author&gt;&lt;Year&gt;2014&lt;/Year&gt;&lt;RecNum&gt;4&lt;/RecNum&gt;&lt;DisplayText&gt;[1]&lt;/DisplayText&gt;&lt;record&gt;&lt;rec-number&gt;4&lt;/rec-number&gt;&lt;foreign-keys&gt;&lt;key app="EN" db-id="trfxzx057wwv0qe0vz1vttttwf0522tvtwpt" timestamp="1422124093"&gt;4&lt;/key&gt;&lt;/foreign-keys&gt;&lt;ref-type name="Journal Article"&gt;17&lt;/ref-type&gt;&lt;contributors&gt;&lt;authors&gt;&lt;author&gt;George, Nathan Michael&lt;/author&gt;&lt;author&gt;Maldonado, Ivan&lt;/author&gt;&lt;author&gt;Terrani, Kurt&lt;/author&gt;&lt;author&gt;Godfrey, Andrew&lt;/author&gt;&lt;author&gt;Gehin, Jess&lt;/author&gt;&lt;author&gt;Powers, Jeff&lt;/author&gt;&lt;/authors&gt;&lt;/contributors&gt;&lt;titles&gt;&lt;title&gt;Neutronics studies of uranium-bearing fully ceramic microencapsulated fuel for pressurized water reactors&lt;/title&gt;&lt;secondary-title&gt;Nuclear Technology&lt;/secondary-title&gt;&lt;/titles&gt;&lt;periodical&gt;&lt;full-title&gt;Nuclear Technology&lt;/full-title&gt;&lt;/periodical&gt;&lt;pages&gt;2&lt;/pages&gt;&lt;volume&gt;188&lt;/volume&gt;&lt;number&gt;3&lt;/number&gt;&lt;dates&gt;&lt;year&gt;2014&lt;/year&gt;&lt;/dates&gt;&lt;urls&gt;&lt;/urls&gt;&lt;/record&gt;&lt;/Cite&gt;&lt;/EndNote&gt;</w:instrText>
      </w:r>
      <w:r w:rsidR="00E54D37">
        <w:rPr>
          <w:rFonts w:cs="Times New Roman"/>
          <w:szCs w:val="24"/>
        </w:rPr>
        <w:fldChar w:fldCharType="separate"/>
      </w:r>
      <w:r w:rsidR="00E54D37">
        <w:rPr>
          <w:rFonts w:cs="Times New Roman"/>
          <w:noProof/>
          <w:szCs w:val="24"/>
        </w:rPr>
        <w:t>[</w:t>
      </w:r>
      <w:hyperlink w:anchor="_ENREF_1" w:tooltip="George, 2014 #4" w:history="1">
        <w:r w:rsidR="00DF20CB">
          <w:rPr>
            <w:rFonts w:cs="Times New Roman"/>
            <w:noProof/>
            <w:szCs w:val="24"/>
          </w:rPr>
          <w:t>1</w:t>
        </w:r>
      </w:hyperlink>
      <w:r w:rsidR="00E54D37">
        <w:rPr>
          <w:rFonts w:cs="Times New Roman"/>
          <w:noProof/>
          <w:szCs w:val="24"/>
        </w:rPr>
        <w:t>]</w:t>
      </w:r>
      <w:r w:rsidR="00E54D37">
        <w:rPr>
          <w:rFonts w:cs="Times New Roman"/>
          <w:szCs w:val="24"/>
        </w:rPr>
        <w:fldChar w:fldCharType="end"/>
      </w:r>
      <w:r w:rsidR="00893829">
        <w:rPr>
          <w:rFonts w:cs="Times New Roman"/>
          <w:szCs w:val="24"/>
        </w:rPr>
        <w:t>.</w:t>
      </w:r>
      <w:r w:rsidR="00F14E53" w:rsidRPr="00930141">
        <w:rPr>
          <w:rFonts w:cs="Times New Roman"/>
          <w:szCs w:val="24"/>
        </w:rPr>
        <w:t xml:space="preserve"> </w:t>
      </w:r>
      <w:r w:rsidR="007167F6">
        <w:rPr>
          <w:rFonts w:cs="Times New Roman"/>
          <w:szCs w:val="24"/>
        </w:rPr>
        <w:t xml:space="preserve">The goal of this methodology is to greatly improve the speed and ease in which parametric analyses are performed when attempting to simulate full-core conditions with only lattice physics results. </w:t>
      </w:r>
    </w:p>
    <w:p w14:paraId="586CF6CA" w14:textId="77777777" w:rsidR="00ED13FC" w:rsidRDefault="008944AB" w:rsidP="0091793B">
      <w:pPr>
        <w:spacing w:line="360" w:lineRule="auto"/>
        <w:jc w:val="both"/>
        <w:rPr>
          <w:rFonts w:cs="Times New Roman"/>
          <w:b/>
          <w:szCs w:val="24"/>
        </w:rPr>
      </w:pPr>
      <w:r>
        <w:rPr>
          <w:rFonts w:cs="Times New Roman"/>
          <w:b/>
          <w:szCs w:val="24"/>
        </w:rPr>
        <w:t>II</w:t>
      </w:r>
      <w:r w:rsidR="00930141" w:rsidRPr="00930141">
        <w:rPr>
          <w:rFonts w:cs="Times New Roman"/>
          <w:b/>
          <w:szCs w:val="24"/>
        </w:rPr>
        <w:t>.</w:t>
      </w:r>
      <w:r w:rsidR="00CD06E6">
        <w:rPr>
          <w:rFonts w:cs="Times New Roman"/>
          <w:b/>
          <w:szCs w:val="24"/>
        </w:rPr>
        <w:t>E</w:t>
      </w:r>
      <w:r w:rsidR="00930141" w:rsidRPr="00930141">
        <w:rPr>
          <w:rFonts w:cs="Times New Roman"/>
          <w:b/>
          <w:szCs w:val="24"/>
        </w:rPr>
        <w:t>.3</w:t>
      </w:r>
      <w:r w:rsidR="00930141" w:rsidRPr="00930141">
        <w:rPr>
          <w:rFonts w:cs="Times New Roman"/>
          <w:b/>
          <w:szCs w:val="24"/>
        </w:rPr>
        <w:tab/>
      </w:r>
      <w:r w:rsidR="00930141" w:rsidRPr="00930141">
        <w:rPr>
          <w:rFonts w:cs="Times New Roman"/>
          <w:b/>
          <w:szCs w:val="24"/>
        </w:rPr>
        <w:tab/>
        <w:t>3D Full Core Simulators</w:t>
      </w:r>
    </w:p>
    <w:p w14:paraId="674488C2" w14:textId="77777777" w:rsidR="00ED13FC" w:rsidRDefault="003E5EDE" w:rsidP="0091793B">
      <w:pPr>
        <w:spacing w:line="360" w:lineRule="auto"/>
        <w:jc w:val="both"/>
        <w:rPr>
          <w:rFonts w:cs="Times New Roman"/>
          <w:szCs w:val="24"/>
        </w:rPr>
      </w:pPr>
      <w:r>
        <w:rPr>
          <w:rFonts w:cs="Times New Roman"/>
          <w:szCs w:val="24"/>
        </w:rPr>
        <w:t>As aforementioned, accurately modeling a full core reactor is no small feat</w:t>
      </w:r>
      <w:r w:rsidR="003228FA">
        <w:rPr>
          <w:rFonts w:cs="Times New Roman"/>
          <w:szCs w:val="24"/>
        </w:rPr>
        <w:t xml:space="preserve">. Aside </w:t>
      </w:r>
      <w:r w:rsidR="0022658F">
        <w:rPr>
          <w:rFonts w:cs="Times New Roman"/>
          <w:szCs w:val="24"/>
        </w:rPr>
        <w:t>from Consortium of Advanced Simulation of Advanced LWRs, (</w:t>
      </w:r>
      <w:r w:rsidR="003228FA">
        <w:rPr>
          <w:rFonts w:cs="Times New Roman"/>
          <w:szCs w:val="24"/>
        </w:rPr>
        <w:t xml:space="preserve">ongoing </w:t>
      </w:r>
      <w:r w:rsidR="00506B4A">
        <w:rPr>
          <w:rFonts w:cs="Times New Roman"/>
          <w:szCs w:val="24"/>
        </w:rPr>
        <w:t>at ORNL</w:t>
      </w:r>
      <w:r w:rsidR="00F557B4">
        <w:rPr>
          <w:rFonts w:cs="Times New Roman"/>
          <w:szCs w:val="24"/>
        </w:rPr>
        <w:t>)</w:t>
      </w:r>
      <w:r w:rsidR="003228FA">
        <w:rPr>
          <w:rFonts w:cs="Times New Roman"/>
          <w:szCs w:val="24"/>
        </w:rPr>
        <w:t>, c</w:t>
      </w:r>
      <w:r>
        <w:rPr>
          <w:rFonts w:cs="Times New Roman"/>
          <w:szCs w:val="24"/>
        </w:rPr>
        <w:t xml:space="preserve">oupling neutronics with thermal hydraulics, material degradation, </w:t>
      </w:r>
      <w:r w:rsidR="007167F6">
        <w:rPr>
          <w:rFonts w:cs="Times New Roman"/>
          <w:szCs w:val="24"/>
        </w:rPr>
        <w:t xml:space="preserve">computational </w:t>
      </w:r>
      <w:r w:rsidR="003228FA">
        <w:rPr>
          <w:rFonts w:cs="Times New Roman"/>
          <w:szCs w:val="24"/>
        </w:rPr>
        <w:t>fluid dynamics,</w:t>
      </w:r>
      <w:r>
        <w:rPr>
          <w:rFonts w:cs="Times New Roman"/>
          <w:szCs w:val="24"/>
        </w:rPr>
        <w:t xml:space="preserve"> </w:t>
      </w:r>
      <w:r w:rsidR="003228FA">
        <w:rPr>
          <w:rFonts w:cs="Times New Roman"/>
          <w:szCs w:val="24"/>
        </w:rPr>
        <w:t xml:space="preserve">etc. </w:t>
      </w:r>
      <w:r>
        <w:rPr>
          <w:rFonts w:cs="Times New Roman"/>
          <w:szCs w:val="24"/>
        </w:rPr>
        <w:t>is virtually non-existent in coding pa</w:t>
      </w:r>
      <w:r w:rsidR="003228FA">
        <w:rPr>
          <w:rFonts w:cs="Times New Roman"/>
          <w:szCs w:val="24"/>
        </w:rPr>
        <w:t>ckage</w:t>
      </w:r>
      <w:r w:rsidR="00F557B4">
        <w:rPr>
          <w:rFonts w:cs="Times New Roman"/>
          <w:szCs w:val="24"/>
        </w:rPr>
        <w:t>s</w:t>
      </w:r>
      <w:r w:rsidR="003228FA">
        <w:rPr>
          <w:rFonts w:cs="Times New Roman"/>
          <w:szCs w:val="24"/>
        </w:rPr>
        <w:t xml:space="preserve"> today. However, there are various 3D </w:t>
      </w:r>
      <w:r w:rsidR="00F557B4">
        <w:rPr>
          <w:rFonts w:cs="Times New Roman"/>
          <w:szCs w:val="24"/>
        </w:rPr>
        <w:t xml:space="preserve">simulators </w:t>
      </w:r>
      <w:r w:rsidR="003228FA">
        <w:rPr>
          <w:rFonts w:cs="Times New Roman"/>
          <w:szCs w:val="24"/>
        </w:rPr>
        <w:t>available that offer coupled thermal</w:t>
      </w:r>
      <w:r w:rsidR="00F557B4">
        <w:rPr>
          <w:rFonts w:cs="Times New Roman"/>
          <w:szCs w:val="24"/>
        </w:rPr>
        <w:t xml:space="preserve"> hydraulics with neutron diffusion</w:t>
      </w:r>
      <w:r w:rsidR="003228FA">
        <w:rPr>
          <w:rFonts w:cs="Times New Roman"/>
          <w:szCs w:val="24"/>
        </w:rPr>
        <w:t xml:space="preserve">. </w:t>
      </w:r>
      <w:r w:rsidR="00F557B4">
        <w:rPr>
          <w:rFonts w:cs="Times New Roman"/>
          <w:szCs w:val="24"/>
        </w:rPr>
        <w:t xml:space="preserve">Some of these codes include: PARCS, NESTLE and </w:t>
      </w:r>
      <w:r w:rsidR="007167F6">
        <w:rPr>
          <w:rFonts w:cs="Times New Roman"/>
          <w:szCs w:val="24"/>
        </w:rPr>
        <w:t xml:space="preserve">SIMULATE; all </w:t>
      </w:r>
      <w:r w:rsidR="00ED13FC">
        <w:rPr>
          <w:rFonts w:cs="Times New Roman"/>
          <w:szCs w:val="24"/>
        </w:rPr>
        <w:t xml:space="preserve">of which first require generation of few-group cross-section from lattice physics codes modeling on an assembly level.  </w:t>
      </w:r>
    </w:p>
    <w:p w14:paraId="4B3F7176" w14:textId="2E060F2D" w:rsidR="00F57142" w:rsidRDefault="00F06FC5" w:rsidP="0091793B">
      <w:pPr>
        <w:spacing w:line="360" w:lineRule="auto"/>
        <w:jc w:val="both"/>
        <w:rPr>
          <w:rFonts w:cs="Times New Roman"/>
          <w:szCs w:val="24"/>
        </w:rPr>
      </w:pPr>
      <w:r>
        <w:rPr>
          <w:rFonts w:cs="Times New Roman"/>
          <w:szCs w:val="24"/>
        </w:rPr>
        <w:t>Sponsored by the NRC</w:t>
      </w:r>
      <w:r w:rsidR="00327E28">
        <w:rPr>
          <w:rFonts w:cs="Times New Roman"/>
          <w:szCs w:val="24"/>
        </w:rPr>
        <w:t xml:space="preserve">, PARCS solves </w:t>
      </w:r>
      <w:r w:rsidR="007167F6">
        <w:rPr>
          <w:rFonts w:cs="Times New Roman"/>
          <w:szCs w:val="24"/>
        </w:rPr>
        <w:t xml:space="preserve">the </w:t>
      </w:r>
      <w:r w:rsidR="00327E28">
        <w:rPr>
          <w:rFonts w:cs="Times New Roman"/>
          <w:szCs w:val="24"/>
        </w:rPr>
        <w:t>multi</w:t>
      </w:r>
      <w:r w:rsidR="00F557B4">
        <w:rPr>
          <w:rFonts w:cs="Times New Roman"/>
          <w:szCs w:val="24"/>
        </w:rPr>
        <w:t xml:space="preserve">-group neutron diffusion equation with direct coupling to the thermal hydraulic </w:t>
      </w:r>
      <w:r w:rsidR="00122717">
        <w:rPr>
          <w:rFonts w:cs="Times New Roman"/>
          <w:szCs w:val="24"/>
        </w:rPr>
        <w:t xml:space="preserve">code TRACE </w:t>
      </w:r>
      <w:r w:rsidR="00D00A8B">
        <w:rPr>
          <w:rFonts w:cs="Times New Roman"/>
          <w:szCs w:val="24"/>
        </w:rPr>
        <w:fldChar w:fldCharType="begin"/>
      </w:r>
      <w:r w:rsidR="00817846">
        <w:rPr>
          <w:rFonts w:cs="Times New Roman"/>
          <w:szCs w:val="24"/>
        </w:rPr>
        <w:instrText xml:space="preserve"> ADDIN EN.CITE &lt;EndNote&gt;&lt;Cite&gt;&lt;Author&gt;Downar&lt;/Author&gt;&lt;Year&gt;2004&lt;/Year&gt;&lt;RecNum&gt;20&lt;/RecNum&gt;&lt;DisplayText&gt;[34]&lt;/DisplayText&gt;&lt;record&gt;&lt;rec-number&gt;20&lt;/rec-number&gt;&lt;foreign-keys&gt;&lt;key app="EN" db-id="trfxzx057wwv0qe0vz1vttttwf0522tvtwpt" timestamp="1422125157"&gt;20&lt;/key&gt;&lt;/foreign-keys&gt;&lt;ref-type name="Journal Article"&gt;17&lt;/ref-type&gt;&lt;contributors&gt;&lt;authors&gt;&lt;author&gt;Downar, T&lt;/author&gt;&lt;author&gt;Lee, D&lt;/author&gt;&lt;author&gt;Xu, Y&lt;/author&gt;&lt;author&gt;Kozlowski, T&lt;/author&gt;&lt;author&gt;Staudenmier, J&lt;/author&gt;&lt;/authors&gt;&lt;/contributors&gt;&lt;titles&gt;&lt;title&gt;PARCS v2. 6 US NRC core neutronics simulator theory manual&lt;/title&gt;&lt;secondary-title&gt;Purdue University/NRC&lt;/secondary-title&gt;&lt;/titles&gt;&lt;periodical&gt;&lt;full-title&gt;Purdue University/NRC&lt;/full-title&gt;&lt;/periodical&gt;&lt;dates&gt;&lt;year&gt;2004&lt;/year&gt;&lt;/dates&gt;&lt;urls&gt;&lt;/urls&gt;&lt;/record&gt;&lt;/Cite&gt;&lt;/EndNote&gt;</w:instrText>
      </w:r>
      <w:r w:rsidR="00D00A8B">
        <w:rPr>
          <w:rFonts w:cs="Times New Roman"/>
          <w:szCs w:val="24"/>
        </w:rPr>
        <w:fldChar w:fldCharType="separate"/>
      </w:r>
      <w:r w:rsidR="00817846">
        <w:rPr>
          <w:rFonts w:cs="Times New Roman"/>
          <w:noProof/>
          <w:szCs w:val="24"/>
        </w:rPr>
        <w:t>[</w:t>
      </w:r>
      <w:hyperlink w:anchor="_ENREF_34" w:tooltip="Downar, 2004 #20" w:history="1">
        <w:r w:rsidR="00DF20CB">
          <w:rPr>
            <w:rFonts w:cs="Times New Roman"/>
            <w:noProof/>
            <w:szCs w:val="24"/>
          </w:rPr>
          <w:t>34</w:t>
        </w:r>
      </w:hyperlink>
      <w:r w:rsidR="00817846">
        <w:rPr>
          <w:rFonts w:cs="Times New Roman"/>
          <w:noProof/>
          <w:szCs w:val="24"/>
        </w:rPr>
        <w:t>]</w:t>
      </w:r>
      <w:r w:rsidR="00D00A8B">
        <w:rPr>
          <w:rFonts w:cs="Times New Roman"/>
          <w:szCs w:val="24"/>
        </w:rPr>
        <w:fldChar w:fldCharType="end"/>
      </w:r>
      <w:r w:rsidR="00893829">
        <w:rPr>
          <w:rFonts w:cs="Times New Roman"/>
          <w:szCs w:val="24"/>
        </w:rPr>
        <w:t>.</w:t>
      </w:r>
      <w:r w:rsidR="008C091E">
        <w:rPr>
          <w:rFonts w:cs="Times New Roman"/>
          <w:szCs w:val="24"/>
        </w:rPr>
        <w:t xml:space="preserve"> </w:t>
      </w:r>
      <w:r w:rsidR="00122717">
        <w:rPr>
          <w:rFonts w:cs="Times New Roman"/>
          <w:szCs w:val="24"/>
        </w:rPr>
        <w:t xml:space="preserve">Developed and maintained at The University of Tennessee, NESTLE uses </w:t>
      </w:r>
      <w:r w:rsidR="00CD6077">
        <w:rPr>
          <w:rFonts w:cs="Times New Roman"/>
          <w:szCs w:val="24"/>
        </w:rPr>
        <w:t>the Nodal Expansion Method</w:t>
      </w:r>
      <w:r w:rsidR="00122717">
        <w:rPr>
          <w:rFonts w:cs="Times New Roman"/>
          <w:szCs w:val="24"/>
        </w:rPr>
        <w:t xml:space="preserve"> to solve the eigenvalue problem in steady-s</w:t>
      </w:r>
      <w:r w:rsidR="008C091E">
        <w:rPr>
          <w:rFonts w:cs="Times New Roman"/>
          <w:szCs w:val="24"/>
        </w:rPr>
        <w:t xml:space="preserve">tate and transient conditions </w:t>
      </w:r>
      <w:r w:rsidR="00D00A8B">
        <w:rPr>
          <w:rFonts w:cs="Times New Roman"/>
          <w:szCs w:val="24"/>
        </w:rPr>
        <w:fldChar w:fldCharType="begin"/>
      </w:r>
      <w:r w:rsidR="00817846">
        <w:rPr>
          <w:rFonts w:cs="Times New Roman"/>
          <w:szCs w:val="24"/>
        </w:rPr>
        <w:instrText xml:space="preserve"> ADDIN EN.CITE &lt;EndNote&gt;&lt;Cite&gt;&lt;Author&gt;Maldonado&lt;/Author&gt;&lt;Year&gt;2009&lt;/Year&gt;&lt;RecNum&gt;21&lt;/RecNum&gt;&lt;DisplayText&gt;[35]&lt;/DisplayText&gt;&lt;record&gt;&lt;rec-number&gt;21&lt;/rec-number&gt;&lt;foreign-keys&gt;&lt;key app="EN" db-id="trfxzx057wwv0qe0vz1vttttwf0522tvtwpt" timestamp="1422125181"&gt;21&lt;/key&gt;&lt;/foreign-keys&gt;&lt;ref-type name="Journal Article"&gt;17&lt;/ref-type&gt;&lt;contributors&gt;&lt;authors&gt;&lt;author&gt;Maldonado, GI&lt;/author&gt;&lt;author&gt;Galloway, J&lt;/author&gt;&lt;author&gt;Hernandez, H&lt;/author&gt;&lt;author&gt;Clarno, KT&lt;/author&gt;&lt;author&gt;Popov, EL&lt;/author&gt;&lt;author&gt;Jessee, MA&lt;/author&gt;&lt;/authors&gt;&lt;/contributors&gt;&lt;titles&gt;&lt;title&gt;Integration of the NESTLE Core Simulator with SCALE&lt;/title&gt;&lt;secondary-title&gt;Transactions of the American Nuclear Society&lt;/secondary-title&gt;&lt;/titles&gt;&lt;periodical&gt;&lt;full-title&gt;Transactions of the American Nuclear Society&lt;/full-title&gt;&lt;/periodical&gt;&lt;pages&gt;619-620&lt;/pages&gt;&lt;volume&gt;100&lt;/volume&gt;&lt;dates&gt;&lt;year&gt;2009&lt;/year&gt;&lt;/dates&gt;&lt;isbn&gt;0003-018X&lt;/isbn&gt;&lt;urls&gt;&lt;/urls&gt;&lt;/record&gt;&lt;/Cite&gt;&lt;/EndNote&gt;</w:instrText>
      </w:r>
      <w:r w:rsidR="00D00A8B">
        <w:rPr>
          <w:rFonts w:cs="Times New Roman"/>
          <w:szCs w:val="24"/>
        </w:rPr>
        <w:fldChar w:fldCharType="separate"/>
      </w:r>
      <w:r w:rsidR="00817846">
        <w:rPr>
          <w:rFonts w:cs="Times New Roman"/>
          <w:noProof/>
          <w:szCs w:val="24"/>
        </w:rPr>
        <w:t>[</w:t>
      </w:r>
      <w:hyperlink w:anchor="_ENREF_35" w:tooltip="Maldonado, 2009 #21" w:history="1">
        <w:r w:rsidR="00DF20CB">
          <w:rPr>
            <w:rFonts w:cs="Times New Roman"/>
            <w:noProof/>
            <w:szCs w:val="24"/>
          </w:rPr>
          <w:t>35</w:t>
        </w:r>
      </w:hyperlink>
      <w:r w:rsidR="00817846">
        <w:rPr>
          <w:rFonts w:cs="Times New Roman"/>
          <w:noProof/>
          <w:szCs w:val="24"/>
        </w:rPr>
        <w:t>]</w:t>
      </w:r>
      <w:r w:rsidR="00D00A8B">
        <w:rPr>
          <w:rFonts w:cs="Times New Roman"/>
          <w:szCs w:val="24"/>
        </w:rPr>
        <w:fldChar w:fldCharType="end"/>
      </w:r>
      <w:r w:rsidR="00893829">
        <w:rPr>
          <w:rFonts w:cs="Times New Roman"/>
          <w:szCs w:val="24"/>
        </w:rPr>
        <w:t>.</w:t>
      </w:r>
      <w:r w:rsidR="00122717">
        <w:rPr>
          <w:rFonts w:cs="Times New Roman"/>
          <w:szCs w:val="24"/>
        </w:rPr>
        <w:t xml:space="preserve"> The</w:t>
      </w:r>
      <w:r w:rsidR="0093376E">
        <w:rPr>
          <w:rFonts w:cs="Times New Roman"/>
          <w:szCs w:val="24"/>
        </w:rPr>
        <w:t xml:space="preserve"> Homogeneous Equilibrium Model (HEM) </w:t>
      </w:r>
      <w:r w:rsidR="003A01BC">
        <w:rPr>
          <w:rFonts w:cs="Times New Roman"/>
          <w:szCs w:val="24"/>
        </w:rPr>
        <w:t xml:space="preserve">and Drift Flux Model (DFM), both available </w:t>
      </w:r>
      <w:r w:rsidR="00122717">
        <w:rPr>
          <w:rFonts w:cs="Times New Roman"/>
          <w:szCs w:val="24"/>
        </w:rPr>
        <w:t>in NEST</w:t>
      </w:r>
      <w:r w:rsidR="005F4957">
        <w:rPr>
          <w:rFonts w:cs="Times New Roman"/>
          <w:szCs w:val="24"/>
        </w:rPr>
        <w:t>L</w:t>
      </w:r>
      <w:r w:rsidR="003A01BC">
        <w:rPr>
          <w:rFonts w:cs="Times New Roman"/>
          <w:szCs w:val="24"/>
        </w:rPr>
        <w:t>E, provide</w:t>
      </w:r>
      <w:r w:rsidR="00122717">
        <w:rPr>
          <w:rFonts w:cs="Times New Roman"/>
          <w:szCs w:val="24"/>
        </w:rPr>
        <w:t xml:space="preserve"> thermal hydraulic coupling with LWR </w:t>
      </w:r>
      <w:r w:rsidR="007167F6">
        <w:rPr>
          <w:rFonts w:cs="Times New Roman"/>
          <w:szCs w:val="24"/>
        </w:rPr>
        <w:t>systems;</w:t>
      </w:r>
      <w:r w:rsidR="00122717">
        <w:rPr>
          <w:rFonts w:cs="Times New Roman"/>
          <w:szCs w:val="24"/>
        </w:rPr>
        <w:t xml:space="preserve"> however ongoing work is being done to allow simulation of liquid salt-cooled reactors. </w:t>
      </w:r>
      <w:r w:rsidR="00BA7508">
        <w:rPr>
          <w:rFonts w:cs="Times New Roman"/>
          <w:szCs w:val="24"/>
        </w:rPr>
        <w:t xml:space="preserve">Also developed by Studsvik, SIMULATE is a </w:t>
      </w:r>
      <w:r w:rsidR="00ED13FC">
        <w:rPr>
          <w:rFonts w:cs="Times New Roman"/>
          <w:szCs w:val="24"/>
        </w:rPr>
        <w:t xml:space="preserve">nodal code made for PWRs </w:t>
      </w:r>
      <w:r w:rsidR="00ED13FC">
        <w:rPr>
          <w:rFonts w:cs="Times New Roman"/>
          <w:szCs w:val="24"/>
        </w:rPr>
        <w:lastRenderedPageBreak/>
        <w:t>and BWRs. CASMO, which conducts the lattice physics calculations generates the few-group cross section data required for SIMULATE</w:t>
      </w:r>
      <w:r w:rsidR="008C4464">
        <w:rPr>
          <w:rFonts w:cs="Times New Roman"/>
          <w:szCs w:val="24"/>
        </w:rPr>
        <w:t xml:space="preserve"> </w:t>
      </w:r>
      <w:r w:rsidR="00E54D37">
        <w:rPr>
          <w:rFonts w:cs="Times New Roman"/>
          <w:szCs w:val="24"/>
        </w:rPr>
        <w:fldChar w:fldCharType="begin"/>
      </w:r>
      <w:r w:rsidR="00817846">
        <w:rPr>
          <w:rFonts w:cs="Times New Roman"/>
          <w:szCs w:val="24"/>
        </w:rPr>
        <w:instrText xml:space="preserve"> ADDIN EN.CITE &lt;EndNote&gt;&lt;Cite&gt;&lt;Author&gt;Smith&lt;/Author&gt;&lt;Year&gt;2000&lt;/Year&gt;&lt;RecNum&gt;95&lt;/RecNum&gt;&lt;DisplayText&gt;[31]&lt;/DisplayText&gt;&lt;record&gt;&lt;rec-number&gt;95&lt;/rec-number&gt;&lt;foreign-keys&gt;&lt;key app="EN" db-id="trfxzx057wwv0qe0vz1vttttwf0522tvtwpt" timestamp="1422295573"&gt;95&lt;/key&gt;&lt;/foreign-keys&gt;&lt;ref-type name="Journal Article"&gt;17&lt;/ref-type&gt;&lt;contributors&gt;&lt;authors&gt;&lt;author&gt;Smith, KS&lt;/author&gt;&lt;author&gt;Rhodes, JD&lt;/author&gt;&lt;/authors&gt;&lt;/contributors&gt;&lt;titles&gt;&lt;title&gt;CASMO-4 characteristics method for two-dimensional PWR and BWR core calculations&lt;/title&gt;&lt;secondary-title&gt;Trans. Am. Nucl. Soc&lt;/secondary-title&gt;&lt;/titles&gt;&lt;periodical&gt;&lt;full-title&gt;Trans. Am. Nucl. Soc&lt;/full-title&gt;&lt;/periodical&gt;&lt;pages&gt;294&lt;/pages&gt;&lt;volume&gt;83&lt;/volume&gt;&lt;dates&gt;&lt;year&gt;2000&lt;/year&gt;&lt;/dates&gt;&lt;urls&gt;&lt;/urls&gt;&lt;/record&gt;&lt;/Cite&gt;&lt;/EndNote&gt;</w:instrText>
      </w:r>
      <w:r w:rsidR="00E54D37">
        <w:rPr>
          <w:rFonts w:cs="Times New Roman"/>
          <w:szCs w:val="24"/>
        </w:rPr>
        <w:fldChar w:fldCharType="separate"/>
      </w:r>
      <w:r w:rsidR="00817846">
        <w:rPr>
          <w:rFonts w:cs="Times New Roman"/>
          <w:noProof/>
          <w:szCs w:val="24"/>
        </w:rPr>
        <w:t>[</w:t>
      </w:r>
      <w:hyperlink w:anchor="_ENREF_31" w:tooltip="Smith, 2000 #95" w:history="1">
        <w:r w:rsidR="00DF20CB">
          <w:rPr>
            <w:rFonts w:cs="Times New Roman"/>
            <w:noProof/>
            <w:szCs w:val="24"/>
          </w:rPr>
          <w:t>31</w:t>
        </w:r>
      </w:hyperlink>
      <w:r w:rsidR="00817846">
        <w:rPr>
          <w:rFonts w:cs="Times New Roman"/>
          <w:noProof/>
          <w:szCs w:val="24"/>
        </w:rPr>
        <w:t>]</w:t>
      </w:r>
      <w:r w:rsidR="00E54D37">
        <w:rPr>
          <w:rFonts w:cs="Times New Roman"/>
          <w:szCs w:val="24"/>
        </w:rPr>
        <w:fldChar w:fldCharType="end"/>
      </w:r>
      <w:r w:rsidR="00893829">
        <w:rPr>
          <w:rFonts w:cs="Times New Roman"/>
          <w:szCs w:val="24"/>
        </w:rPr>
        <w:t>.</w:t>
      </w:r>
    </w:p>
    <w:p w14:paraId="5BF0A6CA" w14:textId="77777777" w:rsidR="00DF6D6B" w:rsidRDefault="00DF6D6B" w:rsidP="0091793B">
      <w:pPr>
        <w:spacing w:line="360" w:lineRule="auto"/>
        <w:jc w:val="both"/>
        <w:rPr>
          <w:rFonts w:cs="Times New Roman"/>
          <w:szCs w:val="24"/>
        </w:rPr>
      </w:pPr>
    </w:p>
    <w:p w14:paraId="3A3B74F1" w14:textId="77777777" w:rsidR="00DF6D6B" w:rsidRDefault="00DF6D6B" w:rsidP="0091793B">
      <w:pPr>
        <w:spacing w:line="360" w:lineRule="auto"/>
        <w:jc w:val="both"/>
        <w:rPr>
          <w:rFonts w:cs="Times New Roman"/>
          <w:szCs w:val="24"/>
        </w:rPr>
      </w:pPr>
    </w:p>
    <w:p w14:paraId="16020810" w14:textId="77777777" w:rsidR="00DE4EE4" w:rsidRDefault="00DE4EE4" w:rsidP="0091793B">
      <w:pPr>
        <w:spacing w:line="360" w:lineRule="auto"/>
        <w:jc w:val="both"/>
        <w:rPr>
          <w:rFonts w:cs="Times New Roman"/>
          <w:szCs w:val="24"/>
        </w:rPr>
      </w:pPr>
    </w:p>
    <w:p w14:paraId="66FBFE5D" w14:textId="77777777" w:rsidR="00B44FDD" w:rsidRDefault="001F4BD6" w:rsidP="001F4BD6">
      <w:pPr>
        <w:tabs>
          <w:tab w:val="left" w:pos="6145"/>
        </w:tabs>
        <w:spacing w:line="360" w:lineRule="auto"/>
        <w:jc w:val="both"/>
        <w:rPr>
          <w:rFonts w:cs="Times New Roman"/>
          <w:szCs w:val="24"/>
        </w:rPr>
      </w:pPr>
      <w:r>
        <w:rPr>
          <w:rFonts w:cs="Times New Roman"/>
          <w:szCs w:val="24"/>
        </w:rPr>
        <w:tab/>
      </w:r>
    </w:p>
    <w:p w14:paraId="6C5A2A99" w14:textId="77777777" w:rsidR="00B44FDD" w:rsidRDefault="00B44FDD" w:rsidP="0091793B">
      <w:pPr>
        <w:spacing w:line="360" w:lineRule="auto"/>
        <w:jc w:val="both"/>
        <w:rPr>
          <w:rFonts w:cs="Times New Roman"/>
          <w:szCs w:val="24"/>
        </w:rPr>
      </w:pPr>
    </w:p>
    <w:p w14:paraId="5A21103D" w14:textId="77777777" w:rsidR="00DE4EE4" w:rsidRDefault="00DE4EE4" w:rsidP="0091793B">
      <w:pPr>
        <w:spacing w:line="360" w:lineRule="auto"/>
        <w:jc w:val="both"/>
        <w:rPr>
          <w:rFonts w:cs="Times New Roman"/>
          <w:szCs w:val="24"/>
        </w:rPr>
      </w:pPr>
    </w:p>
    <w:p w14:paraId="4178DA4A" w14:textId="77777777" w:rsidR="00A66B3F" w:rsidRDefault="00A66B3F" w:rsidP="0091793B">
      <w:pPr>
        <w:spacing w:line="360" w:lineRule="auto"/>
        <w:jc w:val="both"/>
        <w:rPr>
          <w:rFonts w:cs="Times New Roman"/>
          <w:szCs w:val="24"/>
        </w:rPr>
      </w:pPr>
    </w:p>
    <w:p w14:paraId="545B1276" w14:textId="77777777" w:rsidR="007167F6" w:rsidRDefault="007167F6" w:rsidP="0091793B">
      <w:pPr>
        <w:spacing w:line="360" w:lineRule="auto"/>
        <w:jc w:val="both"/>
        <w:rPr>
          <w:rFonts w:cs="Times New Roman"/>
          <w:szCs w:val="24"/>
        </w:rPr>
      </w:pPr>
    </w:p>
    <w:p w14:paraId="44E020F1" w14:textId="77777777" w:rsidR="007167F6" w:rsidRDefault="007167F6" w:rsidP="0091793B">
      <w:pPr>
        <w:spacing w:line="360" w:lineRule="auto"/>
        <w:jc w:val="both"/>
        <w:rPr>
          <w:rFonts w:cs="Times New Roman"/>
          <w:szCs w:val="24"/>
        </w:rPr>
      </w:pPr>
    </w:p>
    <w:p w14:paraId="655CA2DA" w14:textId="77777777" w:rsidR="007167F6" w:rsidRDefault="007167F6" w:rsidP="0091793B">
      <w:pPr>
        <w:spacing w:line="360" w:lineRule="auto"/>
        <w:jc w:val="both"/>
        <w:rPr>
          <w:rFonts w:cs="Times New Roman"/>
          <w:szCs w:val="24"/>
        </w:rPr>
      </w:pPr>
    </w:p>
    <w:p w14:paraId="0B12B930" w14:textId="77777777" w:rsidR="003A01BC" w:rsidRDefault="003A01BC" w:rsidP="0091793B">
      <w:pPr>
        <w:spacing w:line="360" w:lineRule="auto"/>
        <w:jc w:val="both"/>
        <w:rPr>
          <w:rFonts w:cs="Times New Roman"/>
          <w:szCs w:val="24"/>
        </w:rPr>
      </w:pPr>
    </w:p>
    <w:p w14:paraId="0F17D66E" w14:textId="77777777" w:rsidR="00E4261C" w:rsidRDefault="00E4261C" w:rsidP="0091793B">
      <w:pPr>
        <w:spacing w:line="360" w:lineRule="auto"/>
        <w:jc w:val="both"/>
        <w:rPr>
          <w:rFonts w:cs="Times New Roman"/>
          <w:szCs w:val="24"/>
        </w:rPr>
      </w:pPr>
    </w:p>
    <w:p w14:paraId="2089E80B" w14:textId="77777777" w:rsidR="00E4261C" w:rsidRDefault="00E4261C" w:rsidP="0091793B">
      <w:pPr>
        <w:spacing w:line="360" w:lineRule="auto"/>
        <w:jc w:val="both"/>
        <w:rPr>
          <w:rFonts w:cs="Times New Roman"/>
          <w:szCs w:val="24"/>
        </w:rPr>
      </w:pPr>
    </w:p>
    <w:p w14:paraId="6597BCAB" w14:textId="77777777" w:rsidR="00E4261C" w:rsidRDefault="00E4261C" w:rsidP="0091793B">
      <w:pPr>
        <w:spacing w:line="360" w:lineRule="auto"/>
        <w:jc w:val="both"/>
        <w:rPr>
          <w:rFonts w:cs="Times New Roman"/>
          <w:szCs w:val="24"/>
        </w:rPr>
      </w:pPr>
    </w:p>
    <w:p w14:paraId="092DE1B0" w14:textId="77777777" w:rsidR="00E4261C" w:rsidRDefault="00E4261C" w:rsidP="0091793B">
      <w:pPr>
        <w:spacing w:line="360" w:lineRule="auto"/>
        <w:jc w:val="both"/>
        <w:rPr>
          <w:rFonts w:cs="Times New Roman"/>
          <w:szCs w:val="24"/>
        </w:rPr>
      </w:pPr>
    </w:p>
    <w:p w14:paraId="4037D030" w14:textId="77777777" w:rsidR="00E4261C" w:rsidRDefault="00E4261C" w:rsidP="0091793B">
      <w:pPr>
        <w:spacing w:line="360" w:lineRule="auto"/>
        <w:jc w:val="both"/>
        <w:rPr>
          <w:rFonts w:cs="Times New Roman"/>
          <w:szCs w:val="24"/>
        </w:rPr>
      </w:pPr>
    </w:p>
    <w:p w14:paraId="383AA492" w14:textId="77777777" w:rsidR="00E4261C" w:rsidRDefault="00E4261C" w:rsidP="0091793B">
      <w:pPr>
        <w:spacing w:line="360" w:lineRule="auto"/>
        <w:jc w:val="both"/>
        <w:rPr>
          <w:rFonts w:cs="Times New Roman"/>
          <w:szCs w:val="24"/>
        </w:rPr>
      </w:pPr>
    </w:p>
    <w:p w14:paraId="685719E9" w14:textId="77777777" w:rsidR="003A01BC" w:rsidRDefault="003A01BC" w:rsidP="0091793B">
      <w:pPr>
        <w:spacing w:line="360" w:lineRule="auto"/>
        <w:jc w:val="both"/>
        <w:rPr>
          <w:rFonts w:cs="Times New Roman"/>
          <w:szCs w:val="24"/>
        </w:rPr>
      </w:pPr>
    </w:p>
    <w:p w14:paraId="174A3F94" w14:textId="77777777" w:rsidR="00A93605" w:rsidRPr="00E44360" w:rsidRDefault="007167F6" w:rsidP="00E44360">
      <w:pPr>
        <w:spacing w:line="360" w:lineRule="auto"/>
        <w:jc w:val="both"/>
        <w:rPr>
          <w:rFonts w:cs="Times New Roman"/>
          <w:b/>
          <w:sz w:val="32"/>
          <w:szCs w:val="24"/>
        </w:rPr>
      </w:pPr>
      <w:r>
        <w:rPr>
          <w:rFonts w:cs="Times New Roman"/>
          <w:b/>
          <w:sz w:val="32"/>
          <w:szCs w:val="24"/>
        </w:rPr>
        <w:lastRenderedPageBreak/>
        <w:t>I</w:t>
      </w:r>
      <w:r w:rsidR="0030764F">
        <w:rPr>
          <w:rFonts w:cs="Times New Roman"/>
          <w:b/>
          <w:sz w:val="32"/>
          <w:szCs w:val="24"/>
        </w:rPr>
        <w:t>II</w:t>
      </w:r>
      <w:r w:rsidR="002F6460" w:rsidRPr="002F6460">
        <w:rPr>
          <w:rFonts w:cs="Times New Roman"/>
          <w:b/>
          <w:sz w:val="32"/>
          <w:szCs w:val="24"/>
        </w:rPr>
        <w:t>.</w:t>
      </w:r>
      <w:r w:rsidR="002F6460" w:rsidRPr="002F6460">
        <w:rPr>
          <w:rFonts w:cs="Times New Roman"/>
          <w:b/>
          <w:sz w:val="32"/>
          <w:szCs w:val="24"/>
        </w:rPr>
        <w:tab/>
      </w:r>
      <w:r w:rsidR="002F6460" w:rsidRPr="002F6460">
        <w:rPr>
          <w:rFonts w:cs="Times New Roman"/>
          <w:b/>
          <w:sz w:val="32"/>
          <w:szCs w:val="24"/>
        </w:rPr>
        <w:tab/>
      </w:r>
      <w:r w:rsidR="001701D9">
        <w:rPr>
          <w:rFonts w:cs="Times New Roman"/>
          <w:b/>
          <w:sz w:val="32"/>
          <w:szCs w:val="24"/>
        </w:rPr>
        <w:t xml:space="preserve">PWR </w:t>
      </w:r>
      <w:r w:rsidR="002F6460">
        <w:rPr>
          <w:rFonts w:cs="Times New Roman"/>
          <w:b/>
          <w:sz w:val="32"/>
          <w:szCs w:val="24"/>
        </w:rPr>
        <w:t xml:space="preserve">METHODOLOGY AND </w:t>
      </w:r>
      <w:r w:rsidR="001701D9">
        <w:rPr>
          <w:rFonts w:cs="Times New Roman"/>
          <w:b/>
          <w:sz w:val="32"/>
          <w:szCs w:val="24"/>
        </w:rPr>
        <w:t>INPUT</w:t>
      </w:r>
      <w:r w:rsidR="002F6460">
        <w:rPr>
          <w:rFonts w:cs="Times New Roman"/>
          <w:b/>
          <w:sz w:val="32"/>
          <w:szCs w:val="24"/>
        </w:rPr>
        <w:t xml:space="preserve"> PARAMETERS</w:t>
      </w:r>
    </w:p>
    <w:p w14:paraId="1675DACC" w14:textId="6781BF34" w:rsidR="00E44360" w:rsidRPr="00AF6B03" w:rsidRDefault="00E44360" w:rsidP="00E44360">
      <w:pPr>
        <w:spacing w:line="360" w:lineRule="auto"/>
        <w:jc w:val="both"/>
        <w:rPr>
          <w:rFonts w:eastAsia="Calibri" w:cs="Times New Roman"/>
          <w:b/>
          <w:sz w:val="28"/>
        </w:rPr>
      </w:pPr>
      <w:r w:rsidRPr="00AF6B03">
        <w:rPr>
          <w:rFonts w:eastAsia="Calibri" w:cs="Times New Roman"/>
          <w:b/>
          <w:sz w:val="28"/>
        </w:rPr>
        <w:t>I</w:t>
      </w:r>
      <w:r>
        <w:rPr>
          <w:rFonts w:eastAsia="Calibri" w:cs="Times New Roman"/>
          <w:b/>
          <w:sz w:val="28"/>
        </w:rPr>
        <w:t>II.A</w:t>
      </w:r>
      <w:r w:rsidRPr="00AF6B03">
        <w:rPr>
          <w:rFonts w:eastAsia="Calibri" w:cs="Times New Roman"/>
          <w:b/>
          <w:sz w:val="28"/>
        </w:rPr>
        <w:t xml:space="preserve">. </w:t>
      </w:r>
      <w:r w:rsidR="001D553C">
        <w:rPr>
          <w:rFonts w:eastAsia="Calibri" w:cs="Times New Roman"/>
          <w:b/>
          <w:sz w:val="28"/>
        </w:rPr>
        <w:tab/>
      </w:r>
      <w:r>
        <w:rPr>
          <w:rFonts w:eastAsia="Calibri" w:cs="Times New Roman"/>
          <w:b/>
          <w:sz w:val="28"/>
        </w:rPr>
        <w:t>PWR Pin Cell and Lattice Modeling</w:t>
      </w:r>
    </w:p>
    <w:p w14:paraId="42578945" w14:textId="27F7F72A" w:rsidR="00BE23CF" w:rsidRPr="00BE23CF" w:rsidRDefault="00604852" w:rsidP="006F0C75">
      <w:pPr>
        <w:spacing w:line="360" w:lineRule="auto"/>
        <w:jc w:val="both"/>
        <w:rPr>
          <w:b/>
          <w:snapToGrid w:val="0"/>
          <w:sz w:val="28"/>
        </w:rPr>
      </w:pPr>
      <w:r w:rsidRPr="00A93605">
        <w:rPr>
          <w:snapToGrid w:val="0"/>
        </w:rPr>
        <w:t xml:space="preserve">To model the neutronic behavior of the </w:t>
      </w:r>
      <w:r>
        <w:rPr>
          <w:snapToGrid w:val="0"/>
        </w:rPr>
        <w:t xml:space="preserve">FCM fuel as well as </w:t>
      </w:r>
      <w:r w:rsidRPr="00A93605">
        <w:rPr>
          <w:snapToGrid w:val="0"/>
        </w:rPr>
        <w:t>alternate cladding materia</w:t>
      </w:r>
      <w:r w:rsidR="005E0235">
        <w:rPr>
          <w:snapToGrid w:val="0"/>
        </w:rPr>
        <w:t>ls</w:t>
      </w:r>
      <w:r w:rsidR="005C4F35">
        <w:rPr>
          <w:snapToGrid w:val="0"/>
        </w:rPr>
        <w:t xml:space="preserve"> in a PWR environment</w:t>
      </w:r>
      <w:r w:rsidR="005E0235">
        <w:rPr>
          <w:snapToGrid w:val="0"/>
        </w:rPr>
        <w:t>, simple 2D</w:t>
      </w:r>
      <w:r w:rsidRPr="00A93605">
        <w:rPr>
          <w:snapToGrid w:val="0"/>
        </w:rPr>
        <w:t xml:space="preserve"> pin cell analyses were performed using SCALE/TRITON from SCALE 6.1.2</w:t>
      </w:r>
      <w:r w:rsidR="008C091E">
        <w:rPr>
          <w:snapToGrid w:val="0"/>
        </w:rPr>
        <w:t xml:space="preserve"> </w:t>
      </w:r>
      <w:r w:rsidR="00D00A8B">
        <w:rPr>
          <w:snapToGrid w:val="0"/>
        </w:rPr>
        <w:fldChar w:fldCharType="begin">
          <w:fldData xml:space="preserve">PEVuZE5vdGU+PENpdGU+PEF1dGhvcj5EZUhhcnQ8L0F1dGhvcj48WWVhcj4yMDExPC9ZZWFyPjxS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</w:fldData>
        </w:fldChar>
      </w:r>
      <w:r w:rsidR="00817846">
        <w:rPr>
          <w:snapToGrid w:val="0"/>
        </w:rPr>
        <w:instrText xml:space="preserve"> ADDIN EN.CITE </w:instrText>
      </w:r>
      <w:r w:rsidR="00817846">
        <w:rPr>
          <w:snapToGrid w:val="0"/>
        </w:rPr>
        <w:fldChar w:fldCharType="begin">
          <w:fldData xml:space="preserve">PEVuZE5vdGU+PENpdGU+PEF1dGhvcj5EZUhhcnQ8L0F1dGhvcj48WWVhcj4yMDExPC9ZZWFyPjxS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</w:fldData>
        </w:fldChar>
      </w:r>
      <w:r w:rsidR="00817846">
        <w:rPr>
          <w:snapToGrid w:val="0"/>
        </w:rPr>
        <w:instrText xml:space="preserve"> ADDIN EN.CITE.DATA </w:instrText>
      </w:r>
      <w:r w:rsidR="00817846">
        <w:rPr>
          <w:snapToGrid w:val="0"/>
        </w:rPr>
      </w:r>
      <w:r w:rsidR="00817846">
        <w:rPr>
          <w:snapToGrid w:val="0"/>
        </w:rPr>
        <w:fldChar w:fldCharType="end"/>
      </w:r>
      <w:r w:rsidR="00D00A8B">
        <w:rPr>
          <w:snapToGrid w:val="0"/>
        </w:rPr>
      </w:r>
      <w:r w:rsidR="00D00A8B">
        <w:rPr>
          <w:snapToGrid w:val="0"/>
        </w:rPr>
        <w:fldChar w:fldCharType="separate"/>
      </w:r>
      <w:r w:rsidR="00817846">
        <w:rPr>
          <w:noProof/>
          <w:snapToGrid w:val="0"/>
        </w:rPr>
        <w:t>[</w:t>
      </w:r>
      <w:hyperlink w:anchor="_ENREF_2" w:tooltip="Azevedo, 2011 #1" w:history="1">
        <w:r w:rsidR="00DF20CB">
          <w:rPr>
            <w:noProof/>
            <w:snapToGrid w:val="0"/>
          </w:rPr>
          <w:t>2</w:t>
        </w:r>
      </w:hyperlink>
      <w:r w:rsidR="00817846">
        <w:rPr>
          <w:noProof/>
          <w:snapToGrid w:val="0"/>
        </w:rPr>
        <w:t xml:space="preserve">, </w:t>
      </w:r>
      <w:hyperlink w:anchor="_ENREF_36" w:tooltip="DeHart, 2011 #26" w:history="1">
        <w:r w:rsidR="00DF20CB">
          <w:rPr>
            <w:noProof/>
            <w:snapToGrid w:val="0"/>
          </w:rPr>
          <w:t>36</w:t>
        </w:r>
      </w:hyperlink>
      <w:r w:rsidR="00817846">
        <w:rPr>
          <w:noProof/>
          <w:snapToGrid w:val="0"/>
        </w:rPr>
        <w:t xml:space="preserve">, </w:t>
      </w:r>
      <w:hyperlink w:anchor="_ENREF_37" w:tooltip="Bowman, 2011 #27" w:history="1">
        <w:r w:rsidR="00DF20CB">
          <w:rPr>
            <w:noProof/>
            <w:snapToGrid w:val="0"/>
          </w:rPr>
          <w:t>37</w:t>
        </w:r>
      </w:hyperlink>
      <w:r w:rsidR="00817846">
        <w:rPr>
          <w:noProof/>
          <w:snapToGrid w:val="0"/>
        </w:rPr>
        <w:t>]</w:t>
      </w:r>
      <w:r w:rsidR="00D00A8B">
        <w:rPr>
          <w:snapToGrid w:val="0"/>
        </w:rPr>
        <w:fldChar w:fldCharType="end"/>
      </w:r>
      <w:r w:rsidRPr="00A93605">
        <w:rPr>
          <w:snapToGrid w:val="0"/>
        </w:rPr>
        <w:t>. The CENTRM module from SCALE was used to produce resonance-shielded 238</w:t>
      </w:r>
      <w:r w:rsidRPr="00A93605">
        <w:rPr>
          <w:snapToGrid w:val="0"/>
        </w:rPr>
        <w:noBreakHyphen/>
        <w:t xml:space="preserve">group cross sections based on ENDF/B-VII.0 </w:t>
      </w:r>
      <w:r w:rsidRPr="00A93605">
        <w:rPr>
          <w:snapToGrid w:val="0"/>
        </w:rPr>
        <w:fldChar w:fldCharType="begin"/>
      </w:r>
      <w:r w:rsidR="00817846">
        <w:rPr>
          <w:snapToGrid w:val="0"/>
        </w:rPr>
        <w:instrText xml:space="preserve"> ADDIN EN.CITE &lt;EndNote&gt;&lt;Cite&gt;&lt;Author&gt;Chadwick&lt;/Author&gt;&lt;Year&gt;2006&lt;/Year&gt;&lt;RecNum&gt;44&lt;/RecNum&gt;&lt;DisplayText&gt;[38]&lt;/DisplayText&gt;&lt;record&gt;&lt;rec-number&gt;44&lt;/rec-number&gt;&lt;foreign-keys&gt;&lt;key app="EN" db-id="trfxzx057wwv0qe0vz1vttttwf0522tvtwpt" timestamp="1422130004"&gt;44&lt;/key&gt;&lt;/foreign-keys&gt;&lt;ref-type name="Journal Article"&gt;17&lt;/ref-type&gt;&lt;contributors&gt;&lt;authors&gt;&lt;author&gt;Chadwick, MB&lt;/author&gt;&lt;author&gt;Obložinský, P&lt;/author&gt;&lt;author&gt;Herman, M&lt;/author&gt;&lt;author&gt;Greene, NM&lt;/author&gt;&lt;author&gt;McKnight, RD&lt;/author&gt;&lt;author&gt;Smith, DL&lt;/author&gt;&lt;author&gt;Young, PG&lt;/author&gt;&lt;author&gt;MacFarlane, RE&lt;/author&gt;&lt;author&gt;Hale, GM&lt;/author&gt;&lt;author&gt;Frankle, SC&lt;/author&gt;&lt;/authors&gt;&lt;/contributors&gt;&lt;titles&gt;&lt;title&gt;ENDF/B-VII. 0: Next generation evaluated nuclear data library for nuclear science and technology&lt;/title&gt;&lt;secondary-title&gt;Nuclear data sheets&lt;/secondary-title&gt;&lt;/titles&gt;&lt;periodical&gt;&lt;full-title&gt;Nuclear data sheets&lt;/full-title&gt;&lt;/periodical&gt;&lt;pages&gt;2931-3060&lt;/pages&gt;&lt;volume&gt;107&lt;/volume&gt;&lt;number&gt;12&lt;/number&gt;&lt;dates&gt;&lt;year&gt;2006&lt;/year&gt;&lt;/dates&gt;&lt;isbn&gt;0090-3752&lt;/isbn&gt;&lt;urls&gt;&lt;/urls&gt;&lt;/record&gt;&lt;/Cite&gt;&lt;/EndNote&gt;</w:instrText>
      </w:r>
      <w:r w:rsidRPr="00A93605">
        <w:rPr>
          <w:snapToGrid w:val="0"/>
        </w:rPr>
        <w:fldChar w:fldCharType="separate"/>
      </w:r>
      <w:r w:rsidR="00817846">
        <w:rPr>
          <w:noProof/>
          <w:snapToGrid w:val="0"/>
        </w:rPr>
        <w:t>[</w:t>
      </w:r>
      <w:hyperlink w:anchor="_ENREF_38" w:tooltip="Chadwick, 2006 #44" w:history="1">
        <w:r w:rsidR="00DF20CB">
          <w:rPr>
            <w:noProof/>
            <w:snapToGrid w:val="0"/>
          </w:rPr>
          <w:t>38</w:t>
        </w:r>
      </w:hyperlink>
      <w:r w:rsidR="00817846">
        <w:rPr>
          <w:noProof/>
          <w:snapToGrid w:val="0"/>
        </w:rPr>
        <w:t>]</w:t>
      </w:r>
      <w:r w:rsidRPr="00A93605">
        <w:rPr>
          <w:snapToGrid w:val="0"/>
        </w:rPr>
        <w:fldChar w:fldCharType="end"/>
      </w:r>
      <w:r w:rsidRPr="00A93605">
        <w:rPr>
          <w:snapToGrid w:val="0"/>
        </w:rPr>
        <w:t xml:space="preserve"> nuc</w:t>
      </w:r>
      <w:r w:rsidR="005E0235">
        <w:rPr>
          <w:snapToGrid w:val="0"/>
        </w:rPr>
        <w:t>lear data. TRITON couples the 2</w:t>
      </w:r>
      <w:r w:rsidRPr="00A93605">
        <w:rPr>
          <w:snapToGrid w:val="0"/>
        </w:rPr>
        <w:t xml:space="preserve">D radiation transport code NEWT with ORIGEN for isotopic decay and depletion calculations. </w:t>
      </w:r>
    </w:p>
    <w:p w14:paraId="3339E8A5" w14:textId="68097216" w:rsidR="00E44360" w:rsidRPr="00A93605" w:rsidRDefault="00604852" w:rsidP="006F0C75">
      <w:pPr>
        <w:spacing w:line="360" w:lineRule="auto"/>
        <w:jc w:val="both"/>
        <w:rPr>
          <w:snapToGrid w:val="0"/>
        </w:rPr>
      </w:pPr>
      <w:r w:rsidRPr="00A93605">
        <w:rPr>
          <w:snapToGrid w:val="0"/>
        </w:rPr>
        <w:t>Modeling the fuel as a single repeating pin cell with reflective boundary conditions allowed for a large number of cases to be run in a short time, with each case containing numerous pertur</w:t>
      </w:r>
      <w:r w:rsidR="00931631">
        <w:rPr>
          <w:snapToGrid w:val="0"/>
        </w:rPr>
        <w:t>ba</w:t>
      </w:r>
      <w:r w:rsidR="005E0235">
        <w:rPr>
          <w:snapToGrid w:val="0"/>
        </w:rPr>
        <w:t>tions and iterations. Figure 9</w:t>
      </w:r>
      <w:r w:rsidRPr="00A93605">
        <w:rPr>
          <w:snapToGrid w:val="0"/>
        </w:rPr>
        <w:t xml:space="preserve"> depicts the TRITON model of the reference case pin geometry based on a Westinghouse 17 × 17 PWR fuel</w:t>
      </w:r>
      <w:r w:rsidR="009120DE">
        <w:rPr>
          <w:snapToGrid w:val="0"/>
        </w:rPr>
        <w:t xml:space="preserve"> rod. The polygonal geometry</w:t>
      </w:r>
      <w:r w:rsidRPr="00A93605">
        <w:rPr>
          <w:snapToGrid w:val="0"/>
        </w:rPr>
        <w:t xml:space="preserve"> is the TRITON representation of a cylindrical geometry. </w:t>
      </w:r>
    </w:p>
    <w:p w14:paraId="4F9ECDD8" w14:textId="77777777" w:rsidR="00604852" w:rsidRPr="00A93605" w:rsidRDefault="00604852" w:rsidP="006F0C75">
      <w:pPr>
        <w:spacing w:line="360" w:lineRule="auto"/>
        <w:jc w:val="left"/>
        <w:rPr>
          <w:snapToGrid w:val="0"/>
        </w:rPr>
      </w:pPr>
    </w:p>
    <w:p w14:paraId="1A4BB163" w14:textId="77777777" w:rsidR="00604852" w:rsidRPr="00A93605" w:rsidRDefault="00604852" w:rsidP="006F0C75">
      <w:pPr>
        <w:spacing w:line="360" w:lineRule="auto"/>
        <w:ind w:left="720"/>
        <w:rPr>
          <w:snapToGrid w:val="0"/>
        </w:rPr>
      </w:pPr>
      <w:r w:rsidRPr="00A93605">
        <w:rPr>
          <w:noProof/>
        </w:rPr>
        <w:drawing>
          <wp:inline distT="0" distB="0" distL="0" distR="0" wp14:anchorId="743D44CD" wp14:editId="6D856A33">
            <wp:extent cx="2200275" cy="2182444"/>
            <wp:effectExtent l="0" t="0" r="0" b="8890"/>
            <wp:docPr id="7176" name="Picture 7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200275" cy="2182444"/>
                    </a:xfrm>
                    <a:prstGeom prst="rect">
                      <a:avLst/>
                    </a:prstGeom>
                    <a:noFill/>
                    <a:ln>
                      <a:noFill/>
                    </a:ln>
                  </pic:spPr>
                </pic:pic>
              </a:graphicData>
            </a:graphic>
          </wp:inline>
        </w:drawing>
      </w:r>
    </w:p>
    <w:p w14:paraId="64E0D53D" w14:textId="53333CB0" w:rsidR="00604852" w:rsidRDefault="0039764A" w:rsidP="006F0C75">
      <w:pPr>
        <w:spacing w:line="360" w:lineRule="auto"/>
        <w:ind w:left="720"/>
      </w:pPr>
      <w:bookmarkStart w:id="11" w:name="_Toc416993448"/>
      <w:r>
        <w:t xml:space="preserve">Figure </w:t>
      </w:r>
      <w:fldSimple w:instr=" SEQ Figure \* ARABIC ">
        <w:r w:rsidR="00F3244B">
          <w:rPr>
            <w:noProof/>
          </w:rPr>
          <w:t>9</w:t>
        </w:r>
      </w:fldSimple>
      <w:r>
        <w:t xml:space="preserve">: </w:t>
      </w:r>
      <w:r w:rsidRPr="00D858B2">
        <w:t xml:space="preserve">Westinghouse 17 × 17 </w:t>
      </w:r>
      <w:r w:rsidR="00373287">
        <w:t>PWR</w:t>
      </w:r>
      <w:r w:rsidRPr="00D858B2">
        <w:t xml:space="preserve"> pin cell model</w:t>
      </w:r>
      <w:bookmarkEnd w:id="11"/>
    </w:p>
    <w:p w14:paraId="206180CB" w14:textId="77777777" w:rsidR="00E44360" w:rsidRPr="00A93605" w:rsidRDefault="00E44360" w:rsidP="006F0C75">
      <w:pPr>
        <w:spacing w:line="360" w:lineRule="auto"/>
        <w:jc w:val="left"/>
        <w:rPr>
          <w:snapToGrid w:val="0"/>
        </w:rPr>
      </w:pPr>
    </w:p>
    <w:p w14:paraId="5796BA58" w14:textId="77777777" w:rsidR="003F4772" w:rsidRPr="003F4772" w:rsidRDefault="00604852" w:rsidP="006F0C75">
      <w:pPr>
        <w:spacing w:line="360" w:lineRule="auto"/>
        <w:jc w:val="both"/>
        <w:rPr>
          <w:snapToGrid w:val="0"/>
        </w:rPr>
      </w:pPr>
      <w:r w:rsidRPr="00A93605">
        <w:rPr>
          <w:snapToGrid w:val="0"/>
        </w:rPr>
        <w:lastRenderedPageBreak/>
        <w:t>The inner red region represents the UO</w:t>
      </w:r>
      <w:r w:rsidRPr="00A93605">
        <w:rPr>
          <w:snapToGrid w:val="0"/>
          <w:vertAlign w:val="subscript"/>
        </w:rPr>
        <w:t>2</w:t>
      </w:r>
      <w:r w:rsidRPr="00A93605">
        <w:rPr>
          <w:snapToGrid w:val="0"/>
        </w:rPr>
        <w:t xml:space="preserve"> pellet fuel used in all cases. The surrounding green and gray rings denote the gas gap and cladding material, respectively. Finally, the blue surrounding region represents the borated water coolant. Throughout this study, P/D and the pellet-cladding gap were kept constant at 1.326 and 82.55 μm, respectively. An average value of 630 ppm boron was placed in the water coolant to simulate the letdown of boron concentration from beginning o</w:t>
      </w:r>
      <w:r w:rsidR="003F4772">
        <w:rPr>
          <w:snapToGrid w:val="0"/>
        </w:rPr>
        <w:t xml:space="preserve">f cycle </w:t>
      </w:r>
      <w:r w:rsidR="00373287">
        <w:rPr>
          <w:snapToGrid w:val="0"/>
        </w:rPr>
        <w:t xml:space="preserve">(BOC) </w:t>
      </w:r>
      <w:r w:rsidR="006224E8">
        <w:rPr>
          <w:snapToGrid w:val="0"/>
        </w:rPr>
        <w:t>to EOC</w:t>
      </w:r>
      <w:r w:rsidR="003F4772">
        <w:rPr>
          <w:snapToGrid w:val="0"/>
        </w:rPr>
        <w:t xml:space="preserve">. </w:t>
      </w:r>
    </w:p>
    <w:p w14:paraId="4C77B090" w14:textId="1604C6DA" w:rsidR="005C4F35" w:rsidRDefault="00700989" w:rsidP="006F0C75">
      <w:pPr>
        <w:spacing w:line="360" w:lineRule="auto"/>
        <w:jc w:val="both"/>
        <w:rPr>
          <w:snapToGrid w:val="0"/>
        </w:rPr>
      </w:pPr>
      <w:r>
        <w:rPr>
          <w:snapToGrid w:val="0"/>
        </w:rPr>
        <w:t xml:space="preserve">During the alternate cladding study, when performing pin cell calculations </w:t>
      </w:r>
      <w:r w:rsidR="00354E6E">
        <w:rPr>
          <w:snapToGrid w:val="0"/>
        </w:rPr>
        <w:t>in SCALE, the</w:t>
      </w:r>
      <w:r w:rsidR="003F4772" w:rsidRPr="00A93605">
        <w:rPr>
          <w:snapToGrid w:val="0"/>
        </w:rPr>
        <w:t xml:space="preserve"> temperature of the fuel was kept at an average of 900 K, while the cladding and gap were modeled at 600 K</w:t>
      </w:r>
      <w:r w:rsidR="008C091E">
        <w:rPr>
          <w:snapToGrid w:val="0"/>
        </w:rPr>
        <w:t xml:space="preserve"> </w:t>
      </w:r>
      <w:r w:rsidR="00D00A8B">
        <w:rPr>
          <w:snapToGrid w:val="0"/>
        </w:rPr>
        <w:fldChar w:fldCharType="begin"/>
      </w:r>
      <w:r w:rsidR="00817846">
        <w:rPr>
          <w:snapToGrid w:val="0"/>
        </w:rPr>
        <w:instrText xml:space="preserve"> ADDIN EN.CITE &lt;EndNote&gt;&lt;Cite&gt;&lt;Author&gt;Godfrey&lt;/Author&gt;&lt;Year&gt;2013&lt;/Year&gt;&lt;RecNum&gt;30&lt;/RecNum&gt;&lt;DisplayText&gt;[39]&lt;/DisplayText&gt;&lt;record&gt;&lt;rec-number&gt;30&lt;/rec-number&gt;&lt;foreign-keys&gt;&lt;key app="EN" db-id="trfxzx057wwv0qe0vz1vttttwf0522tvtwpt" timestamp="1422125516"&gt;30&lt;/key&gt;&lt;/foreign-keys&gt;&lt;ref-type name="Generic"&gt;13&lt;/ref-type&gt;&lt;contributors&gt;&lt;authors&gt;&lt;author&gt;Godfrey, AT&lt;/author&gt;&lt;/authors&gt;&lt;/contributors&gt;&lt;titles&gt;&lt;title&gt;VERA Core Physics Benchmark Progression Problem Specifications&lt;/title&gt;&lt;/titles&gt;&lt;dates&gt;&lt;year&gt;2013&lt;/year&gt;&lt;/dates&gt;&lt;publisher&gt;Revision&lt;/publisher&gt;&lt;urls&gt;&lt;/urls&gt;&lt;/record&gt;&lt;/Cite&gt;&lt;/EndNote&gt;</w:instrText>
      </w:r>
      <w:r w:rsidR="00D00A8B">
        <w:rPr>
          <w:snapToGrid w:val="0"/>
        </w:rPr>
        <w:fldChar w:fldCharType="separate"/>
      </w:r>
      <w:r w:rsidR="00817846">
        <w:rPr>
          <w:noProof/>
          <w:snapToGrid w:val="0"/>
        </w:rPr>
        <w:t>[</w:t>
      </w:r>
      <w:hyperlink w:anchor="_ENREF_39" w:tooltip="Godfrey, 2013 #30" w:history="1">
        <w:r w:rsidR="00DF20CB">
          <w:rPr>
            <w:noProof/>
            <w:snapToGrid w:val="0"/>
          </w:rPr>
          <w:t>39</w:t>
        </w:r>
      </w:hyperlink>
      <w:r w:rsidR="00817846">
        <w:rPr>
          <w:noProof/>
          <w:snapToGrid w:val="0"/>
        </w:rPr>
        <w:t>]</w:t>
      </w:r>
      <w:r w:rsidR="00D00A8B">
        <w:rPr>
          <w:snapToGrid w:val="0"/>
        </w:rPr>
        <w:fldChar w:fldCharType="end"/>
      </w:r>
      <w:r w:rsidR="003F4772" w:rsidRPr="00A93605">
        <w:rPr>
          <w:snapToGrid w:val="0"/>
        </w:rPr>
        <w:t xml:space="preserve">. </w:t>
      </w:r>
      <w:r w:rsidR="00354E6E">
        <w:rPr>
          <w:snapToGrid w:val="0"/>
        </w:rPr>
        <w:t>However, d</w:t>
      </w:r>
      <w:r w:rsidR="003F4772" w:rsidRPr="00A93605">
        <w:rPr>
          <w:snapToGrid w:val="0"/>
        </w:rPr>
        <w:t>ue to a reduction in conductivity when using SiC cladding, the temperature of the fuel was raised to 1,100 K, and the temperature of the cladding and gap were raised to 700 K</w:t>
      </w:r>
      <w:r w:rsidR="008C091E">
        <w:rPr>
          <w:snapToGrid w:val="0"/>
        </w:rPr>
        <w:t xml:space="preserve"> </w:t>
      </w:r>
      <w:r w:rsidR="00D00A8B">
        <w:rPr>
          <w:snapToGrid w:val="0"/>
        </w:rPr>
        <w:fldChar w:fldCharType="begin"/>
      </w:r>
      <w:r w:rsidR="00046F32">
        <w:rPr>
          <w:snapToGrid w:val="0"/>
        </w:rPr>
        <w:instrText xml:space="preserve"> ADDIN EN.CITE &lt;EndNote&gt;&lt;Cite&gt;&lt;Author&gt;Ben-Belgacem&lt;/Author&gt;&lt;Year&gt;2014&lt;/Year&gt;&lt;RecNum&gt;3&lt;/RecNum&gt;&lt;DisplayText&gt;[23]&lt;/DisplayText&gt;&lt;record&gt;&lt;rec-number&gt;3&lt;/rec-number&gt;&lt;foreign-keys&gt;&lt;key app="EN" db-id="2xr5xwvelzde2mew29sv50pv0rfe95epfwxp" timestamp="1422335365"&gt;3&lt;/key&gt;&lt;/foreign-keys&gt;&lt;ref-type name="Journal Article"&gt;17&lt;/ref-type&gt;&lt;contributors&gt;&lt;authors&gt;&lt;author&gt;Ben-Belgacem, M.&lt;/author&gt;&lt;author&gt;Richet, V.&lt;/author&gt;&lt;author&gt;Terrani, K. A.&lt;/author&gt;&lt;author&gt;Katoh, Y.&lt;/author&gt;&lt;author&gt;Snead, L. L.&lt;/author&gt;&lt;/authors&gt;&lt;/contributors&gt;&lt;titles&gt;&lt;title&gt;Thermo-mechanical analysis of LWR SiC/SiC composite cladding&lt;/title&gt;&lt;secondary-title&gt;Journal of Nuclear Materials&lt;/secondary-title&gt;&lt;/titles&gt;&lt;pages&gt;125-142&lt;/pages&gt;&lt;volume&gt;447&lt;/volume&gt;&lt;number&gt;1-3&lt;/number&gt;&lt;dates&gt;&lt;year&gt;2014&lt;/year&gt;&lt;/dates&gt;&lt;isbn&gt;00223115&lt;/isbn&gt;&lt;urls&gt;&lt;/urls&gt;&lt;electronic-resource-num&gt;10.1016/j.jnucmat.2014.01.006&lt;/electronic-resource-num&gt;&lt;/record&gt;&lt;/Cite&gt;&lt;/EndNote&gt;</w:instrText>
      </w:r>
      <w:r w:rsidR="00D00A8B">
        <w:rPr>
          <w:snapToGrid w:val="0"/>
        </w:rPr>
        <w:fldChar w:fldCharType="separate"/>
      </w:r>
      <w:r w:rsidR="00046F32">
        <w:rPr>
          <w:noProof/>
          <w:snapToGrid w:val="0"/>
        </w:rPr>
        <w:t>[</w:t>
      </w:r>
      <w:hyperlink w:anchor="_ENREF_23" w:tooltip="Ben-Belgacem, 2014 #3" w:history="1">
        <w:r w:rsidR="00DF20CB">
          <w:rPr>
            <w:noProof/>
            <w:snapToGrid w:val="0"/>
          </w:rPr>
          <w:t>23</w:t>
        </w:r>
      </w:hyperlink>
      <w:r w:rsidR="00046F32">
        <w:rPr>
          <w:noProof/>
          <w:snapToGrid w:val="0"/>
        </w:rPr>
        <w:t>]</w:t>
      </w:r>
      <w:r w:rsidR="00D00A8B">
        <w:rPr>
          <w:snapToGrid w:val="0"/>
        </w:rPr>
        <w:fldChar w:fldCharType="end"/>
      </w:r>
      <w:r w:rsidR="003F4772" w:rsidRPr="00A93605">
        <w:rPr>
          <w:snapToGrid w:val="0"/>
        </w:rPr>
        <w:t>. The borated water in the system was modeled at 580 K at a constant density of 0.7119 g/cm</w:t>
      </w:r>
      <w:r w:rsidR="003F4772" w:rsidRPr="00A93605">
        <w:rPr>
          <w:snapToGrid w:val="0"/>
          <w:vertAlign w:val="superscript"/>
        </w:rPr>
        <w:t xml:space="preserve">3 </w:t>
      </w:r>
      <w:r w:rsidR="003F4772">
        <w:rPr>
          <w:snapToGrid w:val="0"/>
        </w:rPr>
        <w:t xml:space="preserve">for all cases. </w:t>
      </w:r>
    </w:p>
    <w:p w14:paraId="26BD620D" w14:textId="77777777" w:rsidR="00700989" w:rsidRPr="006F0C75" w:rsidRDefault="00B00644" w:rsidP="006F0C75">
      <w:pPr>
        <w:spacing w:line="360" w:lineRule="auto"/>
        <w:jc w:val="both"/>
      </w:pPr>
      <w:r w:rsidRPr="00B00644">
        <w:t xml:space="preserve">When modeling FCM fuel, particles were </w:t>
      </w:r>
      <w:r>
        <w:t>simulated</w:t>
      </w:r>
      <w:r w:rsidRPr="00B00644">
        <w:t xml:space="preserve"> with the double heterogeneous (DH) module in SCALE. Equally spaced in a lattice configuration within the fuel region of Figure 9, the particles were encapsulated in a SiC matrix. </w:t>
      </w:r>
      <w:r w:rsidR="005C4F35">
        <w:t>I</w:t>
      </w:r>
      <w:r w:rsidR="00700989" w:rsidRPr="00B00644">
        <w:t xml:space="preserve">t was clear </w:t>
      </w:r>
      <w:r>
        <w:t xml:space="preserve">early on </w:t>
      </w:r>
      <w:r w:rsidR="00700989" w:rsidRPr="00B00644">
        <w:t>that a core consisting of UO</w:t>
      </w:r>
      <w:r w:rsidR="00700989" w:rsidRPr="00B00644">
        <w:rPr>
          <w:vertAlign w:val="subscript"/>
        </w:rPr>
        <w:t>2</w:t>
      </w:r>
      <w:r w:rsidR="00700989" w:rsidRPr="00B00644">
        <w:t>-fueled FCM fuel assemblies would not sustain three 18</w:t>
      </w:r>
      <w:r w:rsidR="00700989" w:rsidRPr="00B00644">
        <w:noBreakHyphen/>
        <w:t xml:space="preserve">month cycles as is typical for currently operating PWRs. Even with 19.75% enriched uranium and a kernel diameter (KD) of 500 µm, the total fuel volume in the design is not sufficient to reach the three cycles achieved by current PWR designs at enrichments of up to 5% </w:t>
      </w:r>
      <w:r w:rsidR="00700989" w:rsidRPr="00B00644">
        <w:rPr>
          <w:vertAlign w:val="superscript"/>
        </w:rPr>
        <w:t>235</w:t>
      </w:r>
      <w:r w:rsidR="00700989" w:rsidRPr="00B00644">
        <w:t xml:space="preserve">U. Thus </w:t>
      </w:r>
      <w:r w:rsidR="00A91830">
        <w:t xml:space="preserve">changes to the particle geometry and </w:t>
      </w:r>
      <w:r w:rsidR="00700989" w:rsidRPr="00B00644">
        <w:t>insertion of an alternative fuel form</w:t>
      </w:r>
      <w:r w:rsidR="00A91830">
        <w:t xml:space="preserve"> were</w:t>
      </w:r>
      <w:r w:rsidR="00700989" w:rsidRPr="00B00644">
        <w:t xml:space="preserve"> </w:t>
      </w:r>
      <w:r w:rsidR="00A91830">
        <w:t>investigated to increase the fissile loading in the FCM design.</w:t>
      </w:r>
    </w:p>
    <w:p w14:paraId="4A67491D" w14:textId="77777777" w:rsidR="00354E6E" w:rsidRDefault="00354E6E" w:rsidP="006F0C75">
      <w:pPr>
        <w:spacing w:line="360" w:lineRule="auto"/>
        <w:jc w:val="both"/>
        <w:rPr>
          <w:rFonts w:eastAsia="Calibri"/>
        </w:rPr>
      </w:pPr>
      <w:r>
        <w:rPr>
          <w:rFonts w:eastAsia="Calibri"/>
        </w:rPr>
        <w:t xml:space="preserve">In addition to pin cell calculations, </w:t>
      </w:r>
      <w:r w:rsidRPr="00A93605">
        <w:rPr>
          <w:rFonts w:eastAsia="Calibri"/>
        </w:rPr>
        <w:t xml:space="preserve">17 × 17 </w:t>
      </w:r>
      <w:r>
        <w:rPr>
          <w:rFonts w:eastAsia="Calibri"/>
        </w:rPr>
        <w:t xml:space="preserve">PWR </w:t>
      </w:r>
      <w:r w:rsidRPr="00A93605">
        <w:rPr>
          <w:rFonts w:eastAsia="Calibri"/>
        </w:rPr>
        <w:t>lattice</w:t>
      </w:r>
      <w:r>
        <w:rPr>
          <w:rFonts w:eastAsia="Calibri"/>
        </w:rPr>
        <w:t>s were</w:t>
      </w:r>
      <w:r w:rsidRPr="00A93605">
        <w:rPr>
          <w:rFonts w:eastAsia="Calibri"/>
        </w:rPr>
        <w:t xml:space="preserve"> also </w:t>
      </w:r>
      <w:r>
        <w:rPr>
          <w:rFonts w:eastAsia="Calibri"/>
        </w:rPr>
        <w:t xml:space="preserve">modeled in SCALE. </w:t>
      </w:r>
      <w:r w:rsidRPr="00A93605">
        <w:rPr>
          <w:rFonts w:eastAsia="Calibri"/>
        </w:rPr>
        <w:t xml:space="preserve">By constructing a quarter </w:t>
      </w:r>
      <w:proofErr w:type="gramStart"/>
      <w:r w:rsidRPr="00A93605">
        <w:rPr>
          <w:rFonts w:eastAsia="Calibri"/>
        </w:rPr>
        <w:t>lattice</w:t>
      </w:r>
      <w:proofErr w:type="gramEnd"/>
      <w:r w:rsidRPr="00A93605">
        <w:rPr>
          <w:rFonts w:eastAsia="Calibri"/>
        </w:rPr>
        <w:t xml:space="preserve"> of 8.5 × 8.5 pins with reflective boundary conditions on each side, an infinite array of 17 × 17 pin lattices was modeled. This technique was used to </w:t>
      </w:r>
      <w:r>
        <w:rPr>
          <w:rFonts w:eastAsia="Calibri"/>
        </w:rPr>
        <w:t>verify eigenvalue calculations done on a pin cell level and to analyze</w:t>
      </w:r>
      <w:r w:rsidRPr="00A93605">
        <w:rPr>
          <w:rFonts w:eastAsia="Calibri"/>
        </w:rPr>
        <w:t xml:space="preserve"> fuel pin power peaking</w:t>
      </w:r>
      <w:r>
        <w:rPr>
          <w:rFonts w:eastAsia="Calibri"/>
        </w:rPr>
        <w:t xml:space="preserve"> of the FCM fuel</w:t>
      </w:r>
      <w:r w:rsidRPr="00A93605">
        <w:rPr>
          <w:rFonts w:eastAsia="Calibri"/>
        </w:rPr>
        <w:t xml:space="preserve">. Pin power peaking factors were evaluated using the relative pin power arrays calculated by SCALE/TRITON. These are used to compare hotspot locations from pin to pin in a </w:t>
      </w:r>
      <w:r w:rsidRPr="00A93605">
        <w:rPr>
          <w:rFonts w:eastAsia="Calibri"/>
        </w:rPr>
        <w:lastRenderedPageBreak/>
        <w:t xml:space="preserve">typical fuel assembly. </w:t>
      </w:r>
      <w:r w:rsidR="00DC0A3C">
        <w:rPr>
          <w:rFonts w:eastAsia="Calibri"/>
        </w:rPr>
        <w:t>Figure 10</w:t>
      </w:r>
      <w:r>
        <w:rPr>
          <w:rFonts w:eastAsia="Calibri"/>
        </w:rPr>
        <w:t xml:space="preserve"> represents a quarter lattice </w:t>
      </w:r>
      <w:proofErr w:type="gramStart"/>
      <w:r>
        <w:rPr>
          <w:rFonts w:eastAsia="Calibri"/>
        </w:rPr>
        <w:t>printout</w:t>
      </w:r>
      <w:proofErr w:type="gramEnd"/>
      <w:r>
        <w:rPr>
          <w:rFonts w:eastAsia="Calibri"/>
        </w:rPr>
        <w:t xml:space="preserve"> from SCALE of a PWR assembly.</w:t>
      </w:r>
    </w:p>
    <w:p w14:paraId="776CC6CE" w14:textId="77777777" w:rsidR="00E44360" w:rsidRDefault="00E44360" w:rsidP="0091793B">
      <w:pPr>
        <w:spacing w:line="360" w:lineRule="auto"/>
        <w:jc w:val="both"/>
        <w:rPr>
          <w:rFonts w:eastAsia="Calibri" w:cs="Times New Roman"/>
        </w:rPr>
      </w:pPr>
    </w:p>
    <w:p w14:paraId="2313D4E8" w14:textId="77777777" w:rsidR="00354E6E" w:rsidRPr="00354E6E" w:rsidRDefault="00354E6E" w:rsidP="0091793B">
      <w:pPr>
        <w:widowControl w:val="0"/>
        <w:spacing w:after="0" w:line="360" w:lineRule="auto"/>
        <w:rPr>
          <w:rFonts w:eastAsia="Times New Roman" w:cs="Times New Roman"/>
          <w:snapToGrid w:val="0"/>
          <w:szCs w:val="24"/>
        </w:rPr>
      </w:pPr>
      <w:r w:rsidRPr="00354E6E">
        <w:rPr>
          <w:rFonts w:eastAsia="Times New Roman" w:cs="Times New Roman"/>
          <w:noProof/>
          <w:szCs w:val="24"/>
        </w:rPr>
        <w:drawing>
          <wp:inline distT="0" distB="0" distL="0" distR="0" wp14:anchorId="32481EF0" wp14:editId="13D7B322">
            <wp:extent cx="2796363" cy="2791284"/>
            <wp:effectExtent l="0" t="0" r="444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2806548" cy="2801451"/>
                    </a:xfrm>
                    <a:prstGeom prst="rect">
                      <a:avLst/>
                    </a:prstGeom>
                    <a:noFill/>
                    <a:ln>
                      <a:noFill/>
                    </a:ln>
                  </pic:spPr>
                </pic:pic>
              </a:graphicData>
            </a:graphic>
          </wp:inline>
        </w:drawing>
      </w:r>
    </w:p>
    <w:p w14:paraId="4ADB9CBA" w14:textId="035D2BF2" w:rsidR="00354E6E" w:rsidRDefault="0039764A" w:rsidP="0091793B">
      <w:pPr>
        <w:spacing w:line="360" w:lineRule="auto"/>
      </w:pPr>
      <w:bookmarkStart w:id="12" w:name="_Toc416993449"/>
      <w:r>
        <w:t xml:space="preserve">Figure </w:t>
      </w:r>
      <w:fldSimple w:instr=" SEQ Figure \* ARABIC ">
        <w:r w:rsidR="00F3244B">
          <w:rPr>
            <w:noProof/>
          </w:rPr>
          <w:t>10</w:t>
        </w:r>
      </w:fldSimple>
      <w:r>
        <w:t xml:space="preserve">: </w:t>
      </w:r>
      <w:r w:rsidRPr="00DB0852">
        <w:t xml:space="preserve">Westinghouse 17 × 17 </w:t>
      </w:r>
      <w:r w:rsidR="00373287">
        <w:t>PWR</w:t>
      </w:r>
      <w:r w:rsidRPr="00DB0852">
        <w:t xml:space="preserve"> lattice model, with independent depletion mixtures indicated by different colors in the fuel pins</w:t>
      </w:r>
      <w:bookmarkEnd w:id="12"/>
    </w:p>
    <w:p w14:paraId="66185A3E" w14:textId="77777777" w:rsidR="00E44360" w:rsidRDefault="00E44360" w:rsidP="0091793B">
      <w:pPr>
        <w:spacing w:line="360" w:lineRule="auto"/>
        <w:rPr>
          <w:rFonts w:eastAsia="Times New Roman" w:cs="Times New Roman"/>
          <w:snapToGrid w:val="0"/>
          <w:szCs w:val="24"/>
        </w:rPr>
      </w:pPr>
    </w:p>
    <w:p w14:paraId="4F4AF216" w14:textId="77910FAB" w:rsidR="00A93605" w:rsidRPr="00AF6B03" w:rsidRDefault="00A93605" w:rsidP="00E44360">
      <w:pPr>
        <w:spacing w:line="360" w:lineRule="auto"/>
        <w:jc w:val="both"/>
        <w:rPr>
          <w:rFonts w:eastAsia="Calibri" w:cs="Times New Roman"/>
          <w:b/>
          <w:sz w:val="28"/>
        </w:rPr>
      </w:pPr>
      <w:r w:rsidRPr="00AF6B03">
        <w:rPr>
          <w:rFonts w:eastAsia="Calibri" w:cs="Times New Roman"/>
          <w:b/>
          <w:sz w:val="28"/>
        </w:rPr>
        <w:t>I</w:t>
      </w:r>
      <w:r w:rsidR="0030764F">
        <w:rPr>
          <w:rFonts w:eastAsia="Calibri" w:cs="Times New Roman"/>
          <w:b/>
          <w:sz w:val="28"/>
        </w:rPr>
        <w:t>II</w:t>
      </w:r>
      <w:r w:rsidRPr="00AF6B03">
        <w:rPr>
          <w:rFonts w:eastAsia="Calibri" w:cs="Times New Roman"/>
          <w:b/>
          <w:sz w:val="28"/>
        </w:rPr>
        <w:t xml:space="preserve">.B. </w:t>
      </w:r>
      <w:r w:rsidR="001D553C">
        <w:rPr>
          <w:rFonts w:eastAsia="Calibri" w:cs="Times New Roman"/>
          <w:b/>
          <w:sz w:val="28"/>
        </w:rPr>
        <w:tab/>
      </w:r>
      <w:r w:rsidRPr="00AF6B03">
        <w:rPr>
          <w:rFonts w:eastAsia="Calibri" w:cs="Times New Roman"/>
          <w:b/>
          <w:sz w:val="28"/>
        </w:rPr>
        <w:t>Reactivity-Equivalent Physical Transformation</w:t>
      </w:r>
      <w:r w:rsidR="00587CED" w:rsidRPr="00AF6B03">
        <w:rPr>
          <w:rFonts w:eastAsia="Calibri" w:cs="Times New Roman"/>
          <w:b/>
          <w:sz w:val="28"/>
        </w:rPr>
        <w:t xml:space="preserve"> for TRISO Fuel</w:t>
      </w:r>
    </w:p>
    <w:p w14:paraId="09360F9C" w14:textId="74CE9793" w:rsidR="00A93605" w:rsidRPr="00A93605" w:rsidRDefault="00587CED" w:rsidP="00E44360">
      <w:pPr>
        <w:spacing w:after="0" w:line="360" w:lineRule="auto"/>
        <w:jc w:val="both"/>
        <w:rPr>
          <w:rFonts w:eastAsia="Calibri" w:cs="Times New Roman"/>
        </w:rPr>
      </w:pPr>
      <w:r>
        <w:rPr>
          <w:rFonts w:eastAsia="Calibri" w:cs="Times New Roman"/>
          <w:color w:val="000000"/>
        </w:rPr>
        <w:t>When modeling th</w:t>
      </w:r>
      <w:r w:rsidR="0055083A">
        <w:rPr>
          <w:rFonts w:eastAsia="Calibri" w:cs="Times New Roman"/>
          <w:color w:val="000000"/>
        </w:rPr>
        <w:t>e FCM fuel, the larger 2</w:t>
      </w:r>
      <w:r>
        <w:rPr>
          <w:rFonts w:eastAsia="Calibri" w:cs="Times New Roman"/>
          <w:color w:val="000000"/>
        </w:rPr>
        <w:t xml:space="preserve">D problems </w:t>
      </w:r>
      <w:r w:rsidR="00A93605" w:rsidRPr="00A93605">
        <w:rPr>
          <w:rFonts w:eastAsia="Calibri" w:cs="Times New Roman"/>
          <w:color w:val="000000"/>
        </w:rPr>
        <w:t>were proven to be too computationally e</w:t>
      </w:r>
      <w:r w:rsidR="0055083A">
        <w:rPr>
          <w:rFonts w:eastAsia="Calibri" w:cs="Times New Roman"/>
          <w:color w:val="000000"/>
        </w:rPr>
        <w:t xml:space="preserve">xpensive to practically model </w:t>
      </w:r>
      <w:r w:rsidR="005969E9">
        <w:rPr>
          <w:rFonts w:eastAsia="Calibri" w:cs="Times New Roman"/>
          <w:color w:val="000000"/>
        </w:rPr>
        <w:t xml:space="preserve">the </w:t>
      </w:r>
      <w:r w:rsidR="005C4F35">
        <w:rPr>
          <w:rFonts w:eastAsia="Calibri" w:cs="Times New Roman"/>
          <w:color w:val="000000"/>
        </w:rPr>
        <w:t>DH</w:t>
      </w:r>
      <w:r w:rsidR="00A93605" w:rsidRPr="00A93605">
        <w:rPr>
          <w:rFonts w:eastAsia="Calibri" w:cs="Times New Roman"/>
          <w:color w:val="000000"/>
        </w:rPr>
        <w:t xml:space="preserve"> designs</w:t>
      </w:r>
      <w:r>
        <w:rPr>
          <w:rFonts w:eastAsia="Calibri" w:cs="Times New Roman"/>
          <w:color w:val="000000"/>
        </w:rPr>
        <w:t xml:space="preserve"> with SCALE. Therefore modeling techniques were investigated</w:t>
      </w:r>
      <w:r w:rsidR="00A93605" w:rsidRPr="00A93605">
        <w:rPr>
          <w:rFonts w:eastAsia="Calibri" w:cs="Times New Roman"/>
          <w:color w:val="000000"/>
        </w:rPr>
        <w:t xml:space="preserve"> to circumvent this problem. In particular, a modified version of the reactivity</w:t>
      </w:r>
      <w:r w:rsidR="00A93605" w:rsidRPr="00A93605">
        <w:rPr>
          <w:rFonts w:eastAsia="Calibri" w:cs="Times New Roman"/>
        </w:rPr>
        <w:t>-equivalent physical transformation (RPT) method was used to simulate an equivalent pin that exhibits the same reactivity characteristics as t</w:t>
      </w:r>
      <w:r w:rsidR="005C4F35">
        <w:rPr>
          <w:rFonts w:eastAsia="Calibri" w:cs="Times New Roman"/>
        </w:rPr>
        <w:t>hose of a DH treatment. Figure</w:t>
      </w:r>
      <w:r w:rsidR="005E0235">
        <w:rPr>
          <w:rFonts w:eastAsia="Calibri" w:cs="Times New Roman"/>
        </w:rPr>
        <w:t xml:space="preserve"> 11</w:t>
      </w:r>
      <w:r w:rsidR="00A93605" w:rsidRPr="00A93605">
        <w:rPr>
          <w:rFonts w:eastAsia="Calibri" w:cs="Times New Roman"/>
        </w:rPr>
        <w:t xml:space="preserve"> depicts the manipulation of TRISO fuel in a SiC matrix by homogenizing the DH fuel zone into a single-heterog</w:t>
      </w:r>
      <w:r w:rsidR="008C091E">
        <w:rPr>
          <w:rFonts w:eastAsia="Calibri" w:cs="Times New Roman"/>
        </w:rPr>
        <w:t xml:space="preserve">eneous zone </w:t>
      </w:r>
      <w:r w:rsidR="00D00A8B">
        <w:rPr>
          <w:rFonts w:eastAsia="Calibri" w:cs="Times New Roman"/>
        </w:rPr>
        <w:fldChar w:fldCharType="begin"/>
      </w:r>
      <w:r w:rsidR="00817846">
        <w:rPr>
          <w:rFonts w:eastAsia="Calibri" w:cs="Times New Roman"/>
        </w:rPr>
        <w:instrText xml:space="preserve"> ADDIN EN.CITE &lt;EndNote&gt;&lt;Cite&gt;&lt;Author&gt;Kim&lt;/Author&gt;&lt;Year&gt;2005&lt;/Year&gt;&lt;RecNum&gt;31&lt;/RecNum&gt;&lt;DisplayText&gt;[40]&lt;/DisplayText&gt;&lt;record&gt;&lt;rec-number&gt;31&lt;/rec-number&gt;&lt;foreign-keys&gt;&lt;key app="EN" db-id="trfxzx057wwv0qe0vz1vttttwf0522tvtwpt" timestamp="1422125531"&gt;31&lt;/key&gt;&lt;/foreign-keys&gt;&lt;ref-type name="Journal Article"&gt;17&lt;/ref-type&gt;&lt;contributors&gt;&lt;authors&gt;&lt;author&gt;Kim, Yonghee&lt;/author&gt;&lt;author&gt;Baek, Min&lt;/author&gt;&lt;/authors&gt;&lt;/contributors&gt;&lt;titles&gt;&lt;title&gt;Elimination of double-heterogeneity through a reactivity-equivalent physical transformation&lt;/title&gt;&lt;/titles&gt;&lt;dates&gt;&lt;year&gt;2005&lt;/year&gt;&lt;/dates&gt;&lt;urls&gt;&lt;/urls&gt;&lt;/record&gt;&lt;/Cite&gt;&lt;/EndNote&gt;</w:instrText>
      </w:r>
      <w:r w:rsidR="00D00A8B">
        <w:rPr>
          <w:rFonts w:eastAsia="Calibri" w:cs="Times New Roman"/>
        </w:rPr>
        <w:fldChar w:fldCharType="separate"/>
      </w:r>
      <w:r w:rsidR="00817846">
        <w:rPr>
          <w:rFonts w:eastAsia="Calibri" w:cs="Times New Roman"/>
          <w:noProof/>
        </w:rPr>
        <w:t>[</w:t>
      </w:r>
      <w:hyperlink w:anchor="_ENREF_40" w:tooltip="Kim, 2005 #31" w:history="1">
        <w:r w:rsidR="00DF20CB">
          <w:rPr>
            <w:rFonts w:eastAsia="Calibri" w:cs="Times New Roman"/>
            <w:noProof/>
          </w:rPr>
          <w:t>40</w:t>
        </w:r>
      </w:hyperlink>
      <w:r w:rsidR="00817846">
        <w:rPr>
          <w:rFonts w:eastAsia="Calibri" w:cs="Times New Roman"/>
          <w:noProof/>
        </w:rPr>
        <w:t>]</w:t>
      </w:r>
      <w:r w:rsidR="00D00A8B">
        <w:rPr>
          <w:rFonts w:eastAsia="Calibri" w:cs="Times New Roman"/>
        </w:rPr>
        <w:fldChar w:fldCharType="end"/>
      </w:r>
      <w:r w:rsidR="00A93605" w:rsidRPr="00A93605">
        <w:rPr>
          <w:rFonts w:eastAsia="Calibri" w:cs="Times New Roman"/>
        </w:rPr>
        <w:t>.</w:t>
      </w:r>
    </w:p>
    <w:p w14:paraId="7A01906F" w14:textId="77777777" w:rsidR="00414C90" w:rsidRDefault="00414C90" w:rsidP="0091793B">
      <w:pPr>
        <w:spacing w:after="0" w:line="360" w:lineRule="auto"/>
        <w:rPr>
          <w:rFonts w:eastAsia="Calibri" w:cs="Times New Roman"/>
          <w:vertAlign w:val="superscript"/>
        </w:rPr>
      </w:pPr>
    </w:p>
    <w:p w14:paraId="290EFE71" w14:textId="77777777" w:rsidR="00A93605" w:rsidRPr="00A93605" w:rsidRDefault="00A93605" w:rsidP="00E44360">
      <w:pPr>
        <w:spacing w:after="0" w:line="360" w:lineRule="auto"/>
        <w:rPr>
          <w:rFonts w:eastAsia="Calibri" w:cs="Times New Roman"/>
          <w:vertAlign w:val="superscript"/>
        </w:rPr>
      </w:pPr>
      <w:r w:rsidRPr="00A93605">
        <w:rPr>
          <w:rFonts w:eastAsia="Calibri" w:cs="Times New Roman"/>
          <w:noProof/>
          <w:vertAlign w:val="superscript"/>
        </w:rPr>
        <w:lastRenderedPageBreak/>
        <w:drawing>
          <wp:inline distT="0" distB="0" distL="0" distR="0" wp14:anchorId="54FFDFF0" wp14:editId="773EEA0D">
            <wp:extent cx="3965944" cy="1315048"/>
            <wp:effectExtent l="0" t="0" r="0" b="0"/>
            <wp:docPr id="7186" name="Picture 7186" descr="F:\ATF\Publications\FCM\RPT re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F:\ATF\Publications\FCM\RPT rev2.jpg"/>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965835" cy="1315012"/>
                    </a:xfrm>
                    <a:prstGeom prst="rect">
                      <a:avLst/>
                    </a:prstGeom>
                    <a:noFill/>
                    <a:ln>
                      <a:noFill/>
                    </a:ln>
                  </pic:spPr>
                </pic:pic>
              </a:graphicData>
            </a:graphic>
          </wp:inline>
        </w:drawing>
      </w:r>
    </w:p>
    <w:p w14:paraId="3F44024D" w14:textId="286B8FBA" w:rsidR="00A93605" w:rsidRDefault="0039764A" w:rsidP="0091793B">
      <w:pPr>
        <w:spacing w:line="360" w:lineRule="auto"/>
      </w:pPr>
      <w:bookmarkStart w:id="13" w:name="_Toc416993450"/>
      <w:r>
        <w:t xml:space="preserve">Figure </w:t>
      </w:r>
      <w:fldSimple w:instr=" SEQ Figure \* ARABIC ">
        <w:r w:rsidR="00F3244B">
          <w:rPr>
            <w:noProof/>
          </w:rPr>
          <w:t>11</w:t>
        </w:r>
      </w:fldSimple>
      <w:r>
        <w:t xml:space="preserve">: </w:t>
      </w:r>
      <w:r w:rsidRPr="00AE6025">
        <w:t>Reactivity-equivalent physical transformation process</w:t>
      </w:r>
      <w:bookmarkEnd w:id="13"/>
    </w:p>
    <w:p w14:paraId="2F19283A" w14:textId="77777777" w:rsidR="00E44360" w:rsidRPr="00A93605" w:rsidRDefault="00E44360" w:rsidP="0091793B">
      <w:pPr>
        <w:spacing w:line="360" w:lineRule="auto"/>
        <w:rPr>
          <w:rFonts w:eastAsia="Calibri" w:cs="Times New Roman"/>
          <w:vertAlign w:val="superscript"/>
        </w:rPr>
      </w:pPr>
    </w:p>
    <w:p w14:paraId="73291441" w14:textId="6C176D4D" w:rsidR="00A93605" w:rsidRDefault="005C4F35" w:rsidP="0091793B">
      <w:pPr>
        <w:spacing w:line="360" w:lineRule="auto"/>
        <w:jc w:val="both"/>
        <w:rPr>
          <w:rFonts w:eastAsia="Calibri" w:cs="Times New Roman"/>
        </w:rPr>
      </w:pPr>
      <w:r>
        <w:rPr>
          <w:rFonts w:eastAsia="Calibri" w:cs="Times New Roman"/>
        </w:rPr>
        <w:t>As shown in Figure 11</w:t>
      </w:r>
      <w:r w:rsidR="00A93605" w:rsidRPr="00A93605">
        <w:rPr>
          <w:rFonts w:eastAsia="Calibri" w:cs="Times New Roman"/>
        </w:rPr>
        <w:t xml:space="preserve">, the fuel and matrix regions are compacted and smeared into a smaller cylinder, which in turn raises PF, resonance escape probability, and reactivity. This is needed because when the fuel and matrix are homogenized, the </w:t>
      </w:r>
      <w:proofErr w:type="gramStart"/>
      <w:r w:rsidR="00A93605" w:rsidRPr="00A93605">
        <w:rPr>
          <w:rFonts w:eastAsia="Calibri" w:cs="Times New Roman"/>
        </w:rPr>
        <w:t>resonance escape</w:t>
      </w:r>
      <w:proofErr w:type="gramEnd"/>
      <w:r w:rsidR="00A93605" w:rsidRPr="00A93605">
        <w:rPr>
          <w:rFonts w:eastAsia="Calibri" w:cs="Times New Roman"/>
        </w:rPr>
        <w:t xml:space="preserve"> probability decreases, thus increasing resonance self-shielding in </w:t>
      </w:r>
      <w:r w:rsidR="00A93605" w:rsidRPr="00A93605">
        <w:rPr>
          <w:rFonts w:eastAsia="Calibri" w:cs="Times New Roman"/>
          <w:vertAlign w:val="superscript"/>
        </w:rPr>
        <w:t>238</w:t>
      </w:r>
      <w:r w:rsidR="00A93605" w:rsidRPr="00A93605">
        <w:rPr>
          <w:rFonts w:eastAsia="Calibri" w:cs="Times New Roman"/>
        </w:rPr>
        <w:t>U. To counterbalance the effective decrease in reactivity, the radius of the matrix and fuel region is modified until the multiplication factor is equal to that of</w:t>
      </w:r>
      <w:r w:rsidR="008C091E">
        <w:rPr>
          <w:rFonts w:eastAsia="Calibri" w:cs="Times New Roman"/>
        </w:rPr>
        <w:t xml:space="preserve"> the original DH configuration </w:t>
      </w:r>
      <w:r w:rsidR="00D00A8B">
        <w:rPr>
          <w:rFonts w:eastAsia="Calibri" w:cs="Times New Roman"/>
        </w:rPr>
        <w:fldChar w:fldCharType="begin"/>
      </w:r>
      <w:r w:rsidR="00817846">
        <w:rPr>
          <w:rFonts w:eastAsia="Calibri" w:cs="Times New Roman"/>
        </w:rPr>
        <w:instrText xml:space="preserve"> ADDIN EN.CITE &lt;EndNote&gt;&lt;Cite&gt;&lt;Author&gt;Kim&lt;/Author&gt;&lt;Year&gt;2005&lt;/Year&gt;&lt;RecNum&gt;31&lt;/RecNum&gt;&lt;DisplayText&gt;[40]&lt;/DisplayText&gt;&lt;record&gt;&lt;rec-number&gt;31&lt;/rec-number&gt;&lt;foreign-keys&gt;&lt;key app="EN" db-id="trfxzx057wwv0qe0vz1vttttwf0522tvtwpt" timestamp="1422125531"&gt;31&lt;/key&gt;&lt;/foreign-keys&gt;&lt;ref-type name="Journal Article"&gt;17&lt;/ref-type&gt;&lt;contributors&gt;&lt;authors&gt;&lt;author&gt;Kim, Yonghee&lt;/author&gt;&lt;author&gt;Baek, Min&lt;/author&gt;&lt;/authors&gt;&lt;/contributors&gt;&lt;titles&gt;&lt;title&gt;Elimination of double-heterogeneity through a reactivity-equivalent physical transformation&lt;/title&gt;&lt;/titles&gt;&lt;dates&gt;&lt;year&gt;2005&lt;/year&gt;&lt;/dates&gt;&lt;urls&gt;&lt;/urls&gt;&lt;/record&gt;&lt;/Cite&gt;&lt;/EndNote&gt;</w:instrText>
      </w:r>
      <w:r w:rsidR="00D00A8B">
        <w:rPr>
          <w:rFonts w:eastAsia="Calibri" w:cs="Times New Roman"/>
        </w:rPr>
        <w:fldChar w:fldCharType="separate"/>
      </w:r>
      <w:r w:rsidR="00817846">
        <w:rPr>
          <w:rFonts w:eastAsia="Calibri" w:cs="Times New Roman"/>
          <w:noProof/>
        </w:rPr>
        <w:t>[</w:t>
      </w:r>
      <w:hyperlink w:anchor="_ENREF_40" w:tooltip="Kim, 2005 #31" w:history="1">
        <w:r w:rsidR="00DF20CB">
          <w:rPr>
            <w:rFonts w:eastAsia="Calibri" w:cs="Times New Roman"/>
            <w:noProof/>
          </w:rPr>
          <w:t>40</w:t>
        </w:r>
      </w:hyperlink>
      <w:r w:rsidR="00817846">
        <w:rPr>
          <w:rFonts w:eastAsia="Calibri" w:cs="Times New Roman"/>
          <w:noProof/>
        </w:rPr>
        <w:t>]</w:t>
      </w:r>
      <w:r w:rsidR="00D00A8B">
        <w:rPr>
          <w:rFonts w:eastAsia="Calibri" w:cs="Times New Roman"/>
        </w:rPr>
        <w:fldChar w:fldCharType="end"/>
      </w:r>
      <w:r w:rsidR="00176A5F">
        <w:rPr>
          <w:rFonts w:eastAsia="Calibri" w:cs="Times New Roman"/>
        </w:rPr>
        <w:t>.</w:t>
      </w:r>
      <w:r w:rsidR="00A93605" w:rsidRPr="00A93605">
        <w:rPr>
          <w:rFonts w:eastAsia="Calibri" w:cs="Times New Roman"/>
        </w:rPr>
        <w:t xml:space="preserve"> The resulting homogeneous fuel can then be modeled with standard single-heterogeneous approaches. </w:t>
      </w:r>
    </w:p>
    <w:p w14:paraId="09FB03FE" w14:textId="77777777" w:rsidR="00E44360" w:rsidRDefault="00E44360" w:rsidP="00E44360">
      <w:pPr>
        <w:spacing w:line="360" w:lineRule="auto"/>
        <w:jc w:val="both"/>
        <w:rPr>
          <w:rFonts w:eastAsia="Times New Roman" w:cs="Times New Roman"/>
          <w:b/>
          <w:snapToGrid w:val="0"/>
          <w:sz w:val="28"/>
          <w:szCs w:val="24"/>
        </w:rPr>
      </w:pPr>
    </w:p>
    <w:p w14:paraId="7DD4DCD8" w14:textId="131314E6" w:rsidR="00E44360" w:rsidRPr="00E44360" w:rsidRDefault="00E44360" w:rsidP="00E44360">
      <w:pPr>
        <w:spacing w:line="360" w:lineRule="auto"/>
        <w:jc w:val="both"/>
        <w:rPr>
          <w:rFonts w:eastAsia="Calibri" w:cs="Times New Roman"/>
          <w:b/>
          <w:sz w:val="28"/>
        </w:rPr>
      </w:pPr>
      <w:r w:rsidRPr="00AF6B03">
        <w:rPr>
          <w:rFonts w:eastAsia="Calibri" w:cs="Times New Roman"/>
          <w:b/>
          <w:sz w:val="28"/>
        </w:rPr>
        <w:t>I</w:t>
      </w:r>
      <w:r>
        <w:rPr>
          <w:rFonts w:eastAsia="Calibri" w:cs="Times New Roman"/>
          <w:b/>
          <w:sz w:val="28"/>
        </w:rPr>
        <w:t>II.C</w:t>
      </w:r>
      <w:r w:rsidRPr="00AF6B03">
        <w:rPr>
          <w:rFonts w:eastAsia="Calibri" w:cs="Times New Roman"/>
          <w:b/>
          <w:sz w:val="28"/>
        </w:rPr>
        <w:t xml:space="preserve">. </w:t>
      </w:r>
      <w:r w:rsidR="001D553C">
        <w:rPr>
          <w:rFonts w:eastAsia="Calibri" w:cs="Times New Roman"/>
          <w:b/>
          <w:sz w:val="28"/>
        </w:rPr>
        <w:tab/>
      </w:r>
      <w:r w:rsidRPr="00AF6B03">
        <w:rPr>
          <w:rFonts w:eastAsia="Times New Roman" w:cs="Times New Roman"/>
          <w:b/>
          <w:snapToGrid w:val="0"/>
          <w:sz w:val="28"/>
          <w:szCs w:val="24"/>
        </w:rPr>
        <w:t>Alte</w:t>
      </w:r>
      <w:r>
        <w:rPr>
          <w:rFonts w:eastAsia="Times New Roman" w:cs="Times New Roman"/>
          <w:b/>
          <w:snapToGrid w:val="0"/>
          <w:sz w:val="28"/>
          <w:szCs w:val="24"/>
        </w:rPr>
        <w:t>rnate Cladding Input Parameters</w:t>
      </w:r>
      <w:r w:rsidRPr="00AF6B03">
        <w:rPr>
          <w:rFonts w:eastAsia="Calibri" w:cs="Times New Roman"/>
          <w:b/>
          <w:sz w:val="28"/>
        </w:rPr>
        <w:t xml:space="preserve"> </w:t>
      </w:r>
    </w:p>
    <w:p w14:paraId="20E399FC" w14:textId="19167F6F" w:rsidR="00E4261C" w:rsidRDefault="00843B19" w:rsidP="007166EC">
      <w:pPr>
        <w:pStyle w:val="NoSpacing"/>
        <w:spacing w:after="200" w:line="360" w:lineRule="auto"/>
        <w:jc w:val="both"/>
        <w:rPr>
          <w:snapToGrid w:val="0"/>
        </w:rPr>
      </w:pPr>
      <w:r w:rsidRPr="00A93605">
        <w:rPr>
          <w:snapToGrid w:val="0"/>
        </w:rPr>
        <w:t>Table I</w:t>
      </w:r>
      <w:r>
        <w:rPr>
          <w:snapToGrid w:val="0"/>
        </w:rPr>
        <w:t>I</w:t>
      </w:r>
      <w:r w:rsidRPr="00A93605">
        <w:rPr>
          <w:snapToGrid w:val="0"/>
        </w:rPr>
        <w:t xml:space="preserve"> provides the cladding materials examined in this study along with their detailed elemental compositions. This list includes a baseline zirconium alloy (</w:t>
      </w:r>
      <w:r>
        <w:rPr>
          <w:snapToGrid w:val="0"/>
        </w:rPr>
        <w:t>Zircaloy</w:t>
      </w:r>
      <w:r w:rsidRPr="00A93605">
        <w:rPr>
          <w:snapToGrid w:val="0"/>
        </w:rPr>
        <w:t xml:space="preserve">-4), austenitic stainless steels (304SS and 310SS), generic and commercial variants of iron-chromium-aluminum alloys (FeCrAl and </w:t>
      </w:r>
      <w:r>
        <w:rPr>
          <w:snapToGrid w:val="0"/>
        </w:rPr>
        <w:t>APMT</w:t>
      </w:r>
      <w:r>
        <w:rPr>
          <w:snapToGrid w:val="0"/>
          <w:vertAlign w:val="superscript"/>
        </w:rPr>
        <w:t>TM</w:t>
      </w:r>
      <w:r>
        <w:rPr>
          <w:snapToGrid w:val="0"/>
        </w:rPr>
        <w:t xml:space="preserve"> </w:t>
      </w:r>
      <w:r w:rsidR="00DF6D6B">
        <w:rPr>
          <w:snapToGrid w:val="0"/>
        </w:rPr>
        <w:fldChar w:fldCharType="begin"/>
      </w:r>
      <w:r w:rsidR="00817846">
        <w:rPr>
          <w:snapToGrid w:val="0"/>
        </w:rPr>
        <w:instrText xml:space="preserve"> ADDIN EN.CITE &lt;EndNote&gt;&lt;Cite ExcludeYear="1"&gt;&lt;Author&gt;Kanthal&lt;/Author&gt;&lt;RecNum&gt;104&lt;/RecNum&gt;&lt;DisplayText&gt;[41]&lt;/DisplayText&gt;&lt;record&gt;&lt;rec-number&gt;104&lt;/rec-number&gt;&lt;foreign-keys&gt;&lt;key app="EN" db-id="trfxzx057wwv0qe0vz1vttttwf0522tvtwpt" timestamp="1422391924"&gt;104&lt;/key&gt;&lt;/foreign-keys&gt;&lt;ref-type name="Journal Article"&gt;17&lt;/ref-type&gt;&lt;contributors&gt;&lt;authors&gt;&lt;author&gt;Kanthal, APM&lt;/author&gt;&lt;/authors&gt;&lt;/contributors&gt;&lt;titles&gt;&lt;title&gt;APMT Tube Material datasheet&lt;/title&gt;&lt;secondary-title&gt;AB Sandvik group, Sandviken, Sweden&lt;/secondary-title&gt;&lt;/titles&gt;&lt;periodical&gt;&lt;full-title&gt;AB Sandvik group, Sandviken, Sweden&lt;/full-title&gt;&lt;/periodical&gt;&lt;dates&gt;&lt;/dates&gt;&lt;urls&gt;&lt;/urls&gt;&lt;/record&gt;&lt;/Cite&gt;&lt;/EndNote&gt;</w:instrText>
      </w:r>
      <w:r w:rsidR="00DF6D6B">
        <w:rPr>
          <w:snapToGrid w:val="0"/>
        </w:rPr>
        <w:fldChar w:fldCharType="separate"/>
      </w:r>
      <w:r w:rsidR="00817846">
        <w:rPr>
          <w:noProof/>
          <w:snapToGrid w:val="0"/>
        </w:rPr>
        <w:t>[</w:t>
      </w:r>
      <w:hyperlink w:anchor="_ENREF_41" w:tooltip="Kanthal,  #104" w:history="1">
        <w:r w:rsidR="00DF20CB">
          <w:rPr>
            <w:noProof/>
            <w:snapToGrid w:val="0"/>
          </w:rPr>
          <w:t>41</w:t>
        </w:r>
      </w:hyperlink>
      <w:r w:rsidR="00817846">
        <w:rPr>
          <w:noProof/>
          <w:snapToGrid w:val="0"/>
        </w:rPr>
        <w:t>]</w:t>
      </w:r>
      <w:r w:rsidR="00DF6D6B">
        <w:rPr>
          <w:snapToGrid w:val="0"/>
        </w:rPr>
        <w:fldChar w:fldCharType="end"/>
      </w:r>
      <w:r w:rsidR="00DF6D6B">
        <w:rPr>
          <w:snapToGrid w:val="0"/>
        </w:rPr>
        <w:t xml:space="preserve"> </w:t>
      </w:r>
      <w:r w:rsidRPr="00E54D37">
        <w:rPr>
          <w:snapToGrid w:val="0"/>
        </w:rPr>
        <w:t>respectively</w:t>
      </w:r>
      <w:r>
        <w:rPr>
          <w:snapToGrid w:val="0"/>
        </w:rPr>
        <w:t>)</w:t>
      </w:r>
      <w:r w:rsidRPr="00A93605">
        <w:rPr>
          <w:snapToGrid w:val="0"/>
        </w:rPr>
        <w:t>, and SiC.</w:t>
      </w:r>
    </w:p>
    <w:p w14:paraId="75576A68" w14:textId="1F7A37DB" w:rsidR="007166EC" w:rsidRDefault="00E4261C" w:rsidP="007166EC">
      <w:pPr>
        <w:pStyle w:val="NoSpacing"/>
        <w:spacing w:after="200" w:line="360" w:lineRule="auto"/>
        <w:jc w:val="both"/>
        <w:rPr>
          <w:snapToGrid w:val="0"/>
        </w:rPr>
      </w:pPr>
      <w:r w:rsidRPr="00A93605">
        <w:rPr>
          <w:snapToGrid w:val="0"/>
        </w:rPr>
        <w:t xml:space="preserve">For reactivity calculations, a number of fuel rod geometries were considered. A standard PWR 17 × 17 fuel bundle </w:t>
      </w:r>
      <w:r w:rsidRPr="00A93605">
        <w:rPr>
          <w:snapToGrid w:val="0"/>
        </w:rPr>
        <w:fldChar w:fldCharType="begin"/>
      </w:r>
      <w:r w:rsidR="00817846">
        <w:rPr>
          <w:snapToGrid w:val="0"/>
        </w:rPr>
        <w:instrText xml:space="preserve"> ADDIN EN.CITE &lt;EndNote&gt;&lt;Cite&gt;&lt;Year&gt;2004&lt;/Year&gt;&lt;RecNum&gt;3197&lt;/RecNum&gt;&lt;DisplayText&gt;[42]&lt;/DisplayText&gt;&lt;record&gt;&lt;rec-number&gt;3197&lt;/rec-number&gt;&lt;foreign-keys&gt;&lt;key app="EN" db-id="dt5svtsa5rvr0iew5p3xswt5dpssxpvdr2at" timestamp="0"&gt;3197&lt;/key&gt;&lt;/foreign-keys&gt;&lt;ref-type name="Journal Article"&gt;17&lt;/ref-type&gt;&lt;contributors&gt;&lt;/contributors&gt;&lt;titles&gt;&lt;title&gt;Fuel design data&lt;/title&gt;&lt;secondary-title&gt;Nuclear Engineering International&lt;/secondary-title&gt;&lt;/titles&gt;&lt;periodical&gt;&lt;full-title&gt;Nuclear Engineering International&lt;/full-title&gt;&lt;/periodical&gt;&lt;pages&gt;26-35&lt;/pages&gt;&lt;volume&gt;49, Sept.&lt;/volume&gt;&lt;number&gt;September&lt;/number&gt;&lt;dates&gt;&lt;year&gt;2004&lt;/year&gt;&lt;/dates&gt;&lt;urls&gt;&lt;/urls&gt;&lt;/record&gt;&lt;/Cite&gt;&lt;/EndNote&gt;</w:instrText>
      </w:r>
      <w:r w:rsidRPr="00A93605">
        <w:rPr>
          <w:snapToGrid w:val="0"/>
        </w:rPr>
        <w:fldChar w:fldCharType="separate"/>
      </w:r>
      <w:r w:rsidR="00817846">
        <w:rPr>
          <w:noProof/>
          <w:snapToGrid w:val="0"/>
        </w:rPr>
        <w:t>[</w:t>
      </w:r>
      <w:hyperlink w:anchor="_ENREF_42" w:tooltip=", 2004 #3197" w:history="1">
        <w:r w:rsidR="00DF20CB">
          <w:rPr>
            <w:noProof/>
            <w:snapToGrid w:val="0"/>
          </w:rPr>
          <w:t>42</w:t>
        </w:r>
      </w:hyperlink>
      <w:r w:rsidR="00817846">
        <w:rPr>
          <w:noProof/>
          <w:snapToGrid w:val="0"/>
        </w:rPr>
        <w:t>]</w:t>
      </w:r>
      <w:r w:rsidRPr="00A93605">
        <w:rPr>
          <w:snapToGrid w:val="0"/>
        </w:rPr>
        <w:fldChar w:fldCharType="end"/>
      </w:r>
      <w:r w:rsidRPr="00A93605">
        <w:rPr>
          <w:snapToGrid w:val="0"/>
        </w:rPr>
        <w:t xml:space="preserve"> with 4.9% enriched urania (UO</w:t>
      </w:r>
      <w:r w:rsidRPr="00A93605">
        <w:rPr>
          <w:snapToGrid w:val="0"/>
          <w:vertAlign w:val="subscript"/>
        </w:rPr>
        <w:t>2</w:t>
      </w:r>
      <w:r w:rsidRPr="00A93605">
        <w:rPr>
          <w:snapToGrid w:val="0"/>
        </w:rPr>
        <w:t xml:space="preserve">) pellets was chosen as the reference case. Table III provides the various geometries used during reactivity calculations. Case 1 is the reference case; the other cases increase heavy metal and fissile loading in the assembly by either increasing the pellet diameter at the expense of reducing cladding thickness (Cases 2–4) or increasing uranium enrichment (Cases 5–8). Analyses were performed for all cladding material </w:t>
      </w:r>
      <w:r w:rsidRPr="00A93605">
        <w:rPr>
          <w:snapToGrid w:val="0"/>
        </w:rPr>
        <w:lastRenderedPageBreak/>
        <w:t>options for Cases 1–8; Case 9 was analyzed only for SiC to represent the thicker cladding structures demonstrated to date for SiC-based materials</w:t>
      </w:r>
      <w:r>
        <w:rPr>
          <w:snapToGrid w:val="0"/>
        </w:rPr>
        <w:t xml:space="preserve"> </w:t>
      </w:r>
      <w:r>
        <w:rPr>
          <w:snapToGrid w:val="0"/>
        </w:rPr>
        <w:fldChar w:fldCharType="begin"/>
      </w:r>
      <w:r w:rsidR="00817846">
        <w:rPr>
          <w:snapToGrid w:val="0"/>
        </w:rPr>
        <w:instrText xml:space="preserve"> ADDIN EN.CITE &lt;EndNote&gt;&lt;Cite&gt;&lt;Author&gt;Bloore&lt;/Author&gt;&lt;Year&gt;2013&lt;/Year&gt;&lt;RecNum&gt;43&lt;/RecNum&gt;&lt;DisplayText&gt;[43]&lt;/DisplayText&gt;&lt;record&gt;&lt;rec-number&gt;43&lt;/rec-number&gt;&lt;foreign-keys&gt;&lt;key app="EN" db-id="trfxzx057wwv0qe0vz1vttttwf0522tvtwpt" timestamp="1422130004"&gt;43&lt;/key&gt;&lt;/foreign-keys&gt;&lt;ref-type name="Thesis"&gt;32&lt;/ref-type&gt;&lt;contributors&gt;&lt;authors&gt;&lt;author&gt;Bloore, David Allan&lt;/author&gt;&lt;/authors&gt;&lt;/contributors&gt;&lt;titles&gt;&lt;title&gt;Reactor physics assessment of thick silicon carbide clad PWR fuels&lt;/title&gt;&lt;/titles&gt;&lt;dates&gt;&lt;year&gt;2013&lt;/year&gt;&lt;/dates&gt;&lt;publisher&gt;Massachusetts Institute of Technology&lt;/publisher&gt;&lt;urls&gt;&lt;/urls&gt;&lt;/record&gt;&lt;/Cite&gt;&lt;/EndNote&gt;</w:instrText>
      </w:r>
      <w:r>
        <w:rPr>
          <w:snapToGrid w:val="0"/>
        </w:rPr>
        <w:fldChar w:fldCharType="separate"/>
      </w:r>
      <w:r w:rsidR="00817846">
        <w:rPr>
          <w:noProof/>
          <w:snapToGrid w:val="0"/>
        </w:rPr>
        <w:t>[</w:t>
      </w:r>
      <w:hyperlink w:anchor="_ENREF_43" w:tooltip="Bloore, 2013 #43" w:history="1">
        <w:r w:rsidR="00DF20CB">
          <w:rPr>
            <w:noProof/>
            <w:snapToGrid w:val="0"/>
          </w:rPr>
          <w:t>43</w:t>
        </w:r>
      </w:hyperlink>
      <w:r w:rsidR="00817846">
        <w:rPr>
          <w:noProof/>
          <w:snapToGrid w:val="0"/>
        </w:rPr>
        <w:t>]</w:t>
      </w:r>
      <w:r>
        <w:rPr>
          <w:snapToGrid w:val="0"/>
        </w:rPr>
        <w:fldChar w:fldCharType="end"/>
      </w:r>
      <w:r w:rsidRPr="00A93605">
        <w:rPr>
          <w:snapToGrid w:val="0"/>
        </w:rPr>
        <w:t xml:space="preserve">. </w:t>
      </w:r>
    </w:p>
    <w:p w14:paraId="168CF9D3" w14:textId="7218A16B" w:rsidR="0003299B" w:rsidRPr="007166EC" w:rsidRDefault="0003299B" w:rsidP="007166EC">
      <w:pPr>
        <w:pStyle w:val="NoSpacing"/>
        <w:spacing w:after="200" w:line="360" w:lineRule="auto"/>
        <w:jc w:val="both"/>
        <w:rPr>
          <w:snapToGrid w:val="0"/>
        </w:rPr>
      </w:pPr>
    </w:p>
    <w:p w14:paraId="3958DB96" w14:textId="77777777" w:rsidR="00587CED" w:rsidRPr="00A93605" w:rsidRDefault="00A3048B" w:rsidP="0091793B">
      <w:pPr>
        <w:spacing w:line="360" w:lineRule="auto"/>
        <w:rPr>
          <w:rFonts w:ascii="Times New Roman Bold" w:eastAsia="Times New Roman" w:hAnsi="Times New Roman Bold" w:cs="Times New Roman"/>
          <w:b/>
          <w:snapToGrid w:val="0"/>
          <w:szCs w:val="24"/>
        </w:rPr>
      </w:pPr>
      <w:bookmarkStart w:id="14" w:name="_Toc416993424"/>
      <w:r>
        <w:t xml:space="preserve">Table </w:t>
      </w:r>
      <w:fldSimple w:instr=" SEQ Table \* ROMAN ">
        <w:r w:rsidR="00EC7A3E">
          <w:rPr>
            <w:noProof/>
          </w:rPr>
          <w:t>II</w:t>
        </w:r>
      </w:fldSimple>
      <w:r>
        <w:t xml:space="preserve">. </w:t>
      </w:r>
      <w:r w:rsidRPr="002B472F">
        <w:t>Cladding Compositions Used for Fuel Reactivity Calculations</w:t>
      </w:r>
      <w:bookmarkEnd w:id="14"/>
    </w:p>
    <w:tbl>
      <w:tblPr>
        <w:tblW w:w="4993" w:type="pct"/>
        <w:jc w:val="center"/>
        <w:tblInd w:w="1346" w:type="dxa"/>
        <w:tblLook w:val="04A0" w:firstRow="1" w:lastRow="0" w:firstColumn="1" w:lastColumn="0" w:noHBand="0" w:noVBand="1"/>
      </w:tblPr>
      <w:tblGrid>
        <w:gridCol w:w="1019"/>
        <w:gridCol w:w="577"/>
        <w:gridCol w:w="667"/>
        <w:gridCol w:w="669"/>
        <w:gridCol w:w="660"/>
        <w:gridCol w:w="669"/>
        <w:gridCol w:w="669"/>
        <w:gridCol w:w="656"/>
        <w:gridCol w:w="658"/>
        <w:gridCol w:w="669"/>
        <w:gridCol w:w="657"/>
        <w:gridCol w:w="670"/>
        <w:gridCol w:w="657"/>
        <w:gridCol w:w="666"/>
      </w:tblGrid>
      <w:tr w:rsidR="00B35270" w:rsidRPr="00A93605" w14:paraId="1774FEA9" w14:textId="77777777" w:rsidTr="00B35270">
        <w:trPr>
          <w:cantSplit/>
          <w:trHeight w:val="319"/>
          <w:jc w:val="center"/>
        </w:trPr>
        <w:tc>
          <w:tcPr>
            <w:tcW w:w="536" w:type="pct"/>
            <w:tcBorders>
              <w:top w:val="single" w:sz="4" w:space="0" w:color="auto"/>
              <w:left w:val="nil"/>
              <w:bottom w:val="single" w:sz="4" w:space="0" w:color="auto"/>
              <w:right w:val="nil"/>
            </w:tcBorders>
            <w:shd w:val="clear" w:color="auto" w:fill="F2F2F2"/>
            <w:noWrap/>
            <w:vAlign w:val="center"/>
            <w:hideMark/>
          </w:tcPr>
          <w:p w14:paraId="20ECCB5B" w14:textId="77777777" w:rsidR="00587CED" w:rsidRPr="00A93605" w:rsidRDefault="00587CED" w:rsidP="0091793B">
            <w:pPr>
              <w:keepNext/>
              <w:keepLines/>
              <w:widowControl w:val="0"/>
              <w:spacing w:after="0" w:line="360" w:lineRule="auto"/>
              <w:rPr>
                <w:rFonts w:eastAsia="Times New Roman" w:cs="Times New Roman"/>
                <w:b/>
                <w:snapToGrid w:val="0"/>
                <w:color w:val="000000"/>
                <w:sz w:val="20"/>
                <w:szCs w:val="20"/>
              </w:rPr>
            </w:pPr>
            <w:r w:rsidRPr="00A93605">
              <w:rPr>
                <w:rFonts w:eastAsia="Times New Roman" w:cs="Times New Roman"/>
                <w:b/>
                <w:snapToGrid w:val="0"/>
                <w:color w:val="000000"/>
                <w:sz w:val="20"/>
                <w:szCs w:val="20"/>
              </w:rPr>
              <w:t>Material</w:t>
            </w:r>
          </w:p>
        </w:tc>
        <w:tc>
          <w:tcPr>
            <w:tcW w:w="261" w:type="pct"/>
            <w:tcBorders>
              <w:top w:val="single" w:sz="4" w:space="0" w:color="auto"/>
              <w:left w:val="nil"/>
              <w:bottom w:val="single" w:sz="4" w:space="0" w:color="auto"/>
              <w:right w:val="nil"/>
            </w:tcBorders>
            <w:shd w:val="clear" w:color="auto" w:fill="F2F2F2"/>
            <w:noWrap/>
            <w:vAlign w:val="center"/>
            <w:hideMark/>
          </w:tcPr>
          <w:p w14:paraId="37422EF0" w14:textId="77777777" w:rsidR="00587CED" w:rsidRPr="00A93605" w:rsidRDefault="00587CED" w:rsidP="0091793B">
            <w:pPr>
              <w:keepNext/>
              <w:keepLines/>
              <w:widowControl w:val="0"/>
              <w:spacing w:after="0" w:line="360" w:lineRule="auto"/>
              <w:rPr>
                <w:rFonts w:eastAsia="Times New Roman" w:cs="Times New Roman"/>
                <w:b/>
                <w:snapToGrid w:val="0"/>
                <w:color w:val="000000"/>
                <w:sz w:val="20"/>
                <w:szCs w:val="20"/>
              </w:rPr>
            </w:pPr>
            <w:r w:rsidRPr="00A93605">
              <w:rPr>
                <w:rFonts w:eastAsia="Times New Roman" w:cs="Times New Roman"/>
                <w:b/>
                <w:snapToGrid w:val="0"/>
                <w:color w:val="000000"/>
                <w:sz w:val="20"/>
                <w:szCs w:val="20"/>
              </w:rPr>
              <w:t> </w:t>
            </w:r>
          </w:p>
        </w:tc>
        <w:tc>
          <w:tcPr>
            <w:tcW w:w="352" w:type="pct"/>
            <w:tcBorders>
              <w:top w:val="single" w:sz="4" w:space="0" w:color="auto"/>
              <w:left w:val="nil"/>
              <w:bottom w:val="single" w:sz="4" w:space="0" w:color="auto"/>
              <w:right w:val="nil"/>
            </w:tcBorders>
            <w:shd w:val="clear" w:color="auto" w:fill="F2F2F2"/>
            <w:noWrap/>
            <w:vAlign w:val="center"/>
            <w:hideMark/>
          </w:tcPr>
          <w:p w14:paraId="010F6E9B"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Fe</w:t>
            </w:r>
          </w:p>
        </w:tc>
        <w:tc>
          <w:tcPr>
            <w:tcW w:w="353" w:type="pct"/>
            <w:tcBorders>
              <w:top w:val="single" w:sz="4" w:space="0" w:color="auto"/>
              <w:left w:val="nil"/>
              <w:bottom w:val="single" w:sz="4" w:space="0" w:color="auto"/>
              <w:right w:val="nil"/>
            </w:tcBorders>
            <w:shd w:val="clear" w:color="auto" w:fill="F2F2F2"/>
            <w:noWrap/>
            <w:vAlign w:val="center"/>
            <w:hideMark/>
          </w:tcPr>
          <w:p w14:paraId="4812D360"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Cr</w:t>
            </w:r>
          </w:p>
        </w:tc>
        <w:tc>
          <w:tcPr>
            <w:tcW w:w="348" w:type="pct"/>
            <w:tcBorders>
              <w:top w:val="single" w:sz="4" w:space="0" w:color="auto"/>
              <w:left w:val="nil"/>
              <w:bottom w:val="single" w:sz="4" w:space="0" w:color="auto"/>
              <w:right w:val="nil"/>
            </w:tcBorders>
            <w:shd w:val="clear" w:color="auto" w:fill="F2F2F2"/>
            <w:noWrap/>
            <w:vAlign w:val="center"/>
            <w:hideMark/>
          </w:tcPr>
          <w:p w14:paraId="1543E405"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Al</w:t>
            </w:r>
          </w:p>
        </w:tc>
        <w:tc>
          <w:tcPr>
            <w:tcW w:w="353" w:type="pct"/>
            <w:tcBorders>
              <w:top w:val="single" w:sz="4" w:space="0" w:color="auto"/>
              <w:left w:val="nil"/>
              <w:bottom w:val="single" w:sz="4" w:space="0" w:color="auto"/>
              <w:right w:val="nil"/>
            </w:tcBorders>
            <w:shd w:val="clear" w:color="auto" w:fill="F2F2F2"/>
            <w:noWrap/>
            <w:vAlign w:val="center"/>
            <w:hideMark/>
          </w:tcPr>
          <w:p w14:paraId="688F4019"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Zr</w:t>
            </w:r>
          </w:p>
        </w:tc>
        <w:tc>
          <w:tcPr>
            <w:tcW w:w="353" w:type="pct"/>
            <w:tcBorders>
              <w:top w:val="single" w:sz="4" w:space="0" w:color="auto"/>
              <w:left w:val="nil"/>
              <w:bottom w:val="single" w:sz="4" w:space="0" w:color="auto"/>
              <w:right w:val="nil"/>
            </w:tcBorders>
            <w:shd w:val="clear" w:color="auto" w:fill="F2F2F2"/>
            <w:noWrap/>
            <w:vAlign w:val="center"/>
            <w:hideMark/>
          </w:tcPr>
          <w:p w14:paraId="5A9AE655"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Ni</w:t>
            </w:r>
          </w:p>
        </w:tc>
        <w:tc>
          <w:tcPr>
            <w:tcW w:w="346" w:type="pct"/>
            <w:tcBorders>
              <w:top w:val="single" w:sz="4" w:space="0" w:color="auto"/>
              <w:left w:val="nil"/>
              <w:bottom w:val="single" w:sz="4" w:space="0" w:color="auto"/>
              <w:right w:val="nil"/>
            </w:tcBorders>
            <w:shd w:val="clear" w:color="auto" w:fill="F2F2F2"/>
            <w:noWrap/>
            <w:vAlign w:val="center"/>
            <w:hideMark/>
          </w:tcPr>
          <w:p w14:paraId="03833043"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Sn</w:t>
            </w:r>
          </w:p>
        </w:tc>
        <w:tc>
          <w:tcPr>
            <w:tcW w:w="347" w:type="pct"/>
            <w:tcBorders>
              <w:top w:val="single" w:sz="4" w:space="0" w:color="auto"/>
              <w:left w:val="nil"/>
              <w:bottom w:val="single" w:sz="4" w:space="0" w:color="auto"/>
              <w:right w:val="nil"/>
            </w:tcBorders>
            <w:shd w:val="clear" w:color="auto" w:fill="F2F2F2"/>
            <w:noWrap/>
            <w:vAlign w:val="center"/>
            <w:hideMark/>
          </w:tcPr>
          <w:p w14:paraId="5ADF2499"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Mn</w:t>
            </w:r>
          </w:p>
        </w:tc>
        <w:tc>
          <w:tcPr>
            <w:tcW w:w="353" w:type="pct"/>
            <w:tcBorders>
              <w:top w:val="single" w:sz="4" w:space="0" w:color="auto"/>
              <w:left w:val="nil"/>
              <w:bottom w:val="single" w:sz="4" w:space="0" w:color="auto"/>
              <w:right w:val="nil"/>
            </w:tcBorders>
            <w:shd w:val="clear" w:color="auto" w:fill="F2F2F2"/>
            <w:noWrap/>
            <w:vAlign w:val="center"/>
            <w:hideMark/>
          </w:tcPr>
          <w:p w14:paraId="3D8BEC81"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Mo</w:t>
            </w:r>
          </w:p>
        </w:tc>
        <w:tc>
          <w:tcPr>
            <w:tcW w:w="346" w:type="pct"/>
            <w:tcBorders>
              <w:top w:val="single" w:sz="4" w:space="0" w:color="auto"/>
              <w:left w:val="nil"/>
              <w:bottom w:val="single" w:sz="4" w:space="0" w:color="auto"/>
              <w:right w:val="nil"/>
            </w:tcBorders>
            <w:shd w:val="clear" w:color="auto" w:fill="F2F2F2"/>
            <w:noWrap/>
            <w:vAlign w:val="center"/>
            <w:hideMark/>
          </w:tcPr>
          <w:p w14:paraId="3BFCF26C"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Y</w:t>
            </w:r>
          </w:p>
        </w:tc>
        <w:tc>
          <w:tcPr>
            <w:tcW w:w="353" w:type="pct"/>
            <w:tcBorders>
              <w:top w:val="single" w:sz="4" w:space="0" w:color="auto"/>
              <w:left w:val="nil"/>
              <w:bottom w:val="single" w:sz="4" w:space="0" w:color="auto"/>
              <w:right w:val="nil"/>
            </w:tcBorders>
            <w:shd w:val="clear" w:color="auto" w:fill="F2F2F2"/>
            <w:noWrap/>
            <w:vAlign w:val="center"/>
            <w:hideMark/>
          </w:tcPr>
          <w:p w14:paraId="71ECDFBD"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Si</w:t>
            </w:r>
          </w:p>
        </w:tc>
        <w:tc>
          <w:tcPr>
            <w:tcW w:w="346" w:type="pct"/>
            <w:tcBorders>
              <w:top w:val="single" w:sz="4" w:space="0" w:color="auto"/>
              <w:left w:val="nil"/>
              <w:bottom w:val="single" w:sz="4" w:space="0" w:color="auto"/>
              <w:right w:val="nil"/>
            </w:tcBorders>
            <w:shd w:val="clear" w:color="auto" w:fill="F2F2F2"/>
            <w:noWrap/>
            <w:vAlign w:val="center"/>
            <w:hideMark/>
          </w:tcPr>
          <w:p w14:paraId="275052F1"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Hf</w:t>
            </w:r>
          </w:p>
        </w:tc>
        <w:tc>
          <w:tcPr>
            <w:tcW w:w="351" w:type="pct"/>
            <w:tcBorders>
              <w:top w:val="single" w:sz="4" w:space="0" w:color="auto"/>
              <w:left w:val="nil"/>
              <w:bottom w:val="single" w:sz="4" w:space="0" w:color="auto"/>
              <w:right w:val="nil"/>
            </w:tcBorders>
            <w:shd w:val="clear" w:color="auto" w:fill="F2F2F2"/>
            <w:vAlign w:val="center"/>
          </w:tcPr>
          <w:p w14:paraId="4F8AB600"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C</w:t>
            </w:r>
          </w:p>
        </w:tc>
      </w:tr>
      <w:tr w:rsidR="00B35270" w:rsidRPr="00A93605" w14:paraId="2C770B63" w14:textId="77777777" w:rsidTr="00B35270">
        <w:trPr>
          <w:cantSplit/>
          <w:trHeight w:val="319"/>
          <w:jc w:val="center"/>
        </w:trPr>
        <w:tc>
          <w:tcPr>
            <w:tcW w:w="536" w:type="pct"/>
            <w:tcBorders>
              <w:top w:val="single" w:sz="4" w:space="0" w:color="auto"/>
              <w:left w:val="nil"/>
              <w:bottom w:val="nil"/>
              <w:right w:val="nil"/>
            </w:tcBorders>
            <w:shd w:val="clear" w:color="auto" w:fill="auto"/>
            <w:noWrap/>
            <w:vAlign w:val="center"/>
            <w:hideMark/>
          </w:tcPr>
          <w:p w14:paraId="7E5A5901" w14:textId="77777777" w:rsidR="00587CED" w:rsidRPr="00A93605" w:rsidRDefault="00F4572D" w:rsidP="0091793B">
            <w:pPr>
              <w:keepNext/>
              <w:keepLines/>
              <w:widowControl w:val="0"/>
              <w:spacing w:after="0" w:line="360" w:lineRule="auto"/>
              <w:rPr>
                <w:rFonts w:eastAsia="Times New Roman" w:cs="Times New Roman"/>
                <w:b/>
                <w:bCs/>
                <w:snapToGrid w:val="0"/>
                <w:color w:val="000000"/>
                <w:sz w:val="20"/>
                <w:szCs w:val="20"/>
              </w:rPr>
            </w:pPr>
            <w:r>
              <w:rPr>
                <w:rFonts w:eastAsia="Times New Roman" w:cs="Times New Roman"/>
                <w:b/>
                <w:bCs/>
                <w:snapToGrid w:val="0"/>
                <w:color w:val="000000"/>
                <w:sz w:val="20"/>
                <w:szCs w:val="20"/>
              </w:rPr>
              <w:t>Zircaloy</w:t>
            </w:r>
          </w:p>
        </w:tc>
        <w:tc>
          <w:tcPr>
            <w:tcW w:w="261" w:type="pct"/>
            <w:vMerge w:val="restart"/>
            <w:tcBorders>
              <w:top w:val="single" w:sz="4" w:space="0" w:color="auto"/>
              <w:left w:val="nil"/>
              <w:right w:val="nil"/>
            </w:tcBorders>
            <w:shd w:val="clear" w:color="auto" w:fill="auto"/>
            <w:noWrap/>
            <w:textDirection w:val="btLr"/>
            <w:vAlign w:val="center"/>
            <w:hideMark/>
          </w:tcPr>
          <w:p w14:paraId="6B1583BB" w14:textId="77777777" w:rsidR="00587CED" w:rsidRPr="00A93605" w:rsidRDefault="00587CED" w:rsidP="0091793B">
            <w:pPr>
              <w:keepNext/>
              <w:keepLines/>
              <w:widowControl w:val="0"/>
              <w:spacing w:after="0" w:line="360" w:lineRule="auto"/>
              <w:rPr>
                <w:rFonts w:eastAsia="Times New Roman" w:cs="Times New Roman"/>
                <w:bCs/>
                <w:snapToGrid w:val="0"/>
                <w:color w:val="000000"/>
                <w:sz w:val="20"/>
                <w:szCs w:val="20"/>
              </w:rPr>
            </w:pPr>
            <w:r w:rsidRPr="00A93605">
              <w:rPr>
                <w:rFonts w:eastAsia="Times New Roman" w:cs="Times New Roman"/>
                <w:bCs/>
                <w:snapToGrid w:val="0"/>
                <w:color w:val="000000"/>
                <w:sz w:val="20"/>
                <w:szCs w:val="20"/>
              </w:rPr>
              <w:t>wt %</w:t>
            </w:r>
          </w:p>
        </w:tc>
        <w:tc>
          <w:tcPr>
            <w:tcW w:w="352" w:type="pct"/>
            <w:tcBorders>
              <w:top w:val="single" w:sz="4" w:space="0" w:color="auto"/>
              <w:left w:val="nil"/>
              <w:bottom w:val="nil"/>
              <w:right w:val="nil"/>
            </w:tcBorders>
            <w:shd w:val="clear" w:color="auto" w:fill="auto"/>
            <w:noWrap/>
            <w:vAlign w:val="center"/>
            <w:hideMark/>
          </w:tcPr>
          <w:p w14:paraId="336B8D41"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0.15</w:t>
            </w:r>
          </w:p>
        </w:tc>
        <w:tc>
          <w:tcPr>
            <w:tcW w:w="353" w:type="pct"/>
            <w:tcBorders>
              <w:top w:val="single" w:sz="4" w:space="0" w:color="auto"/>
              <w:left w:val="nil"/>
              <w:bottom w:val="nil"/>
              <w:right w:val="nil"/>
            </w:tcBorders>
            <w:shd w:val="clear" w:color="auto" w:fill="auto"/>
            <w:noWrap/>
            <w:vAlign w:val="center"/>
            <w:hideMark/>
          </w:tcPr>
          <w:p w14:paraId="4016B4E1"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0.1</w:t>
            </w:r>
          </w:p>
        </w:tc>
        <w:tc>
          <w:tcPr>
            <w:tcW w:w="348" w:type="pct"/>
            <w:tcBorders>
              <w:top w:val="single" w:sz="4" w:space="0" w:color="auto"/>
              <w:left w:val="nil"/>
              <w:bottom w:val="nil"/>
              <w:right w:val="nil"/>
            </w:tcBorders>
            <w:shd w:val="clear" w:color="auto" w:fill="auto"/>
            <w:noWrap/>
            <w:vAlign w:val="center"/>
            <w:hideMark/>
          </w:tcPr>
          <w:p w14:paraId="4225F368"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53" w:type="pct"/>
            <w:tcBorders>
              <w:top w:val="single" w:sz="4" w:space="0" w:color="auto"/>
              <w:left w:val="nil"/>
              <w:bottom w:val="nil"/>
              <w:right w:val="nil"/>
            </w:tcBorders>
            <w:shd w:val="clear" w:color="auto" w:fill="auto"/>
            <w:noWrap/>
            <w:vAlign w:val="center"/>
            <w:hideMark/>
          </w:tcPr>
          <w:p w14:paraId="44F7A43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98.26</w:t>
            </w:r>
          </w:p>
        </w:tc>
        <w:tc>
          <w:tcPr>
            <w:tcW w:w="353" w:type="pct"/>
            <w:tcBorders>
              <w:top w:val="single" w:sz="4" w:space="0" w:color="auto"/>
              <w:left w:val="nil"/>
              <w:bottom w:val="nil"/>
              <w:right w:val="nil"/>
            </w:tcBorders>
            <w:shd w:val="clear" w:color="auto" w:fill="auto"/>
            <w:noWrap/>
            <w:vAlign w:val="center"/>
            <w:hideMark/>
          </w:tcPr>
          <w:p w14:paraId="6B62A33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46" w:type="pct"/>
            <w:tcBorders>
              <w:top w:val="single" w:sz="4" w:space="0" w:color="auto"/>
              <w:left w:val="nil"/>
              <w:bottom w:val="nil"/>
              <w:right w:val="nil"/>
            </w:tcBorders>
            <w:shd w:val="clear" w:color="auto" w:fill="auto"/>
            <w:noWrap/>
            <w:vAlign w:val="center"/>
            <w:hideMark/>
          </w:tcPr>
          <w:p w14:paraId="421D919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1.49</w:t>
            </w:r>
          </w:p>
        </w:tc>
        <w:tc>
          <w:tcPr>
            <w:tcW w:w="347" w:type="pct"/>
            <w:tcBorders>
              <w:top w:val="single" w:sz="4" w:space="0" w:color="auto"/>
              <w:left w:val="nil"/>
              <w:bottom w:val="nil"/>
              <w:right w:val="nil"/>
            </w:tcBorders>
            <w:shd w:val="clear" w:color="auto" w:fill="auto"/>
            <w:noWrap/>
            <w:vAlign w:val="center"/>
            <w:hideMark/>
          </w:tcPr>
          <w:p w14:paraId="0367F2E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53" w:type="pct"/>
            <w:tcBorders>
              <w:top w:val="single" w:sz="4" w:space="0" w:color="auto"/>
              <w:left w:val="nil"/>
              <w:bottom w:val="nil"/>
              <w:right w:val="nil"/>
            </w:tcBorders>
            <w:shd w:val="clear" w:color="auto" w:fill="auto"/>
            <w:noWrap/>
            <w:vAlign w:val="center"/>
            <w:hideMark/>
          </w:tcPr>
          <w:p w14:paraId="45DE4A9B"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46" w:type="pct"/>
            <w:tcBorders>
              <w:top w:val="single" w:sz="4" w:space="0" w:color="auto"/>
              <w:left w:val="nil"/>
              <w:bottom w:val="nil"/>
              <w:right w:val="nil"/>
            </w:tcBorders>
            <w:shd w:val="clear" w:color="auto" w:fill="auto"/>
            <w:noWrap/>
            <w:vAlign w:val="center"/>
            <w:hideMark/>
          </w:tcPr>
          <w:p w14:paraId="7BE0E91B"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53" w:type="pct"/>
            <w:tcBorders>
              <w:top w:val="single" w:sz="4" w:space="0" w:color="auto"/>
              <w:left w:val="nil"/>
              <w:bottom w:val="nil"/>
              <w:right w:val="nil"/>
            </w:tcBorders>
            <w:shd w:val="clear" w:color="auto" w:fill="auto"/>
            <w:noWrap/>
            <w:vAlign w:val="center"/>
            <w:hideMark/>
          </w:tcPr>
          <w:p w14:paraId="7E5BB7FA"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46" w:type="pct"/>
            <w:tcBorders>
              <w:top w:val="single" w:sz="4" w:space="0" w:color="auto"/>
              <w:left w:val="nil"/>
              <w:bottom w:val="nil"/>
              <w:right w:val="nil"/>
            </w:tcBorders>
            <w:shd w:val="clear" w:color="auto" w:fill="auto"/>
            <w:noWrap/>
            <w:vAlign w:val="center"/>
            <w:hideMark/>
          </w:tcPr>
          <w:p w14:paraId="1FADE5BD"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51" w:type="pct"/>
            <w:tcBorders>
              <w:top w:val="single" w:sz="4" w:space="0" w:color="auto"/>
              <w:left w:val="nil"/>
              <w:bottom w:val="nil"/>
              <w:right w:val="nil"/>
            </w:tcBorders>
            <w:vAlign w:val="center"/>
          </w:tcPr>
          <w:p w14:paraId="6D533722"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36F31F15" w14:textId="77777777" w:rsidTr="00B35270">
        <w:trPr>
          <w:cantSplit/>
          <w:trHeight w:val="319"/>
          <w:jc w:val="center"/>
        </w:trPr>
        <w:tc>
          <w:tcPr>
            <w:tcW w:w="536" w:type="pct"/>
            <w:tcBorders>
              <w:top w:val="nil"/>
              <w:left w:val="nil"/>
              <w:bottom w:val="nil"/>
              <w:right w:val="nil"/>
            </w:tcBorders>
            <w:shd w:val="clear" w:color="auto" w:fill="auto"/>
            <w:noWrap/>
            <w:vAlign w:val="center"/>
            <w:hideMark/>
          </w:tcPr>
          <w:p w14:paraId="6DFCAE80"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304SS</w:t>
            </w:r>
          </w:p>
        </w:tc>
        <w:tc>
          <w:tcPr>
            <w:tcW w:w="261" w:type="pct"/>
            <w:vMerge/>
            <w:tcBorders>
              <w:left w:val="nil"/>
              <w:right w:val="nil"/>
            </w:tcBorders>
            <w:vAlign w:val="center"/>
            <w:hideMark/>
          </w:tcPr>
          <w:p w14:paraId="11BF6707"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nil"/>
              <w:right w:val="nil"/>
            </w:tcBorders>
            <w:shd w:val="clear" w:color="auto" w:fill="auto"/>
            <w:noWrap/>
            <w:vAlign w:val="center"/>
            <w:hideMark/>
          </w:tcPr>
          <w:p w14:paraId="76E03B33"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71.35</w:t>
            </w:r>
          </w:p>
        </w:tc>
        <w:tc>
          <w:tcPr>
            <w:tcW w:w="353" w:type="pct"/>
            <w:tcBorders>
              <w:top w:val="nil"/>
              <w:left w:val="nil"/>
              <w:bottom w:val="nil"/>
              <w:right w:val="nil"/>
            </w:tcBorders>
            <w:shd w:val="clear" w:color="auto" w:fill="auto"/>
            <w:noWrap/>
            <w:vAlign w:val="center"/>
            <w:hideMark/>
          </w:tcPr>
          <w:p w14:paraId="134C148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18.9</w:t>
            </w:r>
          </w:p>
        </w:tc>
        <w:tc>
          <w:tcPr>
            <w:tcW w:w="348" w:type="pct"/>
            <w:tcBorders>
              <w:top w:val="nil"/>
              <w:left w:val="nil"/>
              <w:bottom w:val="nil"/>
              <w:right w:val="nil"/>
            </w:tcBorders>
            <w:shd w:val="clear" w:color="auto" w:fill="auto"/>
            <w:noWrap/>
            <w:vAlign w:val="center"/>
            <w:hideMark/>
          </w:tcPr>
          <w:p w14:paraId="68BD5D55"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43B2663D"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353" w:type="pct"/>
            <w:tcBorders>
              <w:top w:val="nil"/>
              <w:left w:val="nil"/>
              <w:bottom w:val="nil"/>
              <w:right w:val="nil"/>
            </w:tcBorders>
            <w:shd w:val="clear" w:color="auto" w:fill="auto"/>
            <w:noWrap/>
            <w:vAlign w:val="center"/>
            <w:hideMark/>
          </w:tcPr>
          <w:p w14:paraId="2E08FC44"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8.35</w:t>
            </w:r>
          </w:p>
        </w:tc>
        <w:tc>
          <w:tcPr>
            <w:tcW w:w="346" w:type="pct"/>
            <w:tcBorders>
              <w:top w:val="nil"/>
              <w:left w:val="nil"/>
              <w:bottom w:val="nil"/>
              <w:right w:val="nil"/>
            </w:tcBorders>
            <w:shd w:val="clear" w:color="auto" w:fill="auto"/>
            <w:noWrap/>
            <w:vAlign w:val="center"/>
            <w:hideMark/>
          </w:tcPr>
          <w:p w14:paraId="29C288D5"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7" w:type="pct"/>
            <w:tcBorders>
              <w:top w:val="nil"/>
              <w:left w:val="nil"/>
              <w:bottom w:val="nil"/>
              <w:right w:val="nil"/>
            </w:tcBorders>
            <w:shd w:val="clear" w:color="auto" w:fill="auto"/>
            <w:noWrap/>
            <w:vAlign w:val="center"/>
            <w:hideMark/>
          </w:tcPr>
          <w:p w14:paraId="27081BD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0.7</w:t>
            </w:r>
          </w:p>
        </w:tc>
        <w:tc>
          <w:tcPr>
            <w:tcW w:w="353" w:type="pct"/>
            <w:tcBorders>
              <w:top w:val="nil"/>
              <w:left w:val="nil"/>
              <w:bottom w:val="nil"/>
              <w:right w:val="nil"/>
            </w:tcBorders>
            <w:shd w:val="clear" w:color="auto" w:fill="auto"/>
            <w:noWrap/>
            <w:vAlign w:val="center"/>
            <w:hideMark/>
          </w:tcPr>
          <w:p w14:paraId="7D20AD04"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0.27</w:t>
            </w:r>
          </w:p>
        </w:tc>
        <w:tc>
          <w:tcPr>
            <w:tcW w:w="346" w:type="pct"/>
            <w:tcBorders>
              <w:top w:val="nil"/>
              <w:left w:val="nil"/>
              <w:bottom w:val="nil"/>
              <w:right w:val="nil"/>
            </w:tcBorders>
            <w:shd w:val="clear" w:color="auto" w:fill="auto"/>
            <w:noWrap/>
            <w:vAlign w:val="center"/>
            <w:hideMark/>
          </w:tcPr>
          <w:p w14:paraId="699A6F35"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64A92EBA"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0.42</w:t>
            </w:r>
          </w:p>
        </w:tc>
        <w:tc>
          <w:tcPr>
            <w:tcW w:w="346" w:type="pct"/>
            <w:tcBorders>
              <w:top w:val="nil"/>
              <w:left w:val="nil"/>
              <w:bottom w:val="nil"/>
              <w:right w:val="nil"/>
            </w:tcBorders>
            <w:shd w:val="clear" w:color="auto" w:fill="auto"/>
            <w:noWrap/>
            <w:vAlign w:val="center"/>
            <w:hideMark/>
          </w:tcPr>
          <w:p w14:paraId="497273AE"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1" w:type="pct"/>
            <w:tcBorders>
              <w:top w:val="nil"/>
              <w:left w:val="nil"/>
              <w:bottom w:val="nil"/>
              <w:right w:val="nil"/>
            </w:tcBorders>
            <w:vAlign w:val="center"/>
          </w:tcPr>
          <w:p w14:paraId="46CCB972"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394F4D38" w14:textId="77777777" w:rsidTr="00B35270">
        <w:trPr>
          <w:cantSplit/>
          <w:trHeight w:val="319"/>
          <w:jc w:val="center"/>
        </w:trPr>
        <w:tc>
          <w:tcPr>
            <w:tcW w:w="536" w:type="pct"/>
            <w:tcBorders>
              <w:top w:val="nil"/>
              <w:left w:val="nil"/>
              <w:bottom w:val="nil"/>
              <w:right w:val="nil"/>
            </w:tcBorders>
            <w:shd w:val="clear" w:color="auto" w:fill="auto"/>
            <w:noWrap/>
            <w:vAlign w:val="center"/>
            <w:hideMark/>
          </w:tcPr>
          <w:p w14:paraId="27FC4C36"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310SS</w:t>
            </w:r>
          </w:p>
        </w:tc>
        <w:tc>
          <w:tcPr>
            <w:tcW w:w="261" w:type="pct"/>
            <w:vMerge/>
            <w:tcBorders>
              <w:left w:val="nil"/>
              <w:right w:val="nil"/>
            </w:tcBorders>
            <w:vAlign w:val="center"/>
            <w:hideMark/>
          </w:tcPr>
          <w:p w14:paraId="15047675"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nil"/>
              <w:right w:val="nil"/>
            </w:tcBorders>
            <w:shd w:val="clear" w:color="auto" w:fill="auto"/>
            <w:noWrap/>
            <w:vAlign w:val="center"/>
            <w:hideMark/>
          </w:tcPr>
          <w:p w14:paraId="67411AE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52.55</w:t>
            </w:r>
          </w:p>
        </w:tc>
        <w:tc>
          <w:tcPr>
            <w:tcW w:w="353" w:type="pct"/>
            <w:tcBorders>
              <w:top w:val="nil"/>
              <w:left w:val="nil"/>
              <w:bottom w:val="nil"/>
              <w:right w:val="nil"/>
            </w:tcBorders>
            <w:shd w:val="clear" w:color="auto" w:fill="auto"/>
            <w:noWrap/>
            <w:vAlign w:val="center"/>
            <w:hideMark/>
          </w:tcPr>
          <w:p w14:paraId="47B1024E"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25.22</w:t>
            </w:r>
          </w:p>
        </w:tc>
        <w:tc>
          <w:tcPr>
            <w:tcW w:w="348" w:type="pct"/>
            <w:tcBorders>
              <w:top w:val="nil"/>
              <w:left w:val="nil"/>
              <w:bottom w:val="nil"/>
              <w:right w:val="nil"/>
            </w:tcBorders>
            <w:shd w:val="clear" w:color="auto" w:fill="auto"/>
            <w:noWrap/>
            <w:vAlign w:val="center"/>
            <w:hideMark/>
          </w:tcPr>
          <w:p w14:paraId="6CB238A2"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0C3397F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353" w:type="pct"/>
            <w:tcBorders>
              <w:top w:val="nil"/>
              <w:left w:val="nil"/>
              <w:bottom w:val="nil"/>
              <w:right w:val="nil"/>
            </w:tcBorders>
            <w:shd w:val="clear" w:color="auto" w:fill="auto"/>
            <w:noWrap/>
            <w:vAlign w:val="center"/>
            <w:hideMark/>
          </w:tcPr>
          <w:p w14:paraId="32589A0B"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19.51</w:t>
            </w:r>
          </w:p>
        </w:tc>
        <w:tc>
          <w:tcPr>
            <w:tcW w:w="346" w:type="pct"/>
            <w:tcBorders>
              <w:top w:val="nil"/>
              <w:left w:val="nil"/>
              <w:bottom w:val="nil"/>
              <w:right w:val="nil"/>
            </w:tcBorders>
            <w:shd w:val="clear" w:color="auto" w:fill="auto"/>
            <w:noWrap/>
            <w:vAlign w:val="center"/>
            <w:hideMark/>
          </w:tcPr>
          <w:p w14:paraId="0C1A7942"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7" w:type="pct"/>
            <w:tcBorders>
              <w:top w:val="nil"/>
              <w:left w:val="nil"/>
              <w:bottom w:val="nil"/>
              <w:right w:val="nil"/>
            </w:tcBorders>
            <w:shd w:val="clear" w:color="auto" w:fill="auto"/>
            <w:noWrap/>
            <w:vAlign w:val="center"/>
            <w:hideMark/>
          </w:tcPr>
          <w:p w14:paraId="6EAA839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1.9</w:t>
            </w:r>
          </w:p>
        </w:tc>
        <w:tc>
          <w:tcPr>
            <w:tcW w:w="353" w:type="pct"/>
            <w:tcBorders>
              <w:top w:val="nil"/>
              <w:left w:val="nil"/>
              <w:bottom w:val="nil"/>
              <w:right w:val="nil"/>
            </w:tcBorders>
            <w:shd w:val="clear" w:color="auto" w:fill="auto"/>
            <w:noWrap/>
            <w:vAlign w:val="center"/>
            <w:hideMark/>
          </w:tcPr>
          <w:p w14:paraId="1E87DF13"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0.122</w:t>
            </w:r>
          </w:p>
        </w:tc>
        <w:tc>
          <w:tcPr>
            <w:tcW w:w="346" w:type="pct"/>
            <w:tcBorders>
              <w:top w:val="nil"/>
              <w:left w:val="nil"/>
              <w:bottom w:val="nil"/>
              <w:right w:val="nil"/>
            </w:tcBorders>
            <w:shd w:val="clear" w:color="auto" w:fill="auto"/>
            <w:noWrap/>
            <w:vAlign w:val="center"/>
            <w:hideMark/>
          </w:tcPr>
          <w:p w14:paraId="5D85A8DA"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6BABA1F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0.7</w:t>
            </w:r>
          </w:p>
        </w:tc>
        <w:tc>
          <w:tcPr>
            <w:tcW w:w="346" w:type="pct"/>
            <w:tcBorders>
              <w:top w:val="nil"/>
              <w:left w:val="nil"/>
              <w:bottom w:val="nil"/>
              <w:right w:val="nil"/>
            </w:tcBorders>
            <w:shd w:val="clear" w:color="auto" w:fill="auto"/>
            <w:noWrap/>
            <w:vAlign w:val="center"/>
            <w:hideMark/>
          </w:tcPr>
          <w:p w14:paraId="32705FD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1" w:type="pct"/>
            <w:tcBorders>
              <w:top w:val="nil"/>
              <w:left w:val="nil"/>
              <w:bottom w:val="nil"/>
              <w:right w:val="nil"/>
            </w:tcBorders>
            <w:vAlign w:val="center"/>
          </w:tcPr>
          <w:p w14:paraId="1C1A5583"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49E0271A" w14:textId="77777777" w:rsidTr="00B35270">
        <w:trPr>
          <w:cantSplit/>
          <w:trHeight w:val="319"/>
          <w:jc w:val="center"/>
        </w:trPr>
        <w:tc>
          <w:tcPr>
            <w:tcW w:w="536" w:type="pct"/>
            <w:tcBorders>
              <w:top w:val="nil"/>
              <w:left w:val="nil"/>
              <w:bottom w:val="nil"/>
              <w:right w:val="nil"/>
            </w:tcBorders>
            <w:shd w:val="clear" w:color="auto" w:fill="auto"/>
            <w:noWrap/>
            <w:vAlign w:val="center"/>
            <w:hideMark/>
          </w:tcPr>
          <w:p w14:paraId="325233E3"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FeCrAl</w:t>
            </w:r>
          </w:p>
        </w:tc>
        <w:tc>
          <w:tcPr>
            <w:tcW w:w="261" w:type="pct"/>
            <w:vMerge/>
            <w:tcBorders>
              <w:left w:val="nil"/>
              <w:right w:val="nil"/>
            </w:tcBorders>
            <w:vAlign w:val="center"/>
            <w:hideMark/>
          </w:tcPr>
          <w:p w14:paraId="169D5D70"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nil"/>
              <w:right w:val="nil"/>
            </w:tcBorders>
            <w:shd w:val="clear" w:color="auto" w:fill="auto"/>
            <w:noWrap/>
            <w:vAlign w:val="center"/>
            <w:hideMark/>
          </w:tcPr>
          <w:p w14:paraId="2E16609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75</w:t>
            </w:r>
          </w:p>
        </w:tc>
        <w:tc>
          <w:tcPr>
            <w:tcW w:w="353" w:type="pct"/>
            <w:tcBorders>
              <w:top w:val="nil"/>
              <w:left w:val="nil"/>
              <w:bottom w:val="nil"/>
              <w:right w:val="nil"/>
            </w:tcBorders>
            <w:shd w:val="clear" w:color="auto" w:fill="auto"/>
            <w:noWrap/>
            <w:vAlign w:val="center"/>
            <w:hideMark/>
          </w:tcPr>
          <w:p w14:paraId="2B843E99"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20</w:t>
            </w:r>
          </w:p>
        </w:tc>
        <w:tc>
          <w:tcPr>
            <w:tcW w:w="348" w:type="pct"/>
            <w:tcBorders>
              <w:top w:val="nil"/>
              <w:left w:val="nil"/>
              <w:bottom w:val="nil"/>
              <w:right w:val="nil"/>
            </w:tcBorders>
            <w:shd w:val="clear" w:color="auto" w:fill="auto"/>
            <w:noWrap/>
            <w:vAlign w:val="center"/>
            <w:hideMark/>
          </w:tcPr>
          <w:p w14:paraId="0B6240D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5</w:t>
            </w:r>
          </w:p>
        </w:tc>
        <w:tc>
          <w:tcPr>
            <w:tcW w:w="353" w:type="pct"/>
            <w:tcBorders>
              <w:top w:val="nil"/>
              <w:left w:val="nil"/>
              <w:bottom w:val="nil"/>
              <w:right w:val="nil"/>
            </w:tcBorders>
            <w:shd w:val="clear" w:color="auto" w:fill="auto"/>
            <w:noWrap/>
            <w:vAlign w:val="center"/>
            <w:hideMark/>
          </w:tcPr>
          <w:p w14:paraId="535E0FA2"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353" w:type="pct"/>
            <w:tcBorders>
              <w:top w:val="nil"/>
              <w:left w:val="nil"/>
              <w:bottom w:val="nil"/>
              <w:right w:val="nil"/>
            </w:tcBorders>
            <w:shd w:val="clear" w:color="auto" w:fill="auto"/>
            <w:noWrap/>
            <w:vAlign w:val="center"/>
            <w:hideMark/>
          </w:tcPr>
          <w:p w14:paraId="5A8A950A"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6" w:type="pct"/>
            <w:tcBorders>
              <w:top w:val="nil"/>
              <w:left w:val="nil"/>
              <w:bottom w:val="nil"/>
              <w:right w:val="nil"/>
            </w:tcBorders>
            <w:shd w:val="clear" w:color="auto" w:fill="auto"/>
            <w:noWrap/>
            <w:vAlign w:val="center"/>
            <w:hideMark/>
          </w:tcPr>
          <w:p w14:paraId="11847CA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7" w:type="pct"/>
            <w:tcBorders>
              <w:top w:val="nil"/>
              <w:left w:val="nil"/>
              <w:bottom w:val="nil"/>
              <w:right w:val="nil"/>
            </w:tcBorders>
            <w:shd w:val="clear" w:color="auto" w:fill="auto"/>
            <w:noWrap/>
            <w:vAlign w:val="center"/>
            <w:hideMark/>
          </w:tcPr>
          <w:p w14:paraId="22AEA1E1"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208509B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346" w:type="pct"/>
            <w:tcBorders>
              <w:top w:val="nil"/>
              <w:left w:val="nil"/>
              <w:bottom w:val="nil"/>
              <w:right w:val="nil"/>
            </w:tcBorders>
            <w:shd w:val="clear" w:color="auto" w:fill="auto"/>
            <w:noWrap/>
            <w:vAlign w:val="center"/>
            <w:hideMark/>
          </w:tcPr>
          <w:p w14:paraId="2AD23DD8"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5E9B602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346" w:type="pct"/>
            <w:tcBorders>
              <w:top w:val="nil"/>
              <w:left w:val="nil"/>
              <w:bottom w:val="nil"/>
              <w:right w:val="nil"/>
            </w:tcBorders>
            <w:shd w:val="clear" w:color="auto" w:fill="auto"/>
            <w:noWrap/>
            <w:vAlign w:val="center"/>
            <w:hideMark/>
          </w:tcPr>
          <w:p w14:paraId="09C5C751"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1" w:type="pct"/>
            <w:tcBorders>
              <w:top w:val="nil"/>
              <w:left w:val="nil"/>
              <w:bottom w:val="nil"/>
              <w:right w:val="nil"/>
            </w:tcBorders>
            <w:vAlign w:val="center"/>
          </w:tcPr>
          <w:p w14:paraId="037C128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59F18C07" w14:textId="77777777" w:rsidTr="00B35270">
        <w:trPr>
          <w:cantSplit/>
          <w:trHeight w:val="319"/>
          <w:jc w:val="center"/>
        </w:trPr>
        <w:tc>
          <w:tcPr>
            <w:tcW w:w="536" w:type="pct"/>
            <w:tcBorders>
              <w:top w:val="nil"/>
              <w:left w:val="nil"/>
              <w:bottom w:val="nil"/>
              <w:right w:val="nil"/>
            </w:tcBorders>
            <w:shd w:val="clear" w:color="auto" w:fill="auto"/>
            <w:noWrap/>
            <w:vAlign w:val="center"/>
            <w:hideMark/>
          </w:tcPr>
          <w:p w14:paraId="3748EAA9" w14:textId="77777777" w:rsidR="00587CED" w:rsidRPr="00CD6077" w:rsidRDefault="00587CED" w:rsidP="0091793B">
            <w:pPr>
              <w:keepNext/>
              <w:keepLines/>
              <w:widowControl w:val="0"/>
              <w:spacing w:after="0" w:line="360" w:lineRule="auto"/>
              <w:rPr>
                <w:rFonts w:eastAsia="Times New Roman" w:cs="Times New Roman"/>
                <w:b/>
                <w:bCs/>
                <w:snapToGrid w:val="0"/>
                <w:color w:val="000000"/>
                <w:sz w:val="20"/>
                <w:szCs w:val="20"/>
                <w:vertAlign w:val="superscript"/>
              </w:rPr>
            </w:pPr>
            <w:r w:rsidRPr="00A93605">
              <w:rPr>
                <w:rFonts w:eastAsia="Times New Roman" w:cs="Times New Roman"/>
                <w:b/>
                <w:bCs/>
                <w:snapToGrid w:val="0"/>
                <w:color w:val="000000"/>
                <w:sz w:val="20"/>
                <w:szCs w:val="20"/>
              </w:rPr>
              <w:t>APMT</w:t>
            </w:r>
            <w:r w:rsidR="00CD6077">
              <w:rPr>
                <w:rFonts w:eastAsia="Times New Roman" w:cs="Times New Roman"/>
                <w:b/>
                <w:bCs/>
                <w:snapToGrid w:val="0"/>
                <w:color w:val="000000"/>
                <w:sz w:val="20"/>
                <w:szCs w:val="20"/>
                <w:vertAlign w:val="superscript"/>
              </w:rPr>
              <w:t>TM</w:t>
            </w:r>
          </w:p>
        </w:tc>
        <w:tc>
          <w:tcPr>
            <w:tcW w:w="261" w:type="pct"/>
            <w:vMerge/>
            <w:tcBorders>
              <w:left w:val="nil"/>
              <w:right w:val="nil"/>
            </w:tcBorders>
            <w:vAlign w:val="center"/>
            <w:hideMark/>
          </w:tcPr>
          <w:p w14:paraId="035F238C"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nil"/>
              <w:right w:val="nil"/>
            </w:tcBorders>
            <w:shd w:val="clear" w:color="auto" w:fill="auto"/>
            <w:noWrap/>
            <w:vAlign w:val="center"/>
            <w:hideMark/>
          </w:tcPr>
          <w:p w14:paraId="73E376A4"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69.79</w:t>
            </w:r>
          </w:p>
        </w:tc>
        <w:tc>
          <w:tcPr>
            <w:tcW w:w="353" w:type="pct"/>
            <w:tcBorders>
              <w:top w:val="nil"/>
              <w:left w:val="nil"/>
              <w:bottom w:val="nil"/>
              <w:right w:val="nil"/>
            </w:tcBorders>
            <w:shd w:val="clear" w:color="auto" w:fill="auto"/>
            <w:noWrap/>
            <w:vAlign w:val="center"/>
            <w:hideMark/>
          </w:tcPr>
          <w:p w14:paraId="784B6809"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21.6</w:t>
            </w:r>
          </w:p>
        </w:tc>
        <w:tc>
          <w:tcPr>
            <w:tcW w:w="348" w:type="pct"/>
            <w:tcBorders>
              <w:top w:val="nil"/>
              <w:left w:val="nil"/>
              <w:bottom w:val="nil"/>
              <w:right w:val="nil"/>
            </w:tcBorders>
            <w:shd w:val="clear" w:color="auto" w:fill="auto"/>
            <w:noWrap/>
            <w:vAlign w:val="center"/>
            <w:hideMark/>
          </w:tcPr>
          <w:p w14:paraId="7FE3283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4.9</w:t>
            </w:r>
          </w:p>
        </w:tc>
        <w:tc>
          <w:tcPr>
            <w:tcW w:w="353" w:type="pct"/>
            <w:tcBorders>
              <w:top w:val="nil"/>
              <w:left w:val="nil"/>
              <w:bottom w:val="nil"/>
              <w:right w:val="nil"/>
            </w:tcBorders>
            <w:shd w:val="clear" w:color="auto" w:fill="auto"/>
            <w:noWrap/>
            <w:vAlign w:val="center"/>
            <w:hideMark/>
          </w:tcPr>
          <w:p w14:paraId="488AA51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0.1</w:t>
            </w:r>
          </w:p>
        </w:tc>
        <w:tc>
          <w:tcPr>
            <w:tcW w:w="353" w:type="pct"/>
            <w:tcBorders>
              <w:top w:val="nil"/>
              <w:left w:val="nil"/>
              <w:bottom w:val="nil"/>
              <w:right w:val="nil"/>
            </w:tcBorders>
            <w:shd w:val="clear" w:color="auto" w:fill="auto"/>
            <w:noWrap/>
            <w:vAlign w:val="center"/>
            <w:hideMark/>
          </w:tcPr>
          <w:p w14:paraId="09EB43FD"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6" w:type="pct"/>
            <w:tcBorders>
              <w:top w:val="nil"/>
              <w:left w:val="nil"/>
              <w:bottom w:val="nil"/>
              <w:right w:val="nil"/>
            </w:tcBorders>
            <w:shd w:val="clear" w:color="auto" w:fill="auto"/>
            <w:noWrap/>
            <w:vAlign w:val="center"/>
            <w:hideMark/>
          </w:tcPr>
          <w:p w14:paraId="219BE6FA"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7" w:type="pct"/>
            <w:tcBorders>
              <w:top w:val="nil"/>
              <w:left w:val="nil"/>
              <w:bottom w:val="nil"/>
              <w:right w:val="nil"/>
            </w:tcBorders>
            <w:shd w:val="clear" w:color="auto" w:fill="auto"/>
            <w:noWrap/>
            <w:vAlign w:val="center"/>
            <w:hideMark/>
          </w:tcPr>
          <w:p w14:paraId="74F8C2C8"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06557B2E"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2.8</w:t>
            </w:r>
          </w:p>
        </w:tc>
        <w:tc>
          <w:tcPr>
            <w:tcW w:w="346" w:type="pct"/>
            <w:tcBorders>
              <w:top w:val="nil"/>
              <w:left w:val="nil"/>
              <w:bottom w:val="nil"/>
              <w:right w:val="nil"/>
            </w:tcBorders>
            <w:shd w:val="clear" w:color="auto" w:fill="auto"/>
            <w:noWrap/>
            <w:vAlign w:val="center"/>
            <w:hideMark/>
          </w:tcPr>
          <w:p w14:paraId="18634564"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0.12</w:t>
            </w:r>
          </w:p>
        </w:tc>
        <w:tc>
          <w:tcPr>
            <w:tcW w:w="353" w:type="pct"/>
            <w:tcBorders>
              <w:top w:val="nil"/>
              <w:left w:val="nil"/>
              <w:bottom w:val="nil"/>
              <w:right w:val="nil"/>
            </w:tcBorders>
            <w:shd w:val="clear" w:color="auto" w:fill="auto"/>
            <w:noWrap/>
            <w:vAlign w:val="center"/>
            <w:hideMark/>
          </w:tcPr>
          <w:p w14:paraId="3369D13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0.53</w:t>
            </w:r>
          </w:p>
        </w:tc>
        <w:tc>
          <w:tcPr>
            <w:tcW w:w="346" w:type="pct"/>
            <w:tcBorders>
              <w:top w:val="nil"/>
              <w:left w:val="nil"/>
              <w:bottom w:val="nil"/>
              <w:right w:val="nil"/>
            </w:tcBorders>
            <w:shd w:val="clear" w:color="auto" w:fill="auto"/>
            <w:noWrap/>
            <w:vAlign w:val="center"/>
            <w:hideMark/>
          </w:tcPr>
          <w:p w14:paraId="7D8BF42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0.16</w:t>
            </w:r>
          </w:p>
        </w:tc>
        <w:tc>
          <w:tcPr>
            <w:tcW w:w="351" w:type="pct"/>
            <w:tcBorders>
              <w:top w:val="nil"/>
              <w:left w:val="nil"/>
              <w:bottom w:val="nil"/>
              <w:right w:val="nil"/>
            </w:tcBorders>
            <w:vAlign w:val="center"/>
          </w:tcPr>
          <w:p w14:paraId="7D239AAB"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1C7CCBAE" w14:textId="77777777" w:rsidTr="00B35270">
        <w:trPr>
          <w:cantSplit/>
          <w:trHeight w:val="319"/>
          <w:jc w:val="center"/>
        </w:trPr>
        <w:tc>
          <w:tcPr>
            <w:tcW w:w="536" w:type="pct"/>
            <w:tcBorders>
              <w:top w:val="nil"/>
              <w:left w:val="nil"/>
              <w:bottom w:val="nil"/>
              <w:right w:val="nil"/>
            </w:tcBorders>
            <w:shd w:val="clear" w:color="auto" w:fill="auto"/>
            <w:noWrap/>
            <w:vAlign w:val="center"/>
          </w:tcPr>
          <w:p w14:paraId="2295D6C4"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SiC</w:t>
            </w:r>
          </w:p>
        </w:tc>
        <w:tc>
          <w:tcPr>
            <w:tcW w:w="261" w:type="pct"/>
            <w:tcBorders>
              <w:left w:val="nil"/>
              <w:bottom w:val="single" w:sz="4" w:space="0" w:color="auto"/>
              <w:right w:val="nil"/>
            </w:tcBorders>
            <w:vAlign w:val="center"/>
          </w:tcPr>
          <w:p w14:paraId="695CD818"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nil"/>
              <w:right w:val="nil"/>
            </w:tcBorders>
            <w:shd w:val="clear" w:color="auto" w:fill="auto"/>
            <w:noWrap/>
            <w:vAlign w:val="center"/>
          </w:tcPr>
          <w:p w14:paraId="29DB0815"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tcPr>
          <w:p w14:paraId="52D1CEAA"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8" w:type="pct"/>
            <w:tcBorders>
              <w:top w:val="nil"/>
              <w:left w:val="nil"/>
              <w:bottom w:val="nil"/>
              <w:right w:val="nil"/>
            </w:tcBorders>
            <w:shd w:val="clear" w:color="auto" w:fill="auto"/>
            <w:noWrap/>
            <w:vAlign w:val="center"/>
          </w:tcPr>
          <w:p w14:paraId="55F24312"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tcPr>
          <w:p w14:paraId="4A03F848"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tcPr>
          <w:p w14:paraId="1558CDD5"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6" w:type="pct"/>
            <w:tcBorders>
              <w:top w:val="nil"/>
              <w:left w:val="nil"/>
              <w:bottom w:val="nil"/>
              <w:right w:val="nil"/>
            </w:tcBorders>
            <w:shd w:val="clear" w:color="auto" w:fill="auto"/>
            <w:noWrap/>
            <w:vAlign w:val="center"/>
          </w:tcPr>
          <w:p w14:paraId="0ADD1888"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7" w:type="pct"/>
            <w:tcBorders>
              <w:top w:val="nil"/>
              <w:left w:val="nil"/>
              <w:bottom w:val="nil"/>
              <w:right w:val="nil"/>
            </w:tcBorders>
            <w:shd w:val="clear" w:color="auto" w:fill="auto"/>
            <w:noWrap/>
            <w:vAlign w:val="center"/>
          </w:tcPr>
          <w:p w14:paraId="5F02DD11"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tcPr>
          <w:p w14:paraId="0BE7AFD8"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6" w:type="pct"/>
            <w:tcBorders>
              <w:top w:val="nil"/>
              <w:left w:val="nil"/>
              <w:bottom w:val="nil"/>
              <w:right w:val="nil"/>
            </w:tcBorders>
            <w:shd w:val="clear" w:color="auto" w:fill="auto"/>
            <w:noWrap/>
            <w:vAlign w:val="center"/>
          </w:tcPr>
          <w:p w14:paraId="52519CB4"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tcPr>
          <w:p w14:paraId="1FF577D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70.08</w:t>
            </w:r>
          </w:p>
        </w:tc>
        <w:tc>
          <w:tcPr>
            <w:tcW w:w="346" w:type="pct"/>
            <w:tcBorders>
              <w:top w:val="nil"/>
              <w:left w:val="nil"/>
              <w:bottom w:val="nil"/>
              <w:right w:val="nil"/>
            </w:tcBorders>
            <w:shd w:val="clear" w:color="auto" w:fill="auto"/>
            <w:noWrap/>
            <w:vAlign w:val="center"/>
          </w:tcPr>
          <w:p w14:paraId="270238E9"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1" w:type="pct"/>
            <w:tcBorders>
              <w:top w:val="nil"/>
              <w:left w:val="nil"/>
              <w:bottom w:val="nil"/>
              <w:right w:val="nil"/>
            </w:tcBorders>
            <w:vAlign w:val="center"/>
          </w:tcPr>
          <w:p w14:paraId="1B4E0E0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29.92</w:t>
            </w:r>
          </w:p>
        </w:tc>
      </w:tr>
      <w:tr w:rsidR="00B35270" w:rsidRPr="00A93605" w14:paraId="454D7BF4" w14:textId="77777777" w:rsidTr="00B35270">
        <w:trPr>
          <w:cantSplit/>
          <w:trHeight w:val="319"/>
          <w:jc w:val="center"/>
        </w:trPr>
        <w:tc>
          <w:tcPr>
            <w:tcW w:w="536" w:type="pct"/>
            <w:tcBorders>
              <w:top w:val="single" w:sz="4" w:space="0" w:color="auto"/>
              <w:left w:val="nil"/>
              <w:bottom w:val="nil"/>
              <w:right w:val="nil"/>
            </w:tcBorders>
            <w:shd w:val="clear" w:color="auto" w:fill="auto"/>
            <w:noWrap/>
            <w:vAlign w:val="center"/>
            <w:hideMark/>
          </w:tcPr>
          <w:p w14:paraId="7A9EA155" w14:textId="77777777" w:rsidR="00587CED" w:rsidRPr="00A93605" w:rsidRDefault="00F4572D" w:rsidP="0091793B">
            <w:pPr>
              <w:keepNext/>
              <w:keepLines/>
              <w:widowControl w:val="0"/>
              <w:spacing w:after="0" w:line="360" w:lineRule="auto"/>
              <w:rPr>
                <w:rFonts w:eastAsia="Times New Roman" w:cs="Times New Roman"/>
                <w:b/>
                <w:bCs/>
                <w:snapToGrid w:val="0"/>
                <w:color w:val="000000"/>
                <w:sz w:val="20"/>
                <w:szCs w:val="20"/>
              </w:rPr>
            </w:pPr>
            <w:r>
              <w:rPr>
                <w:rFonts w:eastAsia="Times New Roman" w:cs="Times New Roman"/>
                <w:b/>
                <w:bCs/>
                <w:snapToGrid w:val="0"/>
                <w:color w:val="000000"/>
                <w:sz w:val="20"/>
                <w:szCs w:val="20"/>
              </w:rPr>
              <w:t>Zircaloy</w:t>
            </w:r>
          </w:p>
        </w:tc>
        <w:tc>
          <w:tcPr>
            <w:tcW w:w="261" w:type="pct"/>
            <w:vMerge w:val="restart"/>
            <w:tcBorders>
              <w:top w:val="single" w:sz="4" w:space="0" w:color="auto"/>
              <w:left w:val="nil"/>
              <w:right w:val="nil"/>
            </w:tcBorders>
            <w:shd w:val="clear" w:color="auto" w:fill="auto"/>
            <w:noWrap/>
            <w:textDirection w:val="btLr"/>
            <w:vAlign w:val="center"/>
            <w:hideMark/>
          </w:tcPr>
          <w:p w14:paraId="32A032E4" w14:textId="77777777" w:rsidR="00587CED" w:rsidRPr="00A93605" w:rsidRDefault="00587CED" w:rsidP="0091793B">
            <w:pPr>
              <w:keepNext/>
              <w:keepLines/>
              <w:widowControl w:val="0"/>
              <w:spacing w:after="0" w:line="360" w:lineRule="auto"/>
              <w:rPr>
                <w:rFonts w:eastAsia="Times New Roman" w:cs="Times New Roman"/>
                <w:bCs/>
                <w:snapToGrid w:val="0"/>
                <w:color w:val="000000"/>
                <w:sz w:val="20"/>
                <w:szCs w:val="20"/>
              </w:rPr>
            </w:pPr>
            <w:r w:rsidRPr="00A93605">
              <w:rPr>
                <w:rFonts w:eastAsia="Times New Roman" w:cs="Times New Roman"/>
                <w:bCs/>
                <w:snapToGrid w:val="0"/>
                <w:color w:val="000000"/>
                <w:sz w:val="20"/>
                <w:szCs w:val="20"/>
              </w:rPr>
              <w:t>at %</w:t>
            </w:r>
          </w:p>
        </w:tc>
        <w:tc>
          <w:tcPr>
            <w:tcW w:w="352" w:type="pct"/>
            <w:tcBorders>
              <w:top w:val="single" w:sz="4" w:space="0" w:color="auto"/>
              <w:left w:val="nil"/>
              <w:bottom w:val="nil"/>
              <w:right w:val="nil"/>
            </w:tcBorders>
            <w:shd w:val="clear" w:color="auto" w:fill="auto"/>
            <w:noWrap/>
            <w:vAlign w:val="center"/>
            <w:hideMark/>
          </w:tcPr>
          <w:p w14:paraId="46CD15CA"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0.24</w:t>
            </w:r>
          </w:p>
        </w:tc>
        <w:tc>
          <w:tcPr>
            <w:tcW w:w="353" w:type="pct"/>
            <w:tcBorders>
              <w:top w:val="single" w:sz="4" w:space="0" w:color="auto"/>
              <w:left w:val="nil"/>
              <w:bottom w:val="nil"/>
              <w:right w:val="nil"/>
            </w:tcBorders>
            <w:shd w:val="clear" w:color="auto" w:fill="auto"/>
            <w:noWrap/>
            <w:vAlign w:val="center"/>
            <w:hideMark/>
          </w:tcPr>
          <w:p w14:paraId="44C9D2BB"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0.17</w:t>
            </w:r>
          </w:p>
        </w:tc>
        <w:tc>
          <w:tcPr>
            <w:tcW w:w="348" w:type="pct"/>
            <w:tcBorders>
              <w:top w:val="single" w:sz="4" w:space="0" w:color="auto"/>
              <w:left w:val="nil"/>
              <w:bottom w:val="nil"/>
              <w:right w:val="nil"/>
            </w:tcBorders>
            <w:shd w:val="clear" w:color="auto" w:fill="auto"/>
            <w:noWrap/>
            <w:vAlign w:val="center"/>
            <w:hideMark/>
          </w:tcPr>
          <w:p w14:paraId="0DA61C7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53" w:type="pct"/>
            <w:tcBorders>
              <w:top w:val="single" w:sz="4" w:space="0" w:color="auto"/>
              <w:left w:val="nil"/>
              <w:bottom w:val="nil"/>
              <w:right w:val="nil"/>
            </w:tcBorders>
            <w:shd w:val="clear" w:color="auto" w:fill="auto"/>
            <w:noWrap/>
            <w:vAlign w:val="center"/>
            <w:hideMark/>
          </w:tcPr>
          <w:p w14:paraId="389DB99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98.43</w:t>
            </w:r>
          </w:p>
        </w:tc>
        <w:tc>
          <w:tcPr>
            <w:tcW w:w="353" w:type="pct"/>
            <w:tcBorders>
              <w:top w:val="single" w:sz="4" w:space="0" w:color="auto"/>
              <w:left w:val="nil"/>
              <w:bottom w:val="nil"/>
              <w:right w:val="nil"/>
            </w:tcBorders>
            <w:shd w:val="clear" w:color="auto" w:fill="auto"/>
            <w:noWrap/>
            <w:vAlign w:val="center"/>
            <w:hideMark/>
          </w:tcPr>
          <w:p w14:paraId="15E6E6CD"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46" w:type="pct"/>
            <w:tcBorders>
              <w:top w:val="single" w:sz="4" w:space="0" w:color="auto"/>
              <w:left w:val="nil"/>
              <w:bottom w:val="nil"/>
              <w:right w:val="nil"/>
            </w:tcBorders>
            <w:shd w:val="clear" w:color="auto" w:fill="auto"/>
            <w:noWrap/>
            <w:vAlign w:val="center"/>
            <w:hideMark/>
          </w:tcPr>
          <w:p w14:paraId="5630F86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1.15</w:t>
            </w:r>
          </w:p>
        </w:tc>
        <w:tc>
          <w:tcPr>
            <w:tcW w:w="347" w:type="pct"/>
            <w:tcBorders>
              <w:top w:val="single" w:sz="4" w:space="0" w:color="auto"/>
              <w:left w:val="nil"/>
              <w:bottom w:val="nil"/>
              <w:right w:val="nil"/>
            </w:tcBorders>
            <w:shd w:val="clear" w:color="auto" w:fill="auto"/>
            <w:noWrap/>
            <w:vAlign w:val="center"/>
            <w:hideMark/>
          </w:tcPr>
          <w:p w14:paraId="2FB553AB"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53" w:type="pct"/>
            <w:tcBorders>
              <w:top w:val="single" w:sz="4" w:space="0" w:color="auto"/>
              <w:left w:val="nil"/>
              <w:bottom w:val="nil"/>
              <w:right w:val="nil"/>
            </w:tcBorders>
            <w:shd w:val="clear" w:color="auto" w:fill="auto"/>
            <w:noWrap/>
            <w:vAlign w:val="center"/>
            <w:hideMark/>
          </w:tcPr>
          <w:p w14:paraId="5A5783F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46" w:type="pct"/>
            <w:tcBorders>
              <w:top w:val="single" w:sz="4" w:space="0" w:color="auto"/>
              <w:left w:val="nil"/>
              <w:bottom w:val="nil"/>
              <w:right w:val="nil"/>
            </w:tcBorders>
            <w:shd w:val="clear" w:color="auto" w:fill="auto"/>
            <w:noWrap/>
            <w:vAlign w:val="center"/>
            <w:hideMark/>
          </w:tcPr>
          <w:p w14:paraId="6A6E611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53" w:type="pct"/>
            <w:tcBorders>
              <w:top w:val="single" w:sz="4" w:space="0" w:color="auto"/>
              <w:left w:val="nil"/>
              <w:bottom w:val="nil"/>
              <w:right w:val="nil"/>
            </w:tcBorders>
            <w:shd w:val="clear" w:color="auto" w:fill="auto"/>
            <w:noWrap/>
            <w:vAlign w:val="center"/>
            <w:hideMark/>
          </w:tcPr>
          <w:p w14:paraId="278F785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46" w:type="pct"/>
            <w:tcBorders>
              <w:top w:val="single" w:sz="4" w:space="0" w:color="auto"/>
              <w:left w:val="nil"/>
              <w:bottom w:val="nil"/>
              <w:right w:val="nil"/>
            </w:tcBorders>
            <w:shd w:val="clear" w:color="auto" w:fill="auto"/>
            <w:noWrap/>
            <w:vAlign w:val="center"/>
            <w:hideMark/>
          </w:tcPr>
          <w:p w14:paraId="460851E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51" w:type="pct"/>
            <w:tcBorders>
              <w:top w:val="single" w:sz="4" w:space="0" w:color="auto"/>
              <w:left w:val="nil"/>
              <w:bottom w:val="nil"/>
              <w:right w:val="nil"/>
            </w:tcBorders>
            <w:vAlign w:val="center"/>
          </w:tcPr>
          <w:p w14:paraId="483C1DBB"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07C381A1" w14:textId="77777777" w:rsidTr="00B35270">
        <w:trPr>
          <w:cantSplit/>
          <w:trHeight w:val="319"/>
          <w:jc w:val="center"/>
        </w:trPr>
        <w:tc>
          <w:tcPr>
            <w:tcW w:w="536" w:type="pct"/>
            <w:tcBorders>
              <w:top w:val="nil"/>
              <w:left w:val="nil"/>
              <w:bottom w:val="nil"/>
              <w:right w:val="nil"/>
            </w:tcBorders>
            <w:shd w:val="clear" w:color="auto" w:fill="auto"/>
            <w:noWrap/>
            <w:vAlign w:val="center"/>
            <w:hideMark/>
          </w:tcPr>
          <w:p w14:paraId="4899247E"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304SS</w:t>
            </w:r>
          </w:p>
        </w:tc>
        <w:tc>
          <w:tcPr>
            <w:tcW w:w="261" w:type="pct"/>
            <w:vMerge/>
            <w:tcBorders>
              <w:left w:val="nil"/>
              <w:right w:val="nil"/>
            </w:tcBorders>
            <w:vAlign w:val="center"/>
            <w:hideMark/>
          </w:tcPr>
          <w:p w14:paraId="3619E258"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nil"/>
              <w:right w:val="nil"/>
            </w:tcBorders>
            <w:shd w:val="clear" w:color="auto" w:fill="auto"/>
            <w:noWrap/>
            <w:vAlign w:val="center"/>
            <w:hideMark/>
          </w:tcPr>
          <w:p w14:paraId="1A0D2B61"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70.44</w:t>
            </w:r>
          </w:p>
        </w:tc>
        <w:tc>
          <w:tcPr>
            <w:tcW w:w="353" w:type="pct"/>
            <w:tcBorders>
              <w:top w:val="nil"/>
              <w:left w:val="nil"/>
              <w:bottom w:val="nil"/>
              <w:right w:val="nil"/>
            </w:tcBorders>
            <w:shd w:val="clear" w:color="auto" w:fill="auto"/>
            <w:noWrap/>
            <w:vAlign w:val="center"/>
            <w:hideMark/>
          </w:tcPr>
          <w:p w14:paraId="0645E0D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20.04</w:t>
            </w:r>
          </w:p>
        </w:tc>
        <w:tc>
          <w:tcPr>
            <w:tcW w:w="348" w:type="pct"/>
            <w:tcBorders>
              <w:top w:val="nil"/>
              <w:left w:val="nil"/>
              <w:bottom w:val="nil"/>
              <w:right w:val="nil"/>
            </w:tcBorders>
            <w:shd w:val="clear" w:color="auto" w:fill="auto"/>
            <w:noWrap/>
            <w:vAlign w:val="center"/>
            <w:hideMark/>
          </w:tcPr>
          <w:p w14:paraId="41CE445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21214B2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154BCBF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7.84</w:t>
            </w:r>
          </w:p>
        </w:tc>
        <w:tc>
          <w:tcPr>
            <w:tcW w:w="346" w:type="pct"/>
            <w:tcBorders>
              <w:top w:val="nil"/>
              <w:left w:val="nil"/>
              <w:bottom w:val="nil"/>
              <w:right w:val="nil"/>
            </w:tcBorders>
            <w:shd w:val="clear" w:color="auto" w:fill="auto"/>
            <w:noWrap/>
            <w:vAlign w:val="center"/>
            <w:hideMark/>
          </w:tcPr>
          <w:p w14:paraId="17DC8532"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7" w:type="pct"/>
            <w:tcBorders>
              <w:top w:val="nil"/>
              <w:left w:val="nil"/>
              <w:bottom w:val="nil"/>
              <w:right w:val="nil"/>
            </w:tcBorders>
            <w:shd w:val="clear" w:color="auto" w:fill="auto"/>
            <w:noWrap/>
            <w:vAlign w:val="center"/>
            <w:hideMark/>
          </w:tcPr>
          <w:p w14:paraId="01EE8711"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0.7</w:t>
            </w:r>
          </w:p>
        </w:tc>
        <w:tc>
          <w:tcPr>
            <w:tcW w:w="353" w:type="pct"/>
            <w:tcBorders>
              <w:top w:val="nil"/>
              <w:left w:val="nil"/>
              <w:bottom w:val="nil"/>
              <w:right w:val="nil"/>
            </w:tcBorders>
            <w:shd w:val="clear" w:color="auto" w:fill="auto"/>
            <w:noWrap/>
            <w:vAlign w:val="center"/>
            <w:hideMark/>
          </w:tcPr>
          <w:p w14:paraId="36C0379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0.16</w:t>
            </w:r>
          </w:p>
        </w:tc>
        <w:tc>
          <w:tcPr>
            <w:tcW w:w="346" w:type="pct"/>
            <w:tcBorders>
              <w:top w:val="nil"/>
              <w:left w:val="nil"/>
              <w:bottom w:val="nil"/>
              <w:right w:val="nil"/>
            </w:tcBorders>
            <w:shd w:val="clear" w:color="auto" w:fill="auto"/>
            <w:noWrap/>
            <w:vAlign w:val="center"/>
            <w:hideMark/>
          </w:tcPr>
          <w:p w14:paraId="07229B32"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55A87BC5"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0.82</w:t>
            </w:r>
          </w:p>
        </w:tc>
        <w:tc>
          <w:tcPr>
            <w:tcW w:w="346" w:type="pct"/>
            <w:tcBorders>
              <w:top w:val="nil"/>
              <w:left w:val="nil"/>
              <w:bottom w:val="nil"/>
              <w:right w:val="nil"/>
            </w:tcBorders>
            <w:shd w:val="clear" w:color="auto" w:fill="auto"/>
            <w:noWrap/>
            <w:vAlign w:val="center"/>
            <w:hideMark/>
          </w:tcPr>
          <w:p w14:paraId="3BA10DA8"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1" w:type="pct"/>
            <w:tcBorders>
              <w:top w:val="nil"/>
              <w:left w:val="nil"/>
              <w:bottom w:val="nil"/>
              <w:right w:val="nil"/>
            </w:tcBorders>
            <w:vAlign w:val="center"/>
          </w:tcPr>
          <w:p w14:paraId="2C95BEB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351125E8" w14:textId="77777777" w:rsidTr="00B35270">
        <w:trPr>
          <w:cantSplit/>
          <w:trHeight w:val="319"/>
          <w:jc w:val="center"/>
        </w:trPr>
        <w:tc>
          <w:tcPr>
            <w:tcW w:w="536" w:type="pct"/>
            <w:tcBorders>
              <w:top w:val="nil"/>
              <w:left w:val="nil"/>
              <w:bottom w:val="nil"/>
              <w:right w:val="nil"/>
            </w:tcBorders>
            <w:shd w:val="clear" w:color="auto" w:fill="auto"/>
            <w:noWrap/>
            <w:vAlign w:val="center"/>
            <w:hideMark/>
          </w:tcPr>
          <w:p w14:paraId="7250A19A"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310SS</w:t>
            </w:r>
          </w:p>
        </w:tc>
        <w:tc>
          <w:tcPr>
            <w:tcW w:w="261" w:type="pct"/>
            <w:vMerge/>
            <w:tcBorders>
              <w:left w:val="nil"/>
              <w:right w:val="nil"/>
            </w:tcBorders>
            <w:vAlign w:val="center"/>
            <w:hideMark/>
          </w:tcPr>
          <w:p w14:paraId="1A547FEB"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nil"/>
              <w:right w:val="nil"/>
            </w:tcBorders>
            <w:shd w:val="clear" w:color="auto" w:fill="auto"/>
            <w:noWrap/>
            <w:vAlign w:val="center"/>
            <w:hideMark/>
          </w:tcPr>
          <w:p w14:paraId="36BC0E4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51.72</w:t>
            </w:r>
          </w:p>
        </w:tc>
        <w:tc>
          <w:tcPr>
            <w:tcW w:w="353" w:type="pct"/>
            <w:tcBorders>
              <w:top w:val="nil"/>
              <w:left w:val="nil"/>
              <w:bottom w:val="nil"/>
              <w:right w:val="nil"/>
            </w:tcBorders>
            <w:shd w:val="clear" w:color="auto" w:fill="auto"/>
            <w:noWrap/>
            <w:vAlign w:val="center"/>
            <w:hideMark/>
          </w:tcPr>
          <w:p w14:paraId="677D4EBA"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26.66</w:t>
            </w:r>
          </w:p>
        </w:tc>
        <w:tc>
          <w:tcPr>
            <w:tcW w:w="348" w:type="pct"/>
            <w:tcBorders>
              <w:top w:val="nil"/>
              <w:left w:val="nil"/>
              <w:bottom w:val="nil"/>
              <w:right w:val="nil"/>
            </w:tcBorders>
            <w:shd w:val="clear" w:color="auto" w:fill="auto"/>
            <w:noWrap/>
            <w:vAlign w:val="center"/>
            <w:hideMark/>
          </w:tcPr>
          <w:p w14:paraId="4D421C99"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7C4FEA0D"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20D2F813"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18.27</w:t>
            </w:r>
          </w:p>
        </w:tc>
        <w:tc>
          <w:tcPr>
            <w:tcW w:w="346" w:type="pct"/>
            <w:tcBorders>
              <w:top w:val="nil"/>
              <w:left w:val="nil"/>
              <w:bottom w:val="nil"/>
              <w:right w:val="nil"/>
            </w:tcBorders>
            <w:shd w:val="clear" w:color="auto" w:fill="auto"/>
            <w:noWrap/>
            <w:vAlign w:val="center"/>
            <w:hideMark/>
          </w:tcPr>
          <w:p w14:paraId="5883B469"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7" w:type="pct"/>
            <w:tcBorders>
              <w:top w:val="nil"/>
              <w:left w:val="nil"/>
              <w:bottom w:val="nil"/>
              <w:right w:val="nil"/>
            </w:tcBorders>
            <w:shd w:val="clear" w:color="auto" w:fill="auto"/>
            <w:noWrap/>
            <w:vAlign w:val="center"/>
            <w:hideMark/>
          </w:tcPr>
          <w:p w14:paraId="4FAD133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1.9</w:t>
            </w:r>
          </w:p>
        </w:tc>
        <w:tc>
          <w:tcPr>
            <w:tcW w:w="353" w:type="pct"/>
            <w:tcBorders>
              <w:top w:val="nil"/>
              <w:left w:val="nil"/>
              <w:bottom w:val="nil"/>
              <w:right w:val="nil"/>
            </w:tcBorders>
            <w:shd w:val="clear" w:color="auto" w:fill="auto"/>
            <w:noWrap/>
            <w:vAlign w:val="center"/>
            <w:hideMark/>
          </w:tcPr>
          <w:p w14:paraId="3DC7BEA3"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0.07</w:t>
            </w:r>
          </w:p>
        </w:tc>
        <w:tc>
          <w:tcPr>
            <w:tcW w:w="346" w:type="pct"/>
            <w:tcBorders>
              <w:top w:val="nil"/>
              <w:left w:val="nil"/>
              <w:bottom w:val="nil"/>
              <w:right w:val="nil"/>
            </w:tcBorders>
            <w:shd w:val="clear" w:color="auto" w:fill="auto"/>
            <w:noWrap/>
            <w:vAlign w:val="center"/>
            <w:hideMark/>
          </w:tcPr>
          <w:p w14:paraId="32E944E3"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3A0491DB"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1.37</w:t>
            </w:r>
          </w:p>
        </w:tc>
        <w:tc>
          <w:tcPr>
            <w:tcW w:w="346" w:type="pct"/>
            <w:tcBorders>
              <w:top w:val="nil"/>
              <w:left w:val="nil"/>
              <w:bottom w:val="nil"/>
              <w:right w:val="nil"/>
            </w:tcBorders>
            <w:shd w:val="clear" w:color="auto" w:fill="auto"/>
            <w:noWrap/>
            <w:vAlign w:val="center"/>
            <w:hideMark/>
          </w:tcPr>
          <w:p w14:paraId="5C5C4CC8"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1" w:type="pct"/>
            <w:tcBorders>
              <w:top w:val="nil"/>
              <w:left w:val="nil"/>
              <w:bottom w:val="nil"/>
              <w:right w:val="nil"/>
            </w:tcBorders>
            <w:vAlign w:val="center"/>
          </w:tcPr>
          <w:p w14:paraId="5BFA86C5"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1B533F5B" w14:textId="77777777" w:rsidTr="00B35270">
        <w:trPr>
          <w:cantSplit/>
          <w:trHeight w:val="319"/>
          <w:jc w:val="center"/>
        </w:trPr>
        <w:tc>
          <w:tcPr>
            <w:tcW w:w="536" w:type="pct"/>
            <w:tcBorders>
              <w:top w:val="nil"/>
              <w:left w:val="nil"/>
              <w:bottom w:val="nil"/>
              <w:right w:val="nil"/>
            </w:tcBorders>
            <w:shd w:val="clear" w:color="auto" w:fill="auto"/>
            <w:noWrap/>
            <w:vAlign w:val="center"/>
            <w:hideMark/>
          </w:tcPr>
          <w:p w14:paraId="6DE81629"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FeCrAl</w:t>
            </w:r>
          </w:p>
        </w:tc>
        <w:tc>
          <w:tcPr>
            <w:tcW w:w="261" w:type="pct"/>
            <w:vMerge/>
            <w:tcBorders>
              <w:left w:val="nil"/>
              <w:right w:val="nil"/>
            </w:tcBorders>
            <w:vAlign w:val="center"/>
            <w:hideMark/>
          </w:tcPr>
          <w:p w14:paraId="7BA71DC6"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nil"/>
              <w:right w:val="nil"/>
            </w:tcBorders>
            <w:shd w:val="clear" w:color="auto" w:fill="auto"/>
            <w:noWrap/>
            <w:vAlign w:val="center"/>
            <w:hideMark/>
          </w:tcPr>
          <w:p w14:paraId="552E30E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70.2</w:t>
            </w:r>
          </w:p>
        </w:tc>
        <w:tc>
          <w:tcPr>
            <w:tcW w:w="353" w:type="pct"/>
            <w:tcBorders>
              <w:top w:val="nil"/>
              <w:left w:val="nil"/>
              <w:bottom w:val="nil"/>
              <w:right w:val="nil"/>
            </w:tcBorders>
            <w:shd w:val="clear" w:color="auto" w:fill="auto"/>
            <w:noWrap/>
            <w:vAlign w:val="center"/>
            <w:hideMark/>
          </w:tcPr>
          <w:p w14:paraId="6818325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20.11</w:t>
            </w:r>
          </w:p>
        </w:tc>
        <w:tc>
          <w:tcPr>
            <w:tcW w:w="348" w:type="pct"/>
            <w:tcBorders>
              <w:top w:val="nil"/>
              <w:left w:val="nil"/>
              <w:bottom w:val="nil"/>
              <w:right w:val="nil"/>
            </w:tcBorders>
            <w:shd w:val="clear" w:color="auto" w:fill="auto"/>
            <w:noWrap/>
            <w:vAlign w:val="center"/>
            <w:hideMark/>
          </w:tcPr>
          <w:p w14:paraId="03501491"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9.69</w:t>
            </w:r>
          </w:p>
        </w:tc>
        <w:tc>
          <w:tcPr>
            <w:tcW w:w="353" w:type="pct"/>
            <w:tcBorders>
              <w:top w:val="nil"/>
              <w:left w:val="nil"/>
              <w:bottom w:val="nil"/>
              <w:right w:val="nil"/>
            </w:tcBorders>
            <w:shd w:val="clear" w:color="auto" w:fill="auto"/>
            <w:noWrap/>
            <w:vAlign w:val="center"/>
            <w:hideMark/>
          </w:tcPr>
          <w:p w14:paraId="3231B3CD"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37CB90F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6" w:type="pct"/>
            <w:tcBorders>
              <w:top w:val="nil"/>
              <w:left w:val="nil"/>
              <w:bottom w:val="nil"/>
              <w:right w:val="nil"/>
            </w:tcBorders>
            <w:shd w:val="clear" w:color="auto" w:fill="auto"/>
            <w:noWrap/>
            <w:vAlign w:val="center"/>
            <w:hideMark/>
          </w:tcPr>
          <w:p w14:paraId="17866918"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7" w:type="pct"/>
            <w:tcBorders>
              <w:top w:val="nil"/>
              <w:left w:val="nil"/>
              <w:bottom w:val="nil"/>
              <w:right w:val="nil"/>
            </w:tcBorders>
            <w:shd w:val="clear" w:color="auto" w:fill="auto"/>
            <w:noWrap/>
            <w:vAlign w:val="center"/>
            <w:hideMark/>
          </w:tcPr>
          <w:p w14:paraId="1A7A8B1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6A37F01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6" w:type="pct"/>
            <w:tcBorders>
              <w:top w:val="nil"/>
              <w:left w:val="nil"/>
              <w:bottom w:val="nil"/>
              <w:right w:val="nil"/>
            </w:tcBorders>
            <w:shd w:val="clear" w:color="auto" w:fill="auto"/>
            <w:noWrap/>
            <w:vAlign w:val="center"/>
            <w:hideMark/>
          </w:tcPr>
          <w:p w14:paraId="7F02754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nil"/>
              <w:right w:val="nil"/>
            </w:tcBorders>
            <w:shd w:val="clear" w:color="auto" w:fill="auto"/>
            <w:noWrap/>
            <w:vAlign w:val="center"/>
            <w:hideMark/>
          </w:tcPr>
          <w:p w14:paraId="1C5AE7BD"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6" w:type="pct"/>
            <w:tcBorders>
              <w:top w:val="nil"/>
              <w:left w:val="nil"/>
              <w:bottom w:val="nil"/>
              <w:right w:val="nil"/>
            </w:tcBorders>
            <w:shd w:val="clear" w:color="auto" w:fill="auto"/>
            <w:noWrap/>
            <w:vAlign w:val="center"/>
            <w:hideMark/>
          </w:tcPr>
          <w:p w14:paraId="6678EC5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1" w:type="pct"/>
            <w:tcBorders>
              <w:top w:val="nil"/>
              <w:left w:val="nil"/>
              <w:bottom w:val="nil"/>
              <w:right w:val="nil"/>
            </w:tcBorders>
            <w:vAlign w:val="center"/>
          </w:tcPr>
          <w:p w14:paraId="480FA5AA"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31E28D98" w14:textId="77777777" w:rsidTr="00B35270">
        <w:trPr>
          <w:cantSplit/>
          <w:trHeight w:val="319"/>
          <w:jc w:val="center"/>
        </w:trPr>
        <w:tc>
          <w:tcPr>
            <w:tcW w:w="536" w:type="pct"/>
            <w:tcBorders>
              <w:top w:val="nil"/>
              <w:left w:val="nil"/>
              <w:bottom w:val="nil"/>
              <w:right w:val="nil"/>
            </w:tcBorders>
            <w:shd w:val="clear" w:color="auto" w:fill="auto"/>
            <w:noWrap/>
            <w:vAlign w:val="center"/>
            <w:hideMark/>
          </w:tcPr>
          <w:p w14:paraId="63B23C4E" w14:textId="77777777" w:rsidR="00587CED" w:rsidRPr="00CD6077" w:rsidRDefault="00587CED" w:rsidP="0091793B">
            <w:pPr>
              <w:keepNext/>
              <w:keepLines/>
              <w:widowControl w:val="0"/>
              <w:spacing w:after="0" w:line="360" w:lineRule="auto"/>
              <w:rPr>
                <w:rFonts w:eastAsia="Times New Roman" w:cs="Times New Roman"/>
                <w:b/>
                <w:bCs/>
                <w:snapToGrid w:val="0"/>
                <w:color w:val="000000"/>
                <w:sz w:val="20"/>
                <w:szCs w:val="20"/>
                <w:vertAlign w:val="superscript"/>
              </w:rPr>
            </w:pPr>
            <w:r w:rsidRPr="00A93605">
              <w:rPr>
                <w:rFonts w:eastAsia="Times New Roman" w:cs="Times New Roman"/>
                <w:b/>
                <w:bCs/>
                <w:snapToGrid w:val="0"/>
                <w:color w:val="000000"/>
                <w:sz w:val="20"/>
                <w:szCs w:val="20"/>
              </w:rPr>
              <w:t>APMT</w:t>
            </w:r>
            <w:r w:rsidR="00CD6077">
              <w:rPr>
                <w:rFonts w:eastAsia="Times New Roman" w:cs="Times New Roman"/>
                <w:b/>
                <w:bCs/>
                <w:snapToGrid w:val="0"/>
                <w:color w:val="000000"/>
                <w:sz w:val="20"/>
                <w:szCs w:val="20"/>
                <w:vertAlign w:val="superscript"/>
              </w:rPr>
              <w:t>TM</w:t>
            </w:r>
          </w:p>
        </w:tc>
        <w:tc>
          <w:tcPr>
            <w:tcW w:w="261" w:type="pct"/>
            <w:vMerge/>
            <w:tcBorders>
              <w:left w:val="nil"/>
              <w:right w:val="nil"/>
            </w:tcBorders>
            <w:vAlign w:val="center"/>
            <w:hideMark/>
          </w:tcPr>
          <w:p w14:paraId="47C069A8"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nil"/>
              <w:right w:val="nil"/>
            </w:tcBorders>
            <w:shd w:val="clear" w:color="auto" w:fill="auto"/>
            <w:noWrap/>
            <w:vAlign w:val="center"/>
            <w:hideMark/>
          </w:tcPr>
          <w:p w14:paraId="3BA22C65"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65.84</w:t>
            </w:r>
          </w:p>
        </w:tc>
        <w:tc>
          <w:tcPr>
            <w:tcW w:w="353" w:type="pct"/>
            <w:tcBorders>
              <w:top w:val="nil"/>
              <w:left w:val="nil"/>
              <w:bottom w:val="nil"/>
              <w:right w:val="nil"/>
            </w:tcBorders>
            <w:shd w:val="clear" w:color="auto" w:fill="auto"/>
            <w:noWrap/>
            <w:vAlign w:val="center"/>
            <w:hideMark/>
          </w:tcPr>
          <w:p w14:paraId="578DFAC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21.89</w:t>
            </w:r>
          </w:p>
        </w:tc>
        <w:tc>
          <w:tcPr>
            <w:tcW w:w="348" w:type="pct"/>
            <w:tcBorders>
              <w:top w:val="nil"/>
              <w:left w:val="nil"/>
              <w:bottom w:val="nil"/>
              <w:right w:val="nil"/>
            </w:tcBorders>
            <w:shd w:val="clear" w:color="auto" w:fill="auto"/>
            <w:noWrap/>
            <w:vAlign w:val="center"/>
            <w:hideMark/>
          </w:tcPr>
          <w:p w14:paraId="7CDA8732"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9.57</w:t>
            </w:r>
          </w:p>
        </w:tc>
        <w:tc>
          <w:tcPr>
            <w:tcW w:w="353" w:type="pct"/>
            <w:tcBorders>
              <w:top w:val="nil"/>
              <w:left w:val="nil"/>
              <w:bottom w:val="nil"/>
              <w:right w:val="nil"/>
            </w:tcBorders>
            <w:shd w:val="clear" w:color="auto" w:fill="auto"/>
            <w:noWrap/>
            <w:vAlign w:val="center"/>
            <w:hideMark/>
          </w:tcPr>
          <w:p w14:paraId="6681805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0.06</w:t>
            </w:r>
          </w:p>
        </w:tc>
        <w:tc>
          <w:tcPr>
            <w:tcW w:w="353" w:type="pct"/>
            <w:tcBorders>
              <w:top w:val="nil"/>
              <w:left w:val="nil"/>
              <w:bottom w:val="nil"/>
              <w:right w:val="nil"/>
            </w:tcBorders>
            <w:shd w:val="clear" w:color="auto" w:fill="auto"/>
            <w:noWrap/>
            <w:vAlign w:val="center"/>
            <w:hideMark/>
          </w:tcPr>
          <w:p w14:paraId="1126BC6B"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46" w:type="pct"/>
            <w:tcBorders>
              <w:top w:val="nil"/>
              <w:left w:val="nil"/>
              <w:bottom w:val="nil"/>
              <w:right w:val="nil"/>
            </w:tcBorders>
            <w:shd w:val="clear" w:color="auto" w:fill="auto"/>
            <w:noWrap/>
            <w:vAlign w:val="center"/>
            <w:hideMark/>
          </w:tcPr>
          <w:p w14:paraId="16170AA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47" w:type="pct"/>
            <w:tcBorders>
              <w:top w:val="nil"/>
              <w:left w:val="nil"/>
              <w:bottom w:val="nil"/>
              <w:right w:val="nil"/>
            </w:tcBorders>
            <w:shd w:val="clear" w:color="auto" w:fill="auto"/>
            <w:noWrap/>
            <w:vAlign w:val="center"/>
            <w:hideMark/>
          </w:tcPr>
          <w:p w14:paraId="0D012C0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 </w:t>
            </w:r>
          </w:p>
        </w:tc>
        <w:tc>
          <w:tcPr>
            <w:tcW w:w="353" w:type="pct"/>
            <w:tcBorders>
              <w:top w:val="nil"/>
              <w:left w:val="nil"/>
              <w:bottom w:val="nil"/>
              <w:right w:val="nil"/>
            </w:tcBorders>
            <w:shd w:val="clear" w:color="auto" w:fill="auto"/>
            <w:noWrap/>
            <w:vAlign w:val="center"/>
            <w:hideMark/>
          </w:tcPr>
          <w:p w14:paraId="0101A25E"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1.54</w:t>
            </w:r>
          </w:p>
        </w:tc>
        <w:tc>
          <w:tcPr>
            <w:tcW w:w="346" w:type="pct"/>
            <w:tcBorders>
              <w:top w:val="nil"/>
              <w:left w:val="nil"/>
              <w:bottom w:val="nil"/>
              <w:right w:val="nil"/>
            </w:tcBorders>
            <w:shd w:val="clear" w:color="auto" w:fill="auto"/>
            <w:noWrap/>
            <w:vAlign w:val="center"/>
            <w:hideMark/>
          </w:tcPr>
          <w:p w14:paraId="36BEA3A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0.07</w:t>
            </w:r>
          </w:p>
        </w:tc>
        <w:tc>
          <w:tcPr>
            <w:tcW w:w="353" w:type="pct"/>
            <w:tcBorders>
              <w:top w:val="nil"/>
              <w:left w:val="nil"/>
              <w:bottom w:val="nil"/>
              <w:right w:val="nil"/>
            </w:tcBorders>
            <w:shd w:val="clear" w:color="auto" w:fill="auto"/>
            <w:noWrap/>
            <w:vAlign w:val="center"/>
            <w:hideMark/>
          </w:tcPr>
          <w:p w14:paraId="4A9802CC"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0.99</w:t>
            </w:r>
          </w:p>
        </w:tc>
        <w:tc>
          <w:tcPr>
            <w:tcW w:w="346" w:type="pct"/>
            <w:tcBorders>
              <w:top w:val="nil"/>
              <w:left w:val="nil"/>
              <w:bottom w:val="nil"/>
              <w:right w:val="nil"/>
            </w:tcBorders>
            <w:shd w:val="clear" w:color="auto" w:fill="auto"/>
            <w:noWrap/>
            <w:vAlign w:val="center"/>
            <w:hideMark/>
          </w:tcPr>
          <w:p w14:paraId="44B030F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0.05</w:t>
            </w:r>
          </w:p>
        </w:tc>
        <w:tc>
          <w:tcPr>
            <w:tcW w:w="351" w:type="pct"/>
            <w:tcBorders>
              <w:top w:val="nil"/>
              <w:left w:val="nil"/>
              <w:bottom w:val="nil"/>
              <w:right w:val="nil"/>
            </w:tcBorders>
            <w:vAlign w:val="center"/>
          </w:tcPr>
          <w:p w14:paraId="365339F0"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r>
      <w:tr w:rsidR="00B35270" w:rsidRPr="00A93605" w14:paraId="23751846" w14:textId="77777777" w:rsidTr="00B35270">
        <w:trPr>
          <w:cantSplit/>
          <w:trHeight w:val="319"/>
          <w:jc w:val="center"/>
        </w:trPr>
        <w:tc>
          <w:tcPr>
            <w:tcW w:w="536" w:type="pct"/>
            <w:tcBorders>
              <w:top w:val="nil"/>
              <w:left w:val="nil"/>
              <w:bottom w:val="single" w:sz="4" w:space="0" w:color="auto"/>
              <w:right w:val="nil"/>
            </w:tcBorders>
            <w:shd w:val="clear" w:color="auto" w:fill="auto"/>
            <w:noWrap/>
            <w:vAlign w:val="center"/>
          </w:tcPr>
          <w:p w14:paraId="5B5EDF27"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r w:rsidRPr="00A93605">
              <w:rPr>
                <w:rFonts w:eastAsia="Times New Roman" w:cs="Times New Roman"/>
                <w:b/>
                <w:bCs/>
                <w:snapToGrid w:val="0"/>
                <w:color w:val="000000"/>
                <w:sz w:val="20"/>
                <w:szCs w:val="20"/>
              </w:rPr>
              <w:t>SiC</w:t>
            </w:r>
          </w:p>
        </w:tc>
        <w:tc>
          <w:tcPr>
            <w:tcW w:w="261" w:type="pct"/>
            <w:tcBorders>
              <w:left w:val="nil"/>
              <w:bottom w:val="single" w:sz="4" w:space="0" w:color="auto"/>
              <w:right w:val="nil"/>
            </w:tcBorders>
            <w:vAlign w:val="center"/>
          </w:tcPr>
          <w:p w14:paraId="61A3BA53" w14:textId="77777777" w:rsidR="00587CED" w:rsidRPr="00A93605" w:rsidRDefault="00587CED" w:rsidP="0091793B">
            <w:pPr>
              <w:keepNext/>
              <w:keepLines/>
              <w:widowControl w:val="0"/>
              <w:spacing w:after="0" w:line="360" w:lineRule="auto"/>
              <w:rPr>
                <w:rFonts w:eastAsia="Times New Roman" w:cs="Times New Roman"/>
                <w:b/>
                <w:bCs/>
                <w:snapToGrid w:val="0"/>
                <w:color w:val="000000"/>
                <w:sz w:val="20"/>
                <w:szCs w:val="20"/>
              </w:rPr>
            </w:pPr>
          </w:p>
        </w:tc>
        <w:tc>
          <w:tcPr>
            <w:tcW w:w="352" w:type="pct"/>
            <w:tcBorders>
              <w:top w:val="nil"/>
              <w:left w:val="nil"/>
              <w:bottom w:val="single" w:sz="4" w:space="0" w:color="auto"/>
              <w:right w:val="nil"/>
            </w:tcBorders>
            <w:shd w:val="clear" w:color="auto" w:fill="auto"/>
            <w:noWrap/>
            <w:vAlign w:val="center"/>
          </w:tcPr>
          <w:p w14:paraId="612FF63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single" w:sz="4" w:space="0" w:color="auto"/>
              <w:right w:val="nil"/>
            </w:tcBorders>
            <w:shd w:val="clear" w:color="auto" w:fill="auto"/>
            <w:noWrap/>
            <w:vAlign w:val="center"/>
          </w:tcPr>
          <w:p w14:paraId="080583AF"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8" w:type="pct"/>
            <w:tcBorders>
              <w:top w:val="nil"/>
              <w:left w:val="nil"/>
              <w:bottom w:val="single" w:sz="4" w:space="0" w:color="auto"/>
              <w:right w:val="nil"/>
            </w:tcBorders>
            <w:shd w:val="clear" w:color="auto" w:fill="auto"/>
            <w:noWrap/>
            <w:vAlign w:val="center"/>
          </w:tcPr>
          <w:p w14:paraId="56999309"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single" w:sz="4" w:space="0" w:color="auto"/>
              <w:right w:val="nil"/>
            </w:tcBorders>
            <w:shd w:val="clear" w:color="auto" w:fill="auto"/>
            <w:noWrap/>
            <w:vAlign w:val="center"/>
          </w:tcPr>
          <w:p w14:paraId="5CAA9E8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single" w:sz="4" w:space="0" w:color="auto"/>
              <w:right w:val="nil"/>
            </w:tcBorders>
            <w:shd w:val="clear" w:color="auto" w:fill="auto"/>
            <w:noWrap/>
            <w:vAlign w:val="center"/>
          </w:tcPr>
          <w:p w14:paraId="18908E3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6" w:type="pct"/>
            <w:tcBorders>
              <w:top w:val="nil"/>
              <w:left w:val="nil"/>
              <w:bottom w:val="single" w:sz="4" w:space="0" w:color="auto"/>
              <w:right w:val="nil"/>
            </w:tcBorders>
            <w:shd w:val="clear" w:color="auto" w:fill="auto"/>
            <w:noWrap/>
            <w:vAlign w:val="center"/>
          </w:tcPr>
          <w:p w14:paraId="7CACA06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7" w:type="pct"/>
            <w:tcBorders>
              <w:top w:val="nil"/>
              <w:left w:val="nil"/>
              <w:bottom w:val="single" w:sz="4" w:space="0" w:color="auto"/>
              <w:right w:val="nil"/>
            </w:tcBorders>
            <w:shd w:val="clear" w:color="auto" w:fill="auto"/>
            <w:noWrap/>
            <w:vAlign w:val="center"/>
          </w:tcPr>
          <w:p w14:paraId="05929A1D"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single" w:sz="4" w:space="0" w:color="auto"/>
              <w:right w:val="nil"/>
            </w:tcBorders>
            <w:shd w:val="clear" w:color="auto" w:fill="auto"/>
            <w:noWrap/>
            <w:vAlign w:val="center"/>
          </w:tcPr>
          <w:p w14:paraId="642F0667"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46" w:type="pct"/>
            <w:tcBorders>
              <w:top w:val="nil"/>
              <w:left w:val="nil"/>
              <w:bottom w:val="single" w:sz="4" w:space="0" w:color="auto"/>
              <w:right w:val="nil"/>
            </w:tcBorders>
            <w:shd w:val="clear" w:color="auto" w:fill="auto"/>
            <w:noWrap/>
            <w:vAlign w:val="center"/>
          </w:tcPr>
          <w:p w14:paraId="7B157C46"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3" w:type="pct"/>
            <w:tcBorders>
              <w:top w:val="nil"/>
              <w:left w:val="nil"/>
              <w:bottom w:val="single" w:sz="4" w:space="0" w:color="auto"/>
              <w:right w:val="nil"/>
            </w:tcBorders>
            <w:shd w:val="clear" w:color="auto" w:fill="auto"/>
            <w:noWrap/>
            <w:vAlign w:val="center"/>
          </w:tcPr>
          <w:p w14:paraId="024D87FD"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50</w:t>
            </w:r>
          </w:p>
        </w:tc>
        <w:tc>
          <w:tcPr>
            <w:tcW w:w="346" w:type="pct"/>
            <w:tcBorders>
              <w:top w:val="nil"/>
              <w:left w:val="nil"/>
              <w:bottom w:val="single" w:sz="4" w:space="0" w:color="auto"/>
              <w:right w:val="nil"/>
            </w:tcBorders>
            <w:shd w:val="clear" w:color="auto" w:fill="auto"/>
            <w:noWrap/>
            <w:vAlign w:val="center"/>
          </w:tcPr>
          <w:p w14:paraId="7366A071"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p>
        </w:tc>
        <w:tc>
          <w:tcPr>
            <w:tcW w:w="351" w:type="pct"/>
            <w:tcBorders>
              <w:top w:val="nil"/>
              <w:left w:val="nil"/>
              <w:bottom w:val="single" w:sz="4" w:space="0" w:color="auto"/>
              <w:right w:val="nil"/>
            </w:tcBorders>
            <w:vAlign w:val="center"/>
          </w:tcPr>
          <w:p w14:paraId="4325FD59" w14:textId="77777777" w:rsidR="00587CED" w:rsidRPr="00A93605" w:rsidRDefault="00587CED" w:rsidP="0091793B">
            <w:pPr>
              <w:keepNext/>
              <w:keepLines/>
              <w:widowControl w:val="0"/>
              <w:spacing w:after="0" w:line="360" w:lineRule="auto"/>
              <w:rPr>
                <w:rFonts w:eastAsia="Times New Roman" w:cs="Times New Roman"/>
                <w:snapToGrid w:val="0"/>
                <w:color w:val="000000"/>
                <w:sz w:val="20"/>
                <w:szCs w:val="20"/>
              </w:rPr>
            </w:pPr>
            <w:r w:rsidRPr="00A93605">
              <w:rPr>
                <w:rFonts w:eastAsia="Times New Roman" w:cs="Times New Roman"/>
                <w:snapToGrid w:val="0"/>
                <w:color w:val="000000"/>
                <w:sz w:val="20"/>
                <w:szCs w:val="20"/>
              </w:rPr>
              <w:t>50</w:t>
            </w:r>
          </w:p>
        </w:tc>
      </w:tr>
    </w:tbl>
    <w:p w14:paraId="1E474CE4" w14:textId="77777777" w:rsidR="0003299B" w:rsidRDefault="0003299B" w:rsidP="0091793B">
      <w:pPr>
        <w:widowControl w:val="0"/>
        <w:spacing w:after="0" w:line="360" w:lineRule="auto"/>
        <w:jc w:val="both"/>
        <w:rPr>
          <w:rFonts w:eastAsia="Times New Roman" w:cs="Times New Roman"/>
          <w:b/>
          <w:snapToGrid w:val="0"/>
          <w:szCs w:val="24"/>
        </w:rPr>
      </w:pPr>
    </w:p>
    <w:p w14:paraId="3035586D" w14:textId="77777777" w:rsidR="00E4261C" w:rsidRPr="00A93605" w:rsidRDefault="00E4261C" w:rsidP="0091793B">
      <w:pPr>
        <w:widowControl w:val="0"/>
        <w:spacing w:after="0" w:line="360" w:lineRule="auto"/>
        <w:jc w:val="both"/>
        <w:rPr>
          <w:rFonts w:eastAsia="Times New Roman" w:cs="Times New Roman"/>
          <w:snapToGrid w:val="0"/>
        </w:rPr>
      </w:pPr>
    </w:p>
    <w:p w14:paraId="305D8312" w14:textId="77777777" w:rsidR="00587CED" w:rsidRPr="00A93605" w:rsidRDefault="00A3048B" w:rsidP="006F0C75">
      <w:pPr>
        <w:rPr>
          <w:rFonts w:ascii="Times New Roman Bold" w:eastAsia="Times New Roman" w:hAnsi="Times New Roman Bold" w:cs="Times New Roman"/>
          <w:b/>
          <w:snapToGrid w:val="0"/>
          <w:szCs w:val="24"/>
        </w:rPr>
      </w:pPr>
      <w:bookmarkStart w:id="15" w:name="_Toc416993425"/>
      <w:r>
        <w:t xml:space="preserve">Table </w:t>
      </w:r>
      <w:fldSimple w:instr=" SEQ Table \* ROMAN ">
        <w:r w:rsidR="00EC7A3E">
          <w:rPr>
            <w:noProof/>
          </w:rPr>
          <w:t>III</w:t>
        </w:r>
      </w:fldSimple>
      <w:r>
        <w:t xml:space="preserve">. </w:t>
      </w:r>
      <w:r w:rsidRPr="004438B6">
        <w:t>Various Rod Geometries used for Reactivity Calculations</w:t>
      </w:r>
      <w:bookmarkEnd w:id="15"/>
    </w:p>
    <w:tbl>
      <w:tblPr>
        <w:tblW w:w="4637" w:type="pct"/>
        <w:jc w:val="center"/>
        <w:tblInd w:w="137" w:type="dxa"/>
        <w:tblLayout w:type="fixed"/>
        <w:tblCellMar>
          <w:left w:w="58" w:type="dxa"/>
          <w:right w:w="58" w:type="dxa"/>
        </w:tblCellMar>
        <w:tblLook w:val="04A0" w:firstRow="1" w:lastRow="0" w:firstColumn="1" w:lastColumn="0" w:noHBand="0" w:noVBand="1"/>
      </w:tblPr>
      <w:tblGrid>
        <w:gridCol w:w="725"/>
        <w:gridCol w:w="1151"/>
        <w:gridCol w:w="1151"/>
        <w:gridCol w:w="1151"/>
        <w:gridCol w:w="1151"/>
        <w:gridCol w:w="1151"/>
        <w:gridCol w:w="1151"/>
        <w:gridCol w:w="1157"/>
      </w:tblGrid>
      <w:tr w:rsidR="00587CED" w:rsidRPr="00A93605" w14:paraId="2C8ADBBA" w14:textId="77777777" w:rsidTr="00A83B3B">
        <w:trPr>
          <w:trHeight w:val="305"/>
          <w:jc w:val="center"/>
        </w:trPr>
        <w:tc>
          <w:tcPr>
            <w:tcW w:w="412" w:type="pct"/>
            <w:tcBorders>
              <w:top w:val="single" w:sz="4" w:space="0" w:color="auto"/>
              <w:left w:val="nil"/>
              <w:bottom w:val="single" w:sz="4" w:space="0" w:color="auto"/>
              <w:right w:val="nil"/>
            </w:tcBorders>
            <w:shd w:val="clear" w:color="auto" w:fill="F2F2F2"/>
            <w:noWrap/>
            <w:vAlign w:val="center"/>
            <w:hideMark/>
          </w:tcPr>
          <w:p w14:paraId="0E7A24E1" w14:textId="77777777" w:rsidR="00587CED" w:rsidRPr="00A93605" w:rsidRDefault="00587CED" w:rsidP="006F0C75">
            <w:pPr>
              <w:keepNext/>
              <w:keepLines/>
              <w:widowControl w:val="0"/>
              <w:spacing w:after="0"/>
              <w:rPr>
                <w:rFonts w:eastAsia="Times New Roman" w:cs="Times New Roman"/>
                <w:b/>
                <w:snapToGrid w:val="0"/>
                <w:color w:val="000000"/>
                <w:sz w:val="20"/>
                <w:szCs w:val="20"/>
              </w:rPr>
            </w:pPr>
            <w:r w:rsidRPr="00A93605">
              <w:rPr>
                <w:rFonts w:eastAsia="Times New Roman" w:cs="Times New Roman"/>
                <w:b/>
                <w:snapToGrid w:val="0"/>
                <w:color w:val="000000"/>
                <w:sz w:val="20"/>
                <w:szCs w:val="20"/>
              </w:rPr>
              <w:t>Case #</w:t>
            </w:r>
          </w:p>
        </w:tc>
        <w:tc>
          <w:tcPr>
            <w:tcW w:w="655" w:type="pct"/>
            <w:tcBorders>
              <w:top w:val="single" w:sz="4" w:space="0" w:color="auto"/>
              <w:left w:val="nil"/>
              <w:bottom w:val="single" w:sz="4" w:space="0" w:color="auto"/>
              <w:right w:val="nil"/>
            </w:tcBorders>
            <w:shd w:val="clear" w:color="auto" w:fill="F2F2F2"/>
            <w:vAlign w:val="center"/>
          </w:tcPr>
          <w:p w14:paraId="7EE58F52" w14:textId="77777777" w:rsidR="00587CED" w:rsidRPr="00A93605" w:rsidRDefault="00587CED" w:rsidP="006F0C75">
            <w:pPr>
              <w:keepNext/>
              <w:keepLines/>
              <w:widowControl w:val="0"/>
              <w:spacing w:after="0"/>
              <w:rPr>
                <w:rFonts w:eastAsia="Times New Roman" w:cs="Times New Roman"/>
                <w:b/>
                <w:bCs/>
                <w:snapToGrid w:val="0"/>
                <w:sz w:val="20"/>
                <w:szCs w:val="20"/>
              </w:rPr>
            </w:pPr>
            <w:r w:rsidRPr="00A93605">
              <w:rPr>
                <w:rFonts w:eastAsia="Times New Roman" w:cs="Times New Roman"/>
                <w:b/>
                <w:bCs/>
                <w:snapToGrid w:val="0"/>
                <w:sz w:val="20"/>
                <w:szCs w:val="20"/>
              </w:rPr>
              <w:t>ΔUO</w:t>
            </w:r>
            <w:r w:rsidRPr="00A93605">
              <w:rPr>
                <w:rFonts w:eastAsia="Times New Roman" w:cs="Times New Roman"/>
                <w:b/>
                <w:bCs/>
                <w:snapToGrid w:val="0"/>
                <w:sz w:val="20"/>
                <w:szCs w:val="20"/>
                <w:vertAlign w:val="subscript"/>
              </w:rPr>
              <w:t>2</w:t>
            </w:r>
          </w:p>
          <w:p w14:paraId="47B836D9" w14:textId="77777777" w:rsidR="00587CED" w:rsidRPr="00A93605" w:rsidRDefault="00587CED" w:rsidP="006F0C75">
            <w:pPr>
              <w:keepNext/>
              <w:keepLines/>
              <w:widowControl w:val="0"/>
              <w:spacing w:after="0"/>
              <w:rPr>
                <w:rFonts w:eastAsia="Times New Roman" w:cs="Times New Roman"/>
                <w:b/>
                <w:bCs/>
                <w:snapToGrid w:val="0"/>
                <w:sz w:val="20"/>
                <w:szCs w:val="20"/>
              </w:rPr>
            </w:pPr>
            <w:r w:rsidRPr="00A93605">
              <w:rPr>
                <w:rFonts w:eastAsia="Times New Roman" w:cs="Times New Roman"/>
                <w:b/>
                <w:bCs/>
                <w:snapToGrid w:val="0"/>
                <w:sz w:val="20"/>
                <w:szCs w:val="20"/>
              </w:rPr>
              <w:t>Volume</w:t>
            </w:r>
          </w:p>
        </w:tc>
        <w:tc>
          <w:tcPr>
            <w:tcW w:w="655" w:type="pct"/>
            <w:tcBorders>
              <w:top w:val="single" w:sz="4" w:space="0" w:color="auto"/>
              <w:left w:val="nil"/>
              <w:bottom w:val="single" w:sz="4" w:space="0" w:color="auto"/>
              <w:right w:val="nil"/>
            </w:tcBorders>
            <w:shd w:val="clear" w:color="auto" w:fill="F2F2F2"/>
            <w:noWrap/>
            <w:vAlign w:val="center"/>
            <w:hideMark/>
          </w:tcPr>
          <w:p w14:paraId="011CF8A1" w14:textId="77777777" w:rsidR="00587CED" w:rsidRPr="00A93605" w:rsidRDefault="00587CED" w:rsidP="006F0C75">
            <w:pPr>
              <w:keepNext/>
              <w:keepLines/>
              <w:widowControl w:val="0"/>
              <w:spacing w:after="0"/>
              <w:rPr>
                <w:rFonts w:eastAsia="Times New Roman" w:cs="Times New Roman"/>
                <w:b/>
                <w:snapToGrid w:val="0"/>
                <w:color w:val="000000"/>
                <w:sz w:val="20"/>
                <w:szCs w:val="20"/>
              </w:rPr>
            </w:pPr>
            <w:r w:rsidRPr="00A93605">
              <w:rPr>
                <w:rFonts w:eastAsia="Times New Roman" w:cs="Times New Roman"/>
                <w:b/>
                <w:snapToGrid w:val="0"/>
                <w:color w:val="000000"/>
                <w:sz w:val="20"/>
                <w:szCs w:val="20"/>
              </w:rPr>
              <w:t>Pellet OD [mm]</w:t>
            </w:r>
          </w:p>
        </w:tc>
        <w:tc>
          <w:tcPr>
            <w:tcW w:w="655" w:type="pct"/>
            <w:tcBorders>
              <w:top w:val="single" w:sz="4" w:space="0" w:color="auto"/>
              <w:left w:val="nil"/>
              <w:bottom w:val="single" w:sz="4" w:space="0" w:color="auto"/>
              <w:right w:val="nil"/>
            </w:tcBorders>
            <w:shd w:val="clear" w:color="auto" w:fill="F2F2F2"/>
            <w:noWrap/>
            <w:vAlign w:val="center"/>
            <w:hideMark/>
          </w:tcPr>
          <w:p w14:paraId="4F7AEB24" w14:textId="77777777" w:rsidR="00587CED" w:rsidRPr="00A93605" w:rsidRDefault="00587CED" w:rsidP="006F0C75">
            <w:pPr>
              <w:keepNext/>
              <w:keepLines/>
              <w:widowControl w:val="0"/>
              <w:spacing w:after="0"/>
              <w:rPr>
                <w:rFonts w:eastAsia="Times New Roman" w:cs="Times New Roman"/>
                <w:b/>
                <w:snapToGrid w:val="0"/>
                <w:color w:val="000000"/>
                <w:sz w:val="20"/>
                <w:szCs w:val="20"/>
              </w:rPr>
            </w:pPr>
            <w:r w:rsidRPr="00A93605">
              <w:rPr>
                <w:rFonts w:eastAsia="Times New Roman" w:cs="Times New Roman"/>
                <w:b/>
                <w:snapToGrid w:val="0"/>
                <w:color w:val="000000"/>
                <w:sz w:val="20"/>
                <w:szCs w:val="20"/>
              </w:rPr>
              <w:t>Gap Thickness [µm]</w:t>
            </w:r>
          </w:p>
        </w:tc>
        <w:tc>
          <w:tcPr>
            <w:tcW w:w="655" w:type="pct"/>
            <w:tcBorders>
              <w:top w:val="single" w:sz="4" w:space="0" w:color="auto"/>
              <w:left w:val="nil"/>
              <w:bottom w:val="single" w:sz="4" w:space="0" w:color="auto"/>
              <w:right w:val="nil"/>
            </w:tcBorders>
            <w:shd w:val="clear" w:color="auto" w:fill="F2F2F2"/>
            <w:noWrap/>
            <w:vAlign w:val="center"/>
            <w:hideMark/>
          </w:tcPr>
          <w:p w14:paraId="399B95D4" w14:textId="77777777" w:rsidR="00587CED" w:rsidRPr="00A93605" w:rsidRDefault="00587CED" w:rsidP="006F0C75">
            <w:pPr>
              <w:keepNext/>
              <w:keepLines/>
              <w:widowControl w:val="0"/>
              <w:spacing w:after="0"/>
              <w:rPr>
                <w:rFonts w:eastAsia="Times New Roman" w:cs="Times New Roman"/>
                <w:b/>
                <w:snapToGrid w:val="0"/>
                <w:color w:val="000000"/>
                <w:sz w:val="20"/>
                <w:szCs w:val="20"/>
              </w:rPr>
            </w:pPr>
            <w:r w:rsidRPr="00A93605">
              <w:rPr>
                <w:rFonts w:eastAsia="Times New Roman" w:cs="Times New Roman"/>
                <w:b/>
                <w:snapToGrid w:val="0"/>
                <w:color w:val="000000"/>
                <w:sz w:val="20"/>
                <w:szCs w:val="20"/>
              </w:rPr>
              <w:t>Clad ID [mm]</w:t>
            </w:r>
          </w:p>
        </w:tc>
        <w:tc>
          <w:tcPr>
            <w:tcW w:w="655" w:type="pct"/>
            <w:tcBorders>
              <w:top w:val="single" w:sz="4" w:space="0" w:color="auto"/>
              <w:left w:val="nil"/>
              <w:bottom w:val="single" w:sz="4" w:space="0" w:color="auto"/>
              <w:right w:val="nil"/>
            </w:tcBorders>
            <w:shd w:val="clear" w:color="auto" w:fill="F2F2F2"/>
            <w:noWrap/>
            <w:vAlign w:val="center"/>
            <w:hideMark/>
          </w:tcPr>
          <w:p w14:paraId="20CFAB7A" w14:textId="77777777" w:rsidR="00587CED" w:rsidRPr="00A93605" w:rsidRDefault="00587CED" w:rsidP="006F0C75">
            <w:pPr>
              <w:keepNext/>
              <w:keepLines/>
              <w:widowControl w:val="0"/>
              <w:spacing w:after="0"/>
              <w:rPr>
                <w:rFonts w:eastAsia="Times New Roman" w:cs="Times New Roman"/>
                <w:b/>
                <w:snapToGrid w:val="0"/>
                <w:color w:val="000000"/>
                <w:sz w:val="20"/>
                <w:szCs w:val="20"/>
              </w:rPr>
            </w:pPr>
            <w:r w:rsidRPr="00A93605">
              <w:rPr>
                <w:rFonts w:eastAsia="Times New Roman" w:cs="Times New Roman"/>
                <w:b/>
                <w:snapToGrid w:val="0"/>
                <w:color w:val="000000"/>
                <w:sz w:val="20"/>
                <w:szCs w:val="20"/>
              </w:rPr>
              <w:t>Clad OD [mm]</w:t>
            </w:r>
          </w:p>
        </w:tc>
        <w:tc>
          <w:tcPr>
            <w:tcW w:w="655" w:type="pct"/>
            <w:tcBorders>
              <w:top w:val="single" w:sz="4" w:space="0" w:color="auto"/>
              <w:left w:val="nil"/>
              <w:bottom w:val="single" w:sz="4" w:space="0" w:color="auto"/>
              <w:right w:val="nil"/>
            </w:tcBorders>
            <w:shd w:val="clear" w:color="auto" w:fill="F2F2F2"/>
            <w:noWrap/>
            <w:vAlign w:val="center"/>
            <w:hideMark/>
          </w:tcPr>
          <w:p w14:paraId="59F22968" w14:textId="77777777" w:rsidR="00587CED" w:rsidRPr="00A93605" w:rsidRDefault="00587CED" w:rsidP="006F0C75">
            <w:pPr>
              <w:keepNext/>
              <w:keepLines/>
              <w:widowControl w:val="0"/>
              <w:spacing w:after="0"/>
              <w:rPr>
                <w:rFonts w:eastAsia="Times New Roman" w:cs="Times New Roman"/>
                <w:b/>
                <w:snapToGrid w:val="0"/>
                <w:color w:val="000000"/>
                <w:sz w:val="20"/>
                <w:szCs w:val="20"/>
              </w:rPr>
            </w:pPr>
            <w:r w:rsidRPr="00A93605">
              <w:rPr>
                <w:rFonts w:eastAsia="Times New Roman" w:cs="Times New Roman"/>
                <w:b/>
                <w:snapToGrid w:val="0"/>
                <w:color w:val="000000"/>
                <w:sz w:val="20"/>
                <w:szCs w:val="20"/>
              </w:rPr>
              <w:t>Clad Thickness [µm]</w:t>
            </w:r>
          </w:p>
        </w:tc>
        <w:tc>
          <w:tcPr>
            <w:tcW w:w="658" w:type="pct"/>
            <w:tcBorders>
              <w:top w:val="single" w:sz="4" w:space="0" w:color="auto"/>
              <w:left w:val="nil"/>
              <w:bottom w:val="single" w:sz="4" w:space="0" w:color="auto"/>
              <w:right w:val="nil"/>
            </w:tcBorders>
            <w:shd w:val="clear" w:color="auto" w:fill="F2F2F2"/>
            <w:noWrap/>
            <w:vAlign w:val="center"/>
            <w:hideMark/>
          </w:tcPr>
          <w:p w14:paraId="3A2B5C90" w14:textId="77777777" w:rsidR="00587CED" w:rsidRPr="00A93605" w:rsidRDefault="00587CED" w:rsidP="006F0C75">
            <w:pPr>
              <w:keepNext/>
              <w:keepLines/>
              <w:widowControl w:val="0"/>
              <w:spacing w:after="0"/>
              <w:rPr>
                <w:rFonts w:eastAsia="Times New Roman" w:cs="Times New Roman"/>
                <w:b/>
                <w:snapToGrid w:val="0"/>
                <w:color w:val="000000"/>
                <w:sz w:val="20"/>
                <w:szCs w:val="20"/>
              </w:rPr>
            </w:pPr>
            <w:r w:rsidRPr="00A93605">
              <w:rPr>
                <w:rFonts w:eastAsia="Times New Roman" w:cs="Times New Roman"/>
                <w:b/>
                <w:snapToGrid w:val="0"/>
                <w:color w:val="000000"/>
                <w:sz w:val="20"/>
                <w:szCs w:val="20"/>
              </w:rPr>
              <w:t>U enrichment</w:t>
            </w:r>
          </w:p>
        </w:tc>
      </w:tr>
      <w:tr w:rsidR="00587CED" w:rsidRPr="00A93605" w14:paraId="7C66C7B3" w14:textId="77777777" w:rsidTr="00A83B3B">
        <w:trPr>
          <w:trHeight w:val="305"/>
          <w:jc w:val="center"/>
        </w:trPr>
        <w:tc>
          <w:tcPr>
            <w:tcW w:w="412" w:type="pct"/>
            <w:tcBorders>
              <w:top w:val="nil"/>
              <w:left w:val="nil"/>
              <w:bottom w:val="nil"/>
              <w:right w:val="nil"/>
            </w:tcBorders>
            <w:shd w:val="clear" w:color="auto" w:fill="auto"/>
            <w:noWrap/>
            <w:vAlign w:val="center"/>
            <w:hideMark/>
          </w:tcPr>
          <w:p w14:paraId="661C391F"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1 (ref)</w:t>
            </w:r>
          </w:p>
        </w:tc>
        <w:tc>
          <w:tcPr>
            <w:tcW w:w="655" w:type="pct"/>
            <w:tcBorders>
              <w:top w:val="nil"/>
              <w:left w:val="nil"/>
              <w:bottom w:val="nil"/>
              <w:right w:val="nil"/>
            </w:tcBorders>
            <w:vAlign w:val="bottom"/>
          </w:tcPr>
          <w:p w14:paraId="63C85032"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655" w:type="pct"/>
            <w:tcBorders>
              <w:top w:val="nil"/>
              <w:left w:val="nil"/>
              <w:bottom w:val="nil"/>
              <w:right w:val="nil"/>
            </w:tcBorders>
            <w:shd w:val="clear" w:color="auto" w:fill="auto"/>
            <w:noWrap/>
            <w:vAlign w:val="center"/>
            <w:hideMark/>
          </w:tcPr>
          <w:p w14:paraId="16B98A9F"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8.1915</w:t>
            </w:r>
          </w:p>
        </w:tc>
        <w:tc>
          <w:tcPr>
            <w:tcW w:w="655" w:type="pct"/>
            <w:tcBorders>
              <w:top w:val="nil"/>
              <w:left w:val="nil"/>
              <w:bottom w:val="nil"/>
              <w:right w:val="nil"/>
            </w:tcBorders>
            <w:shd w:val="clear" w:color="auto" w:fill="auto"/>
            <w:noWrap/>
            <w:vAlign w:val="center"/>
            <w:hideMark/>
          </w:tcPr>
          <w:p w14:paraId="6707C449"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82.55</w:t>
            </w:r>
          </w:p>
        </w:tc>
        <w:tc>
          <w:tcPr>
            <w:tcW w:w="655" w:type="pct"/>
            <w:tcBorders>
              <w:top w:val="nil"/>
              <w:left w:val="nil"/>
              <w:bottom w:val="nil"/>
              <w:right w:val="nil"/>
            </w:tcBorders>
            <w:shd w:val="clear" w:color="auto" w:fill="auto"/>
            <w:noWrap/>
            <w:vAlign w:val="center"/>
            <w:hideMark/>
          </w:tcPr>
          <w:p w14:paraId="30020C26"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8.3566</w:t>
            </w:r>
          </w:p>
        </w:tc>
        <w:tc>
          <w:tcPr>
            <w:tcW w:w="655" w:type="pct"/>
            <w:tcBorders>
              <w:top w:val="nil"/>
              <w:left w:val="nil"/>
              <w:bottom w:val="nil"/>
              <w:right w:val="nil"/>
            </w:tcBorders>
            <w:shd w:val="clear" w:color="auto" w:fill="auto"/>
            <w:noWrap/>
            <w:vAlign w:val="center"/>
            <w:hideMark/>
          </w:tcPr>
          <w:p w14:paraId="5998C94C"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9.4996</w:t>
            </w:r>
          </w:p>
        </w:tc>
        <w:tc>
          <w:tcPr>
            <w:tcW w:w="655" w:type="pct"/>
            <w:tcBorders>
              <w:top w:val="nil"/>
              <w:left w:val="nil"/>
              <w:bottom w:val="nil"/>
              <w:right w:val="nil"/>
            </w:tcBorders>
            <w:shd w:val="clear" w:color="auto" w:fill="auto"/>
            <w:noWrap/>
            <w:vAlign w:val="center"/>
            <w:hideMark/>
          </w:tcPr>
          <w:p w14:paraId="556F4AFD"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571.5</w:t>
            </w:r>
          </w:p>
        </w:tc>
        <w:tc>
          <w:tcPr>
            <w:tcW w:w="658" w:type="pct"/>
            <w:tcBorders>
              <w:top w:val="nil"/>
              <w:left w:val="nil"/>
              <w:bottom w:val="nil"/>
              <w:right w:val="nil"/>
            </w:tcBorders>
            <w:shd w:val="clear" w:color="auto" w:fill="auto"/>
            <w:noWrap/>
            <w:vAlign w:val="center"/>
            <w:hideMark/>
          </w:tcPr>
          <w:p w14:paraId="299CB8B5"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4.9%</w:t>
            </w:r>
          </w:p>
        </w:tc>
      </w:tr>
      <w:tr w:rsidR="00587CED" w:rsidRPr="00A93605" w14:paraId="1D1C96BB" w14:textId="77777777" w:rsidTr="00A83B3B">
        <w:trPr>
          <w:trHeight w:val="378"/>
          <w:jc w:val="center"/>
        </w:trPr>
        <w:tc>
          <w:tcPr>
            <w:tcW w:w="412" w:type="pct"/>
            <w:tcBorders>
              <w:top w:val="nil"/>
              <w:left w:val="nil"/>
              <w:bottom w:val="nil"/>
              <w:right w:val="nil"/>
            </w:tcBorders>
            <w:shd w:val="clear" w:color="auto" w:fill="auto"/>
            <w:noWrap/>
            <w:vAlign w:val="center"/>
            <w:hideMark/>
          </w:tcPr>
          <w:p w14:paraId="0E0816F7"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2</w:t>
            </w:r>
          </w:p>
        </w:tc>
        <w:tc>
          <w:tcPr>
            <w:tcW w:w="655" w:type="pct"/>
            <w:tcBorders>
              <w:top w:val="nil"/>
              <w:left w:val="nil"/>
              <w:bottom w:val="nil"/>
              <w:right w:val="nil"/>
            </w:tcBorders>
            <w:vAlign w:val="bottom"/>
          </w:tcPr>
          <w:p w14:paraId="6765BBCC"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3.5%</w:t>
            </w:r>
          </w:p>
        </w:tc>
        <w:tc>
          <w:tcPr>
            <w:tcW w:w="655" w:type="pct"/>
            <w:tcBorders>
              <w:top w:val="nil"/>
              <w:left w:val="nil"/>
              <w:bottom w:val="nil"/>
              <w:right w:val="nil"/>
            </w:tcBorders>
            <w:shd w:val="clear" w:color="auto" w:fill="auto"/>
            <w:noWrap/>
            <w:vAlign w:val="center"/>
            <w:hideMark/>
          </w:tcPr>
          <w:p w14:paraId="44E2788C"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8.3345</w:t>
            </w:r>
          </w:p>
        </w:tc>
        <w:tc>
          <w:tcPr>
            <w:tcW w:w="655" w:type="pct"/>
            <w:tcBorders>
              <w:top w:val="nil"/>
              <w:left w:val="nil"/>
              <w:bottom w:val="nil"/>
              <w:right w:val="nil"/>
            </w:tcBorders>
            <w:shd w:val="clear" w:color="auto" w:fill="auto"/>
            <w:noWrap/>
            <w:vAlign w:val="center"/>
            <w:hideMark/>
          </w:tcPr>
          <w:p w14:paraId="3F375ADE"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82.55</w:t>
            </w:r>
          </w:p>
        </w:tc>
        <w:tc>
          <w:tcPr>
            <w:tcW w:w="655" w:type="pct"/>
            <w:tcBorders>
              <w:top w:val="nil"/>
              <w:left w:val="nil"/>
              <w:bottom w:val="nil"/>
              <w:right w:val="nil"/>
            </w:tcBorders>
            <w:shd w:val="clear" w:color="auto" w:fill="auto"/>
            <w:noWrap/>
            <w:vAlign w:val="center"/>
            <w:hideMark/>
          </w:tcPr>
          <w:p w14:paraId="49A5BF7A"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8.4996</w:t>
            </w:r>
          </w:p>
        </w:tc>
        <w:tc>
          <w:tcPr>
            <w:tcW w:w="655" w:type="pct"/>
            <w:tcBorders>
              <w:top w:val="nil"/>
              <w:left w:val="nil"/>
              <w:bottom w:val="nil"/>
              <w:right w:val="nil"/>
            </w:tcBorders>
            <w:shd w:val="clear" w:color="auto" w:fill="auto"/>
            <w:noWrap/>
            <w:vAlign w:val="center"/>
            <w:hideMark/>
          </w:tcPr>
          <w:p w14:paraId="76AF9A70"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9.4996</w:t>
            </w:r>
          </w:p>
        </w:tc>
        <w:tc>
          <w:tcPr>
            <w:tcW w:w="655" w:type="pct"/>
            <w:tcBorders>
              <w:top w:val="nil"/>
              <w:left w:val="nil"/>
              <w:bottom w:val="nil"/>
              <w:right w:val="nil"/>
            </w:tcBorders>
            <w:shd w:val="clear" w:color="auto" w:fill="auto"/>
            <w:noWrap/>
            <w:vAlign w:val="center"/>
            <w:hideMark/>
          </w:tcPr>
          <w:p w14:paraId="49C4A2D6"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500</w:t>
            </w:r>
          </w:p>
        </w:tc>
        <w:tc>
          <w:tcPr>
            <w:tcW w:w="658" w:type="pct"/>
            <w:tcBorders>
              <w:top w:val="nil"/>
              <w:left w:val="nil"/>
              <w:bottom w:val="nil"/>
              <w:right w:val="nil"/>
            </w:tcBorders>
            <w:shd w:val="clear" w:color="auto" w:fill="auto"/>
            <w:noWrap/>
            <w:vAlign w:val="center"/>
            <w:hideMark/>
          </w:tcPr>
          <w:p w14:paraId="17A7D82B"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4.9%</w:t>
            </w:r>
          </w:p>
        </w:tc>
      </w:tr>
      <w:tr w:rsidR="00587CED" w:rsidRPr="00A93605" w14:paraId="1E38DD59" w14:textId="77777777" w:rsidTr="00A83B3B">
        <w:trPr>
          <w:trHeight w:val="305"/>
          <w:jc w:val="center"/>
        </w:trPr>
        <w:tc>
          <w:tcPr>
            <w:tcW w:w="412" w:type="pct"/>
            <w:tcBorders>
              <w:top w:val="nil"/>
              <w:left w:val="nil"/>
              <w:bottom w:val="nil"/>
              <w:right w:val="nil"/>
            </w:tcBorders>
            <w:shd w:val="clear" w:color="auto" w:fill="auto"/>
            <w:noWrap/>
            <w:vAlign w:val="center"/>
            <w:hideMark/>
          </w:tcPr>
          <w:p w14:paraId="6CCF44BF"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3</w:t>
            </w:r>
          </w:p>
        </w:tc>
        <w:tc>
          <w:tcPr>
            <w:tcW w:w="655" w:type="pct"/>
            <w:tcBorders>
              <w:top w:val="nil"/>
              <w:left w:val="nil"/>
              <w:bottom w:val="nil"/>
              <w:right w:val="nil"/>
            </w:tcBorders>
            <w:vAlign w:val="bottom"/>
          </w:tcPr>
          <w:p w14:paraId="668D31CB"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8.5%</w:t>
            </w:r>
          </w:p>
        </w:tc>
        <w:tc>
          <w:tcPr>
            <w:tcW w:w="655" w:type="pct"/>
            <w:tcBorders>
              <w:top w:val="nil"/>
              <w:left w:val="nil"/>
              <w:bottom w:val="nil"/>
              <w:right w:val="nil"/>
            </w:tcBorders>
            <w:shd w:val="clear" w:color="auto" w:fill="auto"/>
            <w:noWrap/>
            <w:vAlign w:val="center"/>
            <w:hideMark/>
          </w:tcPr>
          <w:p w14:paraId="51BC33DA"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8.5345</w:t>
            </w:r>
          </w:p>
        </w:tc>
        <w:tc>
          <w:tcPr>
            <w:tcW w:w="655" w:type="pct"/>
            <w:tcBorders>
              <w:top w:val="nil"/>
              <w:left w:val="nil"/>
              <w:bottom w:val="nil"/>
              <w:right w:val="nil"/>
            </w:tcBorders>
            <w:shd w:val="clear" w:color="auto" w:fill="auto"/>
            <w:noWrap/>
            <w:vAlign w:val="center"/>
            <w:hideMark/>
          </w:tcPr>
          <w:p w14:paraId="3C1E1CBE"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82.55</w:t>
            </w:r>
          </w:p>
        </w:tc>
        <w:tc>
          <w:tcPr>
            <w:tcW w:w="655" w:type="pct"/>
            <w:tcBorders>
              <w:top w:val="nil"/>
              <w:left w:val="nil"/>
              <w:bottom w:val="nil"/>
              <w:right w:val="nil"/>
            </w:tcBorders>
            <w:shd w:val="clear" w:color="auto" w:fill="auto"/>
            <w:noWrap/>
            <w:vAlign w:val="center"/>
            <w:hideMark/>
          </w:tcPr>
          <w:p w14:paraId="6A418A19"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8.6996</w:t>
            </w:r>
          </w:p>
        </w:tc>
        <w:tc>
          <w:tcPr>
            <w:tcW w:w="655" w:type="pct"/>
            <w:tcBorders>
              <w:top w:val="nil"/>
              <w:left w:val="nil"/>
              <w:bottom w:val="nil"/>
              <w:right w:val="nil"/>
            </w:tcBorders>
            <w:shd w:val="clear" w:color="auto" w:fill="auto"/>
            <w:noWrap/>
            <w:vAlign w:val="center"/>
            <w:hideMark/>
          </w:tcPr>
          <w:p w14:paraId="6F5BE28E"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9.4996</w:t>
            </w:r>
          </w:p>
        </w:tc>
        <w:tc>
          <w:tcPr>
            <w:tcW w:w="655" w:type="pct"/>
            <w:tcBorders>
              <w:top w:val="nil"/>
              <w:left w:val="nil"/>
              <w:bottom w:val="nil"/>
              <w:right w:val="nil"/>
            </w:tcBorders>
            <w:shd w:val="clear" w:color="auto" w:fill="auto"/>
            <w:noWrap/>
            <w:vAlign w:val="center"/>
            <w:hideMark/>
          </w:tcPr>
          <w:p w14:paraId="330F5CFE"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400</w:t>
            </w:r>
          </w:p>
        </w:tc>
        <w:tc>
          <w:tcPr>
            <w:tcW w:w="658" w:type="pct"/>
            <w:tcBorders>
              <w:top w:val="nil"/>
              <w:left w:val="nil"/>
              <w:bottom w:val="nil"/>
              <w:right w:val="nil"/>
            </w:tcBorders>
            <w:shd w:val="clear" w:color="auto" w:fill="auto"/>
            <w:noWrap/>
            <w:vAlign w:val="center"/>
            <w:hideMark/>
          </w:tcPr>
          <w:p w14:paraId="6F6F5C67"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4.9%</w:t>
            </w:r>
          </w:p>
        </w:tc>
      </w:tr>
      <w:tr w:rsidR="00587CED" w:rsidRPr="00A93605" w14:paraId="2D22740C" w14:textId="77777777" w:rsidTr="00A83B3B">
        <w:trPr>
          <w:trHeight w:val="305"/>
          <w:jc w:val="center"/>
        </w:trPr>
        <w:tc>
          <w:tcPr>
            <w:tcW w:w="412" w:type="pct"/>
            <w:tcBorders>
              <w:top w:val="nil"/>
              <w:left w:val="nil"/>
              <w:bottom w:val="nil"/>
              <w:right w:val="nil"/>
            </w:tcBorders>
            <w:shd w:val="clear" w:color="auto" w:fill="auto"/>
            <w:noWrap/>
            <w:vAlign w:val="center"/>
            <w:hideMark/>
          </w:tcPr>
          <w:p w14:paraId="0690519D"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4</w:t>
            </w:r>
          </w:p>
        </w:tc>
        <w:tc>
          <w:tcPr>
            <w:tcW w:w="655" w:type="pct"/>
            <w:tcBorders>
              <w:top w:val="nil"/>
              <w:left w:val="nil"/>
              <w:bottom w:val="nil"/>
              <w:right w:val="nil"/>
            </w:tcBorders>
            <w:vAlign w:val="bottom"/>
          </w:tcPr>
          <w:p w14:paraId="6997A2F0"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13.7%</w:t>
            </w:r>
          </w:p>
        </w:tc>
        <w:tc>
          <w:tcPr>
            <w:tcW w:w="655" w:type="pct"/>
            <w:tcBorders>
              <w:top w:val="nil"/>
              <w:left w:val="nil"/>
              <w:bottom w:val="nil"/>
              <w:right w:val="nil"/>
            </w:tcBorders>
            <w:shd w:val="clear" w:color="auto" w:fill="auto"/>
            <w:noWrap/>
            <w:vAlign w:val="center"/>
            <w:hideMark/>
          </w:tcPr>
          <w:p w14:paraId="7952C626"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8.7345</w:t>
            </w:r>
          </w:p>
        </w:tc>
        <w:tc>
          <w:tcPr>
            <w:tcW w:w="655" w:type="pct"/>
            <w:tcBorders>
              <w:top w:val="nil"/>
              <w:left w:val="nil"/>
              <w:bottom w:val="nil"/>
              <w:right w:val="nil"/>
            </w:tcBorders>
            <w:shd w:val="clear" w:color="auto" w:fill="auto"/>
            <w:noWrap/>
            <w:vAlign w:val="center"/>
            <w:hideMark/>
          </w:tcPr>
          <w:p w14:paraId="77888E65"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82.55</w:t>
            </w:r>
          </w:p>
        </w:tc>
        <w:tc>
          <w:tcPr>
            <w:tcW w:w="655" w:type="pct"/>
            <w:tcBorders>
              <w:top w:val="nil"/>
              <w:left w:val="nil"/>
              <w:bottom w:val="nil"/>
              <w:right w:val="nil"/>
            </w:tcBorders>
            <w:shd w:val="clear" w:color="auto" w:fill="auto"/>
            <w:noWrap/>
            <w:vAlign w:val="center"/>
            <w:hideMark/>
          </w:tcPr>
          <w:p w14:paraId="4CCBBCCA"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8.8996</w:t>
            </w:r>
          </w:p>
        </w:tc>
        <w:tc>
          <w:tcPr>
            <w:tcW w:w="655" w:type="pct"/>
            <w:tcBorders>
              <w:top w:val="nil"/>
              <w:left w:val="nil"/>
              <w:bottom w:val="nil"/>
              <w:right w:val="nil"/>
            </w:tcBorders>
            <w:shd w:val="clear" w:color="auto" w:fill="auto"/>
            <w:noWrap/>
            <w:vAlign w:val="center"/>
            <w:hideMark/>
          </w:tcPr>
          <w:p w14:paraId="3F167437"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9.4996</w:t>
            </w:r>
          </w:p>
        </w:tc>
        <w:tc>
          <w:tcPr>
            <w:tcW w:w="655" w:type="pct"/>
            <w:tcBorders>
              <w:top w:val="nil"/>
              <w:left w:val="nil"/>
              <w:bottom w:val="nil"/>
              <w:right w:val="nil"/>
            </w:tcBorders>
            <w:shd w:val="clear" w:color="auto" w:fill="auto"/>
            <w:noWrap/>
            <w:vAlign w:val="center"/>
            <w:hideMark/>
          </w:tcPr>
          <w:p w14:paraId="5B752BDC"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300</w:t>
            </w:r>
          </w:p>
        </w:tc>
        <w:tc>
          <w:tcPr>
            <w:tcW w:w="658" w:type="pct"/>
            <w:tcBorders>
              <w:top w:val="nil"/>
              <w:left w:val="nil"/>
              <w:bottom w:val="nil"/>
              <w:right w:val="nil"/>
            </w:tcBorders>
            <w:shd w:val="clear" w:color="auto" w:fill="auto"/>
            <w:noWrap/>
            <w:vAlign w:val="center"/>
            <w:hideMark/>
          </w:tcPr>
          <w:p w14:paraId="39207482"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4.9%</w:t>
            </w:r>
          </w:p>
        </w:tc>
      </w:tr>
      <w:tr w:rsidR="00587CED" w:rsidRPr="00A93605" w14:paraId="16CA0620" w14:textId="77777777" w:rsidTr="00A83B3B">
        <w:trPr>
          <w:trHeight w:val="305"/>
          <w:jc w:val="center"/>
        </w:trPr>
        <w:tc>
          <w:tcPr>
            <w:tcW w:w="412" w:type="pct"/>
            <w:tcBorders>
              <w:top w:val="nil"/>
              <w:left w:val="nil"/>
              <w:bottom w:val="nil"/>
              <w:right w:val="nil"/>
            </w:tcBorders>
            <w:shd w:val="clear" w:color="auto" w:fill="auto"/>
            <w:noWrap/>
            <w:vAlign w:val="center"/>
            <w:hideMark/>
          </w:tcPr>
          <w:p w14:paraId="1DCABB84"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5</w:t>
            </w:r>
          </w:p>
        </w:tc>
        <w:tc>
          <w:tcPr>
            <w:tcW w:w="655" w:type="pct"/>
            <w:tcBorders>
              <w:top w:val="nil"/>
              <w:left w:val="nil"/>
              <w:bottom w:val="nil"/>
              <w:right w:val="nil"/>
            </w:tcBorders>
            <w:vAlign w:val="bottom"/>
          </w:tcPr>
          <w:p w14:paraId="0588718D"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655" w:type="pct"/>
            <w:tcBorders>
              <w:top w:val="nil"/>
              <w:left w:val="nil"/>
              <w:bottom w:val="nil"/>
              <w:right w:val="nil"/>
            </w:tcBorders>
            <w:shd w:val="clear" w:color="auto" w:fill="auto"/>
            <w:noWrap/>
            <w:vAlign w:val="center"/>
            <w:hideMark/>
          </w:tcPr>
          <w:p w14:paraId="5E78E358"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8.1915</w:t>
            </w:r>
          </w:p>
        </w:tc>
        <w:tc>
          <w:tcPr>
            <w:tcW w:w="655" w:type="pct"/>
            <w:tcBorders>
              <w:top w:val="nil"/>
              <w:left w:val="nil"/>
              <w:bottom w:val="nil"/>
              <w:right w:val="nil"/>
            </w:tcBorders>
            <w:shd w:val="clear" w:color="auto" w:fill="auto"/>
            <w:noWrap/>
            <w:vAlign w:val="center"/>
            <w:hideMark/>
          </w:tcPr>
          <w:p w14:paraId="5EB69EDA"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82.55</w:t>
            </w:r>
          </w:p>
        </w:tc>
        <w:tc>
          <w:tcPr>
            <w:tcW w:w="655" w:type="pct"/>
            <w:tcBorders>
              <w:top w:val="nil"/>
              <w:left w:val="nil"/>
              <w:bottom w:val="nil"/>
              <w:right w:val="nil"/>
            </w:tcBorders>
            <w:shd w:val="clear" w:color="auto" w:fill="auto"/>
            <w:noWrap/>
            <w:vAlign w:val="center"/>
            <w:hideMark/>
          </w:tcPr>
          <w:p w14:paraId="1EF90304"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8.3566</w:t>
            </w:r>
          </w:p>
        </w:tc>
        <w:tc>
          <w:tcPr>
            <w:tcW w:w="655" w:type="pct"/>
            <w:tcBorders>
              <w:top w:val="nil"/>
              <w:left w:val="nil"/>
              <w:bottom w:val="nil"/>
              <w:right w:val="nil"/>
            </w:tcBorders>
            <w:shd w:val="clear" w:color="auto" w:fill="auto"/>
            <w:noWrap/>
            <w:vAlign w:val="center"/>
            <w:hideMark/>
          </w:tcPr>
          <w:p w14:paraId="51F5608E"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9.4996</w:t>
            </w:r>
          </w:p>
        </w:tc>
        <w:tc>
          <w:tcPr>
            <w:tcW w:w="655" w:type="pct"/>
            <w:tcBorders>
              <w:top w:val="nil"/>
              <w:left w:val="nil"/>
              <w:bottom w:val="nil"/>
              <w:right w:val="nil"/>
            </w:tcBorders>
            <w:shd w:val="clear" w:color="auto" w:fill="auto"/>
            <w:noWrap/>
            <w:vAlign w:val="center"/>
            <w:hideMark/>
          </w:tcPr>
          <w:p w14:paraId="4D8618F4"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571.5</w:t>
            </w:r>
          </w:p>
        </w:tc>
        <w:tc>
          <w:tcPr>
            <w:tcW w:w="658" w:type="pct"/>
            <w:tcBorders>
              <w:top w:val="nil"/>
              <w:left w:val="nil"/>
              <w:bottom w:val="nil"/>
              <w:right w:val="nil"/>
            </w:tcBorders>
            <w:shd w:val="clear" w:color="auto" w:fill="auto"/>
            <w:noWrap/>
            <w:vAlign w:val="center"/>
            <w:hideMark/>
          </w:tcPr>
          <w:p w14:paraId="2C781BAA"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5.5%</w:t>
            </w:r>
          </w:p>
        </w:tc>
      </w:tr>
      <w:tr w:rsidR="00587CED" w:rsidRPr="00A93605" w14:paraId="200C6419" w14:textId="77777777" w:rsidTr="00A83B3B">
        <w:trPr>
          <w:trHeight w:val="305"/>
          <w:jc w:val="center"/>
        </w:trPr>
        <w:tc>
          <w:tcPr>
            <w:tcW w:w="412" w:type="pct"/>
            <w:tcBorders>
              <w:top w:val="nil"/>
              <w:left w:val="nil"/>
              <w:bottom w:val="nil"/>
              <w:right w:val="nil"/>
            </w:tcBorders>
            <w:shd w:val="clear" w:color="auto" w:fill="auto"/>
            <w:noWrap/>
            <w:vAlign w:val="center"/>
            <w:hideMark/>
          </w:tcPr>
          <w:p w14:paraId="5F59CA65"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6</w:t>
            </w:r>
          </w:p>
        </w:tc>
        <w:tc>
          <w:tcPr>
            <w:tcW w:w="655" w:type="pct"/>
            <w:tcBorders>
              <w:top w:val="nil"/>
              <w:left w:val="nil"/>
              <w:bottom w:val="nil"/>
              <w:right w:val="nil"/>
            </w:tcBorders>
            <w:vAlign w:val="bottom"/>
          </w:tcPr>
          <w:p w14:paraId="12B67D8E"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655" w:type="pct"/>
            <w:tcBorders>
              <w:top w:val="nil"/>
              <w:left w:val="nil"/>
              <w:bottom w:val="nil"/>
              <w:right w:val="nil"/>
            </w:tcBorders>
            <w:shd w:val="clear" w:color="auto" w:fill="auto"/>
            <w:noWrap/>
            <w:vAlign w:val="center"/>
            <w:hideMark/>
          </w:tcPr>
          <w:p w14:paraId="7DFB6389"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8.1915</w:t>
            </w:r>
          </w:p>
        </w:tc>
        <w:tc>
          <w:tcPr>
            <w:tcW w:w="655" w:type="pct"/>
            <w:tcBorders>
              <w:top w:val="nil"/>
              <w:left w:val="nil"/>
              <w:bottom w:val="nil"/>
              <w:right w:val="nil"/>
            </w:tcBorders>
            <w:shd w:val="clear" w:color="auto" w:fill="auto"/>
            <w:noWrap/>
            <w:vAlign w:val="center"/>
            <w:hideMark/>
          </w:tcPr>
          <w:p w14:paraId="30266C64"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82.55</w:t>
            </w:r>
          </w:p>
        </w:tc>
        <w:tc>
          <w:tcPr>
            <w:tcW w:w="655" w:type="pct"/>
            <w:tcBorders>
              <w:top w:val="nil"/>
              <w:left w:val="nil"/>
              <w:bottom w:val="nil"/>
              <w:right w:val="nil"/>
            </w:tcBorders>
            <w:shd w:val="clear" w:color="auto" w:fill="auto"/>
            <w:noWrap/>
            <w:vAlign w:val="center"/>
            <w:hideMark/>
          </w:tcPr>
          <w:p w14:paraId="4D190847"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8.3566</w:t>
            </w:r>
          </w:p>
        </w:tc>
        <w:tc>
          <w:tcPr>
            <w:tcW w:w="655" w:type="pct"/>
            <w:tcBorders>
              <w:top w:val="nil"/>
              <w:left w:val="nil"/>
              <w:bottom w:val="nil"/>
              <w:right w:val="nil"/>
            </w:tcBorders>
            <w:shd w:val="clear" w:color="auto" w:fill="auto"/>
            <w:noWrap/>
            <w:vAlign w:val="center"/>
            <w:hideMark/>
          </w:tcPr>
          <w:p w14:paraId="545F5E5D"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9.4996</w:t>
            </w:r>
          </w:p>
        </w:tc>
        <w:tc>
          <w:tcPr>
            <w:tcW w:w="655" w:type="pct"/>
            <w:tcBorders>
              <w:top w:val="nil"/>
              <w:left w:val="nil"/>
              <w:bottom w:val="nil"/>
              <w:right w:val="nil"/>
            </w:tcBorders>
            <w:shd w:val="clear" w:color="auto" w:fill="auto"/>
            <w:noWrap/>
            <w:vAlign w:val="center"/>
            <w:hideMark/>
          </w:tcPr>
          <w:p w14:paraId="69B3F611"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571.5</w:t>
            </w:r>
          </w:p>
        </w:tc>
        <w:tc>
          <w:tcPr>
            <w:tcW w:w="658" w:type="pct"/>
            <w:tcBorders>
              <w:top w:val="nil"/>
              <w:left w:val="nil"/>
              <w:bottom w:val="nil"/>
              <w:right w:val="nil"/>
            </w:tcBorders>
            <w:shd w:val="clear" w:color="auto" w:fill="auto"/>
            <w:noWrap/>
            <w:vAlign w:val="center"/>
            <w:hideMark/>
          </w:tcPr>
          <w:p w14:paraId="37F3D3AD"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6.0%</w:t>
            </w:r>
          </w:p>
        </w:tc>
      </w:tr>
      <w:tr w:rsidR="00587CED" w:rsidRPr="00A93605" w14:paraId="71FA26C2" w14:textId="77777777" w:rsidTr="00A83B3B">
        <w:trPr>
          <w:trHeight w:val="305"/>
          <w:jc w:val="center"/>
        </w:trPr>
        <w:tc>
          <w:tcPr>
            <w:tcW w:w="412" w:type="pct"/>
            <w:tcBorders>
              <w:top w:val="nil"/>
              <w:left w:val="nil"/>
              <w:bottom w:val="nil"/>
              <w:right w:val="nil"/>
            </w:tcBorders>
            <w:shd w:val="clear" w:color="auto" w:fill="auto"/>
            <w:noWrap/>
            <w:vAlign w:val="center"/>
            <w:hideMark/>
          </w:tcPr>
          <w:p w14:paraId="1668DB2A"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7</w:t>
            </w:r>
          </w:p>
        </w:tc>
        <w:tc>
          <w:tcPr>
            <w:tcW w:w="655" w:type="pct"/>
            <w:tcBorders>
              <w:top w:val="nil"/>
              <w:left w:val="nil"/>
              <w:bottom w:val="nil"/>
              <w:right w:val="nil"/>
            </w:tcBorders>
            <w:vAlign w:val="bottom"/>
          </w:tcPr>
          <w:p w14:paraId="4FACAA0E"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655" w:type="pct"/>
            <w:tcBorders>
              <w:top w:val="nil"/>
              <w:left w:val="nil"/>
              <w:bottom w:val="nil"/>
              <w:right w:val="nil"/>
            </w:tcBorders>
            <w:shd w:val="clear" w:color="auto" w:fill="auto"/>
            <w:noWrap/>
            <w:vAlign w:val="center"/>
            <w:hideMark/>
          </w:tcPr>
          <w:p w14:paraId="2E04C616"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8.1915</w:t>
            </w:r>
          </w:p>
        </w:tc>
        <w:tc>
          <w:tcPr>
            <w:tcW w:w="655" w:type="pct"/>
            <w:tcBorders>
              <w:top w:val="nil"/>
              <w:left w:val="nil"/>
              <w:bottom w:val="nil"/>
              <w:right w:val="nil"/>
            </w:tcBorders>
            <w:shd w:val="clear" w:color="auto" w:fill="auto"/>
            <w:noWrap/>
            <w:vAlign w:val="center"/>
            <w:hideMark/>
          </w:tcPr>
          <w:p w14:paraId="082FFC28"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82.55</w:t>
            </w:r>
          </w:p>
        </w:tc>
        <w:tc>
          <w:tcPr>
            <w:tcW w:w="655" w:type="pct"/>
            <w:tcBorders>
              <w:top w:val="nil"/>
              <w:left w:val="nil"/>
              <w:bottom w:val="nil"/>
              <w:right w:val="nil"/>
            </w:tcBorders>
            <w:shd w:val="clear" w:color="auto" w:fill="auto"/>
            <w:noWrap/>
            <w:vAlign w:val="center"/>
            <w:hideMark/>
          </w:tcPr>
          <w:p w14:paraId="33E94CEB"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8.3566</w:t>
            </w:r>
          </w:p>
        </w:tc>
        <w:tc>
          <w:tcPr>
            <w:tcW w:w="655" w:type="pct"/>
            <w:tcBorders>
              <w:top w:val="nil"/>
              <w:left w:val="nil"/>
              <w:bottom w:val="nil"/>
              <w:right w:val="nil"/>
            </w:tcBorders>
            <w:shd w:val="clear" w:color="auto" w:fill="auto"/>
            <w:noWrap/>
            <w:vAlign w:val="center"/>
            <w:hideMark/>
          </w:tcPr>
          <w:p w14:paraId="1838AAAA"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9.4996</w:t>
            </w:r>
          </w:p>
        </w:tc>
        <w:tc>
          <w:tcPr>
            <w:tcW w:w="655" w:type="pct"/>
            <w:tcBorders>
              <w:top w:val="nil"/>
              <w:left w:val="nil"/>
              <w:bottom w:val="nil"/>
              <w:right w:val="nil"/>
            </w:tcBorders>
            <w:shd w:val="clear" w:color="auto" w:fill="auto"/>
            <w:noWrap/>
            <w:vAlign w:val="center"/>
            <w:hideMark/>
          </w:tcPr>
          <w:p w14:paraId="50F806AF"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571.5</w:t>
            </w:r>
          </w:p>
        </w:tc>
        <w:tc>
          <w:tcPr>
            <w:tcW w:w="658" w:type="pct"/>
            <w:tcBorders>
              <w:top w:val="nil"/>
              <w:left w:val="nil"/>
              <w:bottom w:val="nil"/>
              <w:right w:val="nil"/>
            </w:tcBorders>
            <w:shd w:val="clear" w:color="auto" w:fill="auto"/>
            <w:noWrap/>
            <w:vAlign w:val="center"/>
            <w:hideMark/>
          </w:tcPr>
          <w:p w14:paraId="562559FD"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6.5%</w:t>
            </w:r>
          </w:p>
        </w:tc>
      </w:tr>
      <w:tr w:rsidR="00587CED" w:rsidRPr="00A93605" w14:paraId="30CC7440" w14:textId="77777777" w:rsidTr="00A83B3B">
        <w:trPr>
          <w:trHeight w:val="305"/>
          <w:jc w:val="center"/>
        </w:trPr>
        <w:tc>
          <w:tcPr>
            <w:tcW w:w="412" w:type="pct"/>
            <w:tcBorders>
              <w:top w:val="nil"/>
              <w:left w:val="nil"/>
              <w:bottom w:val="nil"/>
              <w:right w:val="nil"/>
            </w:tcBorders>
            <w:shd w:val="clear" w:color="auto" w:fill="auto"/>
            <w:noWrap/>
            <w:vAlign w:val="center"/>
            <w:hideMark/>
          </w:tcPr>
          <w:p w14:paraId="24ADD73D"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w:t>
            </w:r>
          </w:p>
        </w:tc>
        <w:tc>
          <w:tcPr>
            <w:tcW w:w="655" w:type="pct"/>
            <w:tcBorders>
              <w:top w:val="nil"/>
              <w:left w:val="nil"/>
              <w:bottom w:val="nil"/>
              <w:right w:val="nil"/>
            </w:tcBorders>
            <w:vAlign w:val="bottom"/>
          </w:tcPr>
          <w:p w14:paraId="3C271541"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0</w:t>
            </w:r>
          </w:p>
        </w:tc>
        <w:tc>
          <w:tcPr>
            <w:tcW w:w="655" w:type="pct"/>
            <w:tcBorders>
              <w:top w:val="nil"/>
              <w:left w:val="nil"/>
              <w:bottom w:val="nil"/>
              <w:right w:val="nil"/>
            </w:tcBorders>
            <w:shd w:val="clear" w:color="auto" w:fill="auto"/>
            <w:noWrap/>
            <w:vAlign w:val="center"/>
            <w:hideMark/>
          </w:tcPr>
          <w:p w14:paraId="42672D23"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8.1915</w:t>
            </w:r>
          </w:p>
        </w:tc>
        <w:tc>
          <w:tcPr>
            <w:tcW w:w="655" w:type="pct"/>
            <w:tcBorders>
              <w:top w:val="nil"/>
              <w:left w:val="nil"/>
              <w:bottom w:val="nil"/>
              <w:right w:val="nil"/>
            </w:tcBorders>
            <w:shd w:val="clear" w:color="auto" w:fill="auto"/>
            <w:noWrap/>
            <w:vAlign w:val="center"/>
            <w:hideMark/>
          </w:tcPr>
          <w:p w14:paraId="0B3B7F58"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82.55</w:t>
            </w:r>
          </w:p>
        </w:tc>
        <w:tc>
          <w:tcPr>
            <w:tcW w:w="655" w:type="pct"/>
            <w:tcBorders>
              <w:top w:val="nil"/>
              <w:left w:val="nil"/>
              <w:bottom w:val="nil"/>
              <w:right w:val="nil"/>
            </w:tcBorders>
            <w:shd w:val="clear" w:color="auto" w:fill="auto"/>
            <w:noWrap/>
            <w:vAlign w:val="center"/>
            <w:hideMark/>
          </w:tcPr>
          <w:p w14:paraId="04910E77"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8.3566</w:t>
            </w:r>
          </w:p>
        </w:tc>
        <w:tc>
          <w:tcPr>
            <w:tcW w:w="655" w:type="pct"/>
            <w:tcBorders>
              <w:top w:val="nil"/>
              <w:left w:val="nil"/>
              <w:bottom w:val="nil"/>
              <w:right w:val="nil"/>
            </w:tcBorders>
            <w:shd w:val="clear" w:color="auto" w:fill="auto"/>
            <w:noWrap/>
            <w:vAlign w:val="center"/>
            <w:hideMark/>
          </w:tcPr>
          <w:p w14:paraId="4BE4A73F"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9.4996</w:t>
            </w:r>
          </w:p>
        </w:tc>
        <w:tc>
          <w:tcPr>
            <w:tcW w:w="655" w:type="pct"/>
            <w:tcBorders>
              <w:top w:val="nil"/>
              <w:left w:val="nil"/>
              <w:bottom w:val="nil"/>
              <w:right w:val="nil"/>
            </w:tcBorders>
            <w:shd w:val="clear" w:color="auto" w:fill="auto"/>
            <w:noWrap/>
            <w:vAlign w:val="center"/>
            <w:hideMark/>
          </w:tcPr>
          <w:p w14:paraId="1DF108AF"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571.5</w:t>
            </w:r>
          </w:p>
        </w:tc>
        <w:tc>
          <w:tcPr>
            <w:tcW w:w="658" w:type="pct"/>
            <w:tcBorders>
              <w:top w:val="nil"/>
              <w:left w:val="nil"/>
              <w:bottom w:val="nil"/>
              <w:right w:val="nil"/>
            </w:tcBorders>
            <w:shd w:val="clear" w:color="auto" w:fill="auto"/>
            <w:noWrap/>
            <w:vAlign w:val="center"/>
            <w:hideMark/>
          </w:tcPr>
          <w:p w14:paraId="42E6F186"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7.0%</w:t>
            </w:r>
          </w:p>
        </w:tc>
      </w:tr>
      <w:tr w:rsidR="00587CED" w:rsidRPr="00A93605" w14:paraId="668802EE" w14:textId="77777777" w:rsidTr="00A83B3B">
        <w:trPr>
          <w:trHeight w:val="305"/>
          <w:jc w:val="center"/>
        </w:trPr>
        <w:tc>
          <w:tcPr>
            <w:tcW w:w="412" w:type="pct"/>
            <w:tcBorders>
              <w:top w:val="nil"/>
              <w:left w:val="nil"/>
              <w:bottom w:val="single" w:sz="4" w:space="0" w:color="auto"/>
              <w:right w:val="nil"/>
            </w:tcBorders>
            <w:shd w:val="clear" w:color="auto" w:fill="auto"/>
            <w:noWrap/>
            <w:vAlign w:val="center"/>
          </w:tcPr>
          <w:p w14:paraId="2E949B89"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 xml:space="preserve"> 9</w:t>
            </w:r>
          </w:p>
        </w:tc>
        <w:tc>
          <w:tcPr>
            <w:tcW w:w="655" w:type="pct"/>
            <w:tcBorders>
              <w:top w:val="nil"/>
              <w:left w:val="nil"/>
              <w:bottom w:val="single" w:sz="4" w:space="0" w:color="auto"/>
              <w:right w:val="nil"/>
            </w:tcBorders>
            <w:vAlign w:val="bottom"/>
          </w:tcPr>
          <w:p w14:paraId="161F99E8"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-14.9%</w:t>
            </w:r>
          </w:p>
        </w:tc>
        <w:tc>
          <w:tcPr>
            <w:tcW w:w="655" w:type="pct"/>
            <w:tcBorders>
              <w:top w:val="nil"/>
              <w:left w:val="nil"/>
              <w:bottom w:val="single" w:sz="4" w:space="0" w:color="auto"/>
              <w:right w:val="nil"/>
            </w:tcBorders>
            <w:shd w:val="clear" w:color="auto" w:fill="auto"/>
            <w:noWrap/>
            <w:vAlign w:val="center"/>
          </w:tcPr>
          <w:p w14:paraId="55602987"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7.5565</w:t>
            </w:r>
          </w:p>
        </w:tc>
        <w:tc>
          <w:tcPr>
            <w:tcW w:w="655" w:type="pct"/>
            <w:tcBorders>
              <w:top w:val="nil"/>
              <w:left w:val="nil"/>
              <w:bottom w:val="single" w:sz="4" w:space="0" w:color="auto"/>
              <w:right w:val="nil"/>
            </w:tcBorders>
            <w:shd w:val="clear" w:color="auto" w:fill="auto"/>
            <w:noWrap/>
            <w:vAlign w:val="center"/>
          </w:tcPr>
          <w:p w14:paraId="65260E7C"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82.55</w:t>
            </w:r>
          </w:p>
        </w:tc>
        <w:tc>
          <w:tcPr>
            <w:tcW w:w="655" w:type="pct"/>
            <w:tcBorders>
              <w:top w:val="nil"/>
              <w:left w:val="nil"/>
              <w:bottom w:val="single" w:sz="4" w:space="0" w:color="auto"/>
              <w:right w:val="nil"/>
            </w:tcBorders>
            <w:shd w:val="clear" w:color="auto" w:fill="auto"/>
            <w:noWrap/>
            <w:vAlign w:val="center"/>
          </w:tcPr>
          <w:p w14:paraId="0006A137"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7.7216</w:t>
            </w:r>
          </w:p>
        </w:tc>
        <w:tc>
          <w:tcPr>
            <w:tcW w:w="655" w:type="pct"/>
            <w:tcBorders>
              <w:top w:val="nil"/>
              <w:left w:val="nil"/>
              <w:bottom w:val="single" w:sz="4" w:space="0" w:color="auto"/>
              <w:right w:val="nil"/>
            </w:tcBorders>
            <w:shd w:val="clear" w:color="auto" w:fill="auto"/>
            <w:noWrap/>
            <w:vAlign w:val="center"/>
          </w:tcPr>
          <w:p w14:paraId="19635941"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9.4996</w:t>
            </w:r>
          </w:p>
        </w:tc>
        <w:tc>
          <w:tcPr>
            <w:tcW w:w="655" w:type="pct"/>
            <w:tcBorders>
              <w:top w:val="nil"/>
              <w:left w:val="nil"/>
              <w:bottom w:val="single" w:sz="4" w:space="0" w:color="auto"/>
              <w:right w:val="nil"/>
            </w:tcBorders>
            <w:shd w:val="clear" w:color="auto" w:fill="auto"/>
            <w:noWrap/>
            <w:vAlign w:val="center"/>
          </w:tcPr>
          <w:p w14:paraId="1363D4C8"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889</w:t>
            </w:r>
          </w:p>
        </w:tc>
        <w:tc>
          <w:tcPr>
            <w:tcW w:w="658" w:type="pct"/>
            <w:tcBorders>
              <w:top w:val="nil"/>
              <w:left w:val="nil"/>
              <w:bottom w:val="single" w:sz="4" w:space="0" w:color="auto"/>
              <w:right w:val="nil"/>
            </w:tcBorders>
            <w:shd w:val="clear" w:color="auto" w:fill="auto"/>
            <w:noWrap/>
            <w:vAlign w:val="center"/>
          </w:tcPr>
          <w:p w14:paraId="77E6A655" w14:textId="77777777" w:rsidR="00587CED" w:rsidRPr="00A93605" w:rsidRDefault="00587CED" w:rsidP="006F0C75">
            <w:pPr>
              <w:keepNext/>
              <w:keepLines/>
              <w:widowControl w:val="0"/>
              <w:spacing w:after="0"/>
              <w:rPr>
                <w:rFonts w:eastAsia="Times New Roman" w:cs="Times New Roman"/>
                <w:snapToGrid w:val="0"/>
                <w:color w:val="000000"/>
                <w:sz w:val="20"/>
                <w:szCs w:val="20"/>
              </w:rPr>
            </w:pPr>
            <w:r w:rsidRPr="00A93605">
              <w:rPr>
                <w:rFonts w:eastAsia="Times New Roman" w:cs="Times New Roman"/>
                <w:snapToGrid w:val="0"/>
                <w:color w:val="000000"/>
                <w:sz w:val="20"/>
                <w:szCs w:val="20"/>
              </w:rPr>
              <w:t>5.5%</w:t>
            </w:r>
          </w:p>
        </w:tc>
      </w:tr>
      <w:tr w:rsidR="00587CED" w:rsidRPr="00A93605" w14:paraId="1C176DA8" w14:textId="77777777" w:rsidTr="00587CED">
        <w:trPr>
          <w:trHeight w:val="305"/>
          <w:jc w:val="center"/>
        </w:trPr>
        <w:tc>
          <w:tcPr>
            <w:tcW w:w="5000" w:type="pct"/>
            <w:gridSpan w:val="8"/>
            <w:tcBorders>
              <w:top w:val="single" w:sz="4" w:space="0" w:color="auto"/>
              <w:left w:val="nil"/>
              <w:right w:val="nil"/>
            </w:tcBorders>
            <w:shd w:val="clear" w:color="auto" w:fill="auto"/>
            <w:noWrap/>
            <w:vAlign w:val="center"/>
          </w:tcPr>
          <w:p w14:paraId="0AE55C6D" w14:textId="77777777" w:rsidR="00587CED" w:rsidRPr="00A93605" w:rsidRDefault="00587CED" w:rsidP="00E44360">
            <w:pPr>
              <w:keepNext/>
              <w:keepLines/>
              <w:widowControl w:val="0"/>
              <w:spacing w:after="0"/>
              <w:rPr>
                <w:rFonts w:eastAsia="Times New Roman" w:cs="Times New Roman"/>
                <w:snapToGrid w:val="0"/>
                <w:color w:val="000000"/>
                <w:sz w:val="20"/>
                <w:szCs w:val="20"/>
              </w:rPr>
            </w:pPr>
            <w:r w:rsidRPr="00A93605">
              <w:rPr>
                <w:rFonts w:eastAsia="Times New Roman" w:cs="Times New Roman"/>
                <w:i/>
                <w:snapToGrid w:val="0"/>
                <w:color w:val="000000"/>
                <w:sz w:val="20"/>
                <w:szCs w:val="20"/>
              </w:rPr>
              <w:t>Notes:</w:t>
            </w:r>
            <w:r w:rsidRPr="00A93605">
              <w:rPr>
                <w:rFonts w:eastAsia="Times New Roman" w:cs="Times New Roman"/>
                <w:snapToGrid w:val="0"/>
                <w:color w:val="000000"/>
                <w:sz w:val="20"/>
                <w:szCs w:val="20"/>
              </w:rPr>
              <w:t xml:space="preserve"> OD = Outer Diameter; ID = Inner Diameter.</w:t>
            </w:r>
          </w:p>
        </w:tc>
      </w:tr>
    </w:tbl>
    <w:p w14:paraId="49D69861" w14:textId="77777777" w:rsidR="00A83B3B" w:rsidRDefault="00A83B3B" w:rsidP="00A83B3B">
      <w:pPr>
        <w:spacing w:line="360" w:lineRule="auto"/>
        <w:jc w:val="both"/>
        <w:rPr>
          <w:rFonts w:eastAsia="Times New Roman" w:cs="Times New Roman"/>
          <w:b/>
          <w:snapToGrid w:val="0"/>
          <w:sz w:val="28"/>
          <w:szCs w:val="24"/>
        </w:rPr>
      </w:pPr>
    </w:p>
    <w:p w14:paraId="48A08C9E" w14:textId="5E15861B" w:rsidR="002443B3" w:rsidRPr="00AF6B03" w:rsidRDefault="00A83B3B" w:rsidP="00A83B3B">
      <w:pPr>
        <w:spacing w:line="360" w:lineRule="auto"/>
        <w:jc w:val="both"/>
        <w:rPr>
          <w:rFonts w:eastAsia="Times New Roman" w:cs="Times New Roman"/>
          <w:b/>
          <w:snapToGrid w:val="0"/>
          <w:sz w:val="28"/>
          <w:szCs w:val="24"/>
        </w:rPr>
      </w:pPr>
      <w:r w:rsidRPr="00AF6B03">
        <w:rPr>
          <w:rFonts w:eastAsia="Times New Roman" w:cs="Times New Roman"/>
          <w:b/>
          <w:snapToGrid w:val="0"/>
          <w:sz w:val="28"/>
          <w:szCs w:val="24"/>
        </w:rPr>
        <w:lastRenderedPageBreak/>
        <w:t>I</w:t>
      </w:r>
      <w:r>
        <w:rPr>
          <w:rFonts w:eastAsia="Times New Roman" w:cs="Times New Roman"/>
          <w:b/>
          <w:snapToGrid w:val="0"/>
          <w:sz w:val="28"/>
          <w:szCs w:val="24"/>
        </w:rPr>
        <w:t>II</w:t>
      </w:r>
      <w:r w:rsidRPr="00AF6B03">
        <w:rPr>
          <w:rFonts w:eastAsia="Times New Roman" w:cs="Times New Roman"/>
          <w:b/>
          <w:snapToGrid w:val="0"/>
          <w:sz w:val="28"/>
          <w:szCs w:val="24"/>
        </w:rPr>
        <w:t xml:space="preserve">.D. </w:t>
      </w:r>
      <w:r w:rsidR="001D553C">
        <w:rPr>
          <w:rFonts w:eastAsia="Times New Roman" w:cs="Times New Roman"/>
          <w:b/>
          <w:snapToGrid w:val="0"/>
          <w:sz w:val="28"/>
          <w:szCs w:val="24"/>
        </w:rPr>
        <w:tab/>
      </w:r>
      <w:r w:rsidR="002515E8">
        <w:rPr>
          <w:rFonts w:eastAsia="Times New Roman" w:cs="Times New Roman"/>
          <w:b/>
          <w:snapToGrid w:val="0"/>
          <w:sz w:val="28"/>
          <w:szCs w:val="24"/>
        </w:rPr>
        <w:t>Lattice-Physics Based EOC Reactivity Equivalence Methodology</w:t>
      </w:r>
      <w:r w:rsidRPr="00AF6B03">
        <w:rPr>
          <w:rFonts w:eastAsia="Times New Roman" w:cs="Times New Roman"/>
          <w:b/>
          <w:snapToGrid w:val="0"/>
          <w:sz w:val="28"/>
          <w:szCs w:val="24"/>
        </w:rPr>
        <w:t xml:space="preserve"> </w:t>
      </w:r>
    </w:p>
    <w:p w14:paraId="523F58E6" w14:textId="77777777" w:rsidR="002443B3" w:rsidRPr="00A93605" w:rsidRDefault="002443B3" w:rsidP="0091793B">
      <w:pPr>
        <w:widowControl w:val="0"/>
        <w:spacing w:after="0" w:line="360" w:lineRule="auto"/>
        <w:jc w:val="both"/>
        <w:rPr>
          <w:rFonts w:eastAsia="Times New Roman" w:cs="Times New Roman"/>
          <w:snapToGrid w:val="0"/>
          <w:szCs w:val="24"/>
        </w:rPr>
      </w:pPr>
      <w:r>
        <w:rPr>
          <w:rFonts w:eastAsia="Times New Roman" w:cs="Times New Roman"/>
          <w:snapToGrid w:val="0"/>
          <w:szCs w:val="24"/>
        </w:rPr>
        <w:t>An</w:t>
      </w:r>
      <w:r w:rsidRPr="00A93605">
        <w:rPr>
          <w:rFonts w:eastAsia="Times New Roman" w:cs="Times New Roman"/>
          <w:snapToGrid w:val="0"/>
          <w:szCs w:val="24"/>
        </w:rPr>
        <w:t xml:space="preserve"> analytical method was applied to the single-pin depletion results to approximate a multi-batch </w:t>
      </w:r>
      <w:r>
        <w:rPr>
          <w:rFonts w:eastAsia="Times New Roman" w:cs="Times New Roman"/>
          <w:snapToGrid w:val="0"/>
          <w:szCs w:val="24"/>
        </w:rPr>
        <w:t xml:space="preserve">loading scheme in a modern PWR. That way, when changes were made to the cladding, enrichment or particle geometry (FCM fuel), reactivity could be compared between each model and the </w:t>
      </w:r>
      <w:r w:rsidR="00F4572D">
        <w:rPr>
          <w:rFonts w:eastAsia="Times New Roman" w:cs="Times New Roman"/>
          <w:snapToGrid w:val="0"/>
          <w:szCs w:val="24"/>
        </w:rPr>
        <w:t>Zircaloy</w:t>
      </w:r>
      <w:r w:rsidR="00802901">
        <w:rPr>
          <w:rFonts w:eastAsia="Times New Roman" w:cs="Times New Roman"/>
          <w:snapToGrid w:val="0"/>
          <w:szCs w:val="24"/>
        </w:rPr>
        <w:t>-</w:t>
      </w:r>
      <w:r>
        <w:rPr>
          <w:rFonts w:eastAsia="Times New Roman" w:cs="Times New Roman"/>
          <w:snapToGrid w:val="0"/>
          <w:szCs w:val="24"/>
        </w:rPr>
        <w:t xml:space="preserve">cladding pellet fuel reference case. </w:t>
      </w:r>
      <w:r w:rsidR="005C4F35">
        <w:rPr>
          <w:rFonts w:eastAsia="Times New Roman" w:cs="Times New Roman"/>
          <w:snapToGrid w:val="0"/>
          <w:szCs w:val="24"/>
        </w:rPr>
        <w:t>Figure 12</w:t>
      </w:r>
      <w:r w:rsidRPr="00A93605">
        <w:rPr>
          <w:rFonts w:eastAsia="Times New Roman" w:cs="Times New Roman"/>
          <w:snapToGrid w:val="0"/>
          <w:szCs w:val="24"/>
        </w:rPr>
        <w:t xml:space="preserve"> shows a typical core configuration found in a three-batch Westinghouse PWR. Table IV provides batch-specific parameters that were used and are typical for the type of lo</w:t>
      </w:r>
      <w:r w:rsidR="00414C90">
        <w:rPr>
          <w:rFonts w:eastAsia="Times New Roman" w:cs="Times New Roman"/>
          <w:snapToGrid w:val="0"/>
          <w:szCs w:val="24"/>
        </w:rPr>
        <w:t>a</w:t>
      </w:r>
      <w:r w:rsidR="005C4F35">
        <w:rPr>
          <w:rFonts w:eastAsia="Times New Roman" w:cs="Times New Roman"/>
          <w:snapToGrid w:val="0"/>
          <w:szCs w:val="24"/>
        </w:rPr>
        <w:t>ding scheme portrayed in Figure 12</w:t>
      </w:r>
      <w:r w:rsidRPr="00A93605">
        <w:rPr>
          <w:rFonts w:eastAsia="Times New Roman" w:cs="Times New Roman"/>
          <w:snapToGrid w:val="0"/>
          <w:szCs w:val="24"/>
        </w:rPr>
        <w:t>; core volume fractions and relative assembly powers were used to determine</w:t>
      </w:r>
      <w:r w:rsidR="00043FE7">
        <w:rPr>
          <w:rFonts w:eastAsia="Times New Roman" w:cs="Times New Roman"/>
          <w:snapToGrid w:val="0"/>
          <w:szCs w:val="24"/>
        </w:rPr>
        <w:t xml:space="preserve"> the </w:t>
      </w:r>
      <w:r w:rsidR="00497109">
        <w:rPr>
          <w:rFonts w:eastAsia="Times New Roman" w:cs="Times New Roman"/>
          <w:snapToGrid w:val="0"/>
          <w:szCs w:val="24"/>
        </w:rPr>
        <w:t>EFPD</w:t>
      </w:r>
      <w:r w:rsidRPr="00A93605">
        <w:rPr>
          <w:rFonts w:eastAsia="Times New Roman" w:cs="Times New Roman"/>
          <w:snapToGrid w:val="0"/>
          <w:szCs w:val="24"/>
        </w:rPr>
        <w:t xml:space="preserve"> for each batch of fuel at the </w:t>
      </w:r>
      <w:r w:rsidR="006224E8">
        <w:rPr>
          <w:rFonts w:eastAsia="Times New Roman" w:cs="Times New Roman"/>
          <w:snapToGrid w:val="0"/>
          <w:szCs w:val="24"/>
        </w:rPr>
        <w:t>EOC</w:t>
      </w:r>
      <w:r w:rsidRPr="00A93605">
        <w:rPr>
          <w:rFonts w:eastAsia="Times New Roman" w:cs="Times New Roman"/>
          <w:snapToGrid w:val="0"/>
          <w:szCs w:val="24"/>
        </w:rPr>
        <w:t xml:space="preserve">. </w:t>
      </w:r>
    </w:p>
    <w:p w14:paraId="63423EAD" w14:textId="77777777" w:rsidR="002443B3" w:rsidRPr="00A93605" w:rsidRDefault="002443B3" w:rsidP="0091793B">
      <w:pPr>
        <w:widowControl w:val="0"/>
        <w:spacing w:after="0" w:line="360" w:lineRule="auto"/>
        <w:jc w:val="both"/>
        <w:rPr>
          <w:rFonts w:eastAsia="Times New Roman" w:cs="Times New Roman"/>
          <w:snapToGrid w:val="0"/>
          <w:szCs w:val="24"/>
        </w:rPr>
      </w:pPr>
    </w:p>
    <w:p w14:paraId="7F6B6BDA" w14:textId="77777777" w:rsidR="002443B3" w:rsidRPr="00A93605" w:rsidRDefault="002443B3" w:rsidP="0091793B">
      <w:pPr>
        <w:widowControl w:val="0"/>
        <w:spacing w:after="0" w:line="360" w:lineRule="auto"/>
        <w:jc w:val="both"/>
        <w:rPr>
          <w:rFonts w:eastAsia="Times New Roman" w:cs="Times New Roman"/>
          <w:snapToGrid w:val="0"/>
          <w:szCs w:val="24"/>
        </w:rPr>
      </w:pPr>
    </w:p>
    <w:p w14:paraId="571597CF" w14:textId="77777777" w:rsidR="002443B3" w:rsidRPr="00A93605" w:rsidRDefault="002443B3" w:rsidP="0091793B">
      <w:pPr>
        <w:widowControl w:val="0"/>
        <w:spacing w:after="0" w:line="360" w:lineRule="auto"/>
        <w:rPr>
          <w:rFonts w:eastAsia="Times New Roman" w:cs="Times New Roman"/>
          <w:snapToGrid w:val="0"/>
          <w:szCs w:val="24"/>
        </w:rPr>
      </w:pPr>
      <w:r w:rsidRPr="00A93605">
        <w:rPr>
          <w:rFonts w:eastAsia="Times New Roman" w:cs="Times New Roman"/>
          <w:noProof/>
          <w:snapToGrid w:val="0"/>
          <w:szCs w:val="24"/>
        </w:rPr>
        <w:drawing>
          <wp:inline distT="0" distB="0" distL="0" distR="0" wp14:anchorId="43A5FC31" wp14:editId="51C8CD39">
            <wp:extent cx="2393343" cy="1828800"/>
            <wp:effectExtent l="0" t="0" r="6985" b="0"/>
            <wp:docPr id="7181" name="Picture 7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393343" cy="1828800"/>
                    </a:xfrm>
                    <a:prstGeom prst="rect">
                      <a:avLst/>
                    </a:prstGeom>
                    <a:noFill/>
                    <a:ln>
                      <a:noFill/>
                    </a:ln>
                  </pic:spPr>
                </pic:pic>
              </a:graphicData>
            </a:graphic>
          </wp:inline>
        </w:drawing>
      </w:r>
    </w:p>
    <w:p w14:paraId="726DC5B9" w14:textId="41758E82" w:rsidR="002443B3" w:rsidRPr="00A93605" w:rsidRDefault="0039764A" w:rsidP="0091793B">
      <w:pPr>
        <w:spacing w:line="360" w:lineRule="auto"/>
        <w:rPr>
          <w:rFonts w:eastAsia="Times New Roman" w:cs="Times New Roman"/>
          <w:snapToGrid w:val="0"/>
          <w:szCs w:val="24"/>
        </w:rPr>
      </w:pPr>
      <w:bookmarkStart w:id="16" w:name="_Toc416993451"/>
      <w:r>
        <w:t xml:space="preserve">Figure </w:t>
      </w:r>
      <w:fldSimple w:instr=" SEQ Figure \* ARABIC ">
        <w:r w:rsidR="00F3244B">
          <w:rPr>
            <w:noProof/>
          </w:rPr>
          <w:t>12</w:t>
        </w:r>
      </w:fldSimple>
      <w:r>
        <w:t xml:space="preserve">: </w:t>
      </w:r>
      <w:r w:rsidRPr="00432ECC">
        <w:t xml:space="preserve">Assumed </w:t>
      </w:r>
      <w:r w:rsidR="00373287">
        <w:t>PWR</w:t>
      </w:r>
      <w:r w:rsidRPr="00432ECC">
        <w:t xml:space="preserve"> core configuration of batch-specific loading pattern</w:t>
      </w:r>
      <w:bookmarkEnd w:id="16"/>
    </w:p>
    <w:p w14:paraId="78474F20" w14:textId="77777777" w:rsidR="002443B3" w:rsidRDefault="002443B3" w:rsidP="0091793B">
      <w:pPr>
        <w:widowControl w:val="0"/>
        <w:spacing w:after="120" w:line="360" w:lineRule="auto"/>
        <w:rPr>
          <w:rFonts w:eastAsia="Times New Roman" w:cs="Times New Roman"/>
          <w:b/>
          <w:snapToGrid w:val="0"/>
          <w:szCs w:val="24"/>
        </w:rPr>
      </w:pPr>
    </w:p>
    <w:p w14:paraId="62B387D1" w14:textId="77777777" w:rsidR="00A3048B" w:rsidRPr="00A93605" w:rsidRDefault="00A3048B" w:rsidP="00E44360">
      <w:pPr>
        <w:spacing w:line="360" w:lineRule="auto"/>
        <w:rPr>
          <w:rFonts w:eastAsia="Times New Roman" w:cs="Times New Roman"/>
          <w:b/>
          <w:snapToGrid w:val="0"/>
          <w:szCs w:val="24"/>
        </w:rPr>
      </w:pPr>
      <w:bookmarkStart w:id="17" w:name="_Toc416993426"/>
      <w:r>
        <w:t xml:space="preserve">Table </w:t>
      </w:r>
      <w:fldSimple w:instr=" SEQ Table \* ROMAN ">
        <w:r w:rsidR="00EC7A3E">
          <w:rPr>
            <w:noProof/>
          </w:rPr>
          <w:t>IV</w:t>
        </w:r>
      </w:fldSimple>
      <w:r>
        <w:t xml:space="preserve">. </w:t>
      </w:r>
      <w:r w:rsidRPr="00755512">
        <w:t xml:space="preserve">Assumed Batch-dependent Assembly Counts, Core Volume Fractions, Relative Assembly Powers, and </w:t>
      </w:r>
      <w:r w:rsidR="00497109">
        <w:t>EFPD</w:t>
      </w:r>
      <w:r w:rsidRPr="00755512">
        <w:t xml:space="preserve"> for a Typical Westinghouse PWR</w:t>
      </w:r>
      <w:bookmarkEnd w:id="17"/>
    </w:p>
    <w:tbl>
      <w:tblPr>
        <w:tblW w:w="3524" w:type="pct"/>
        <w:jc w:val="center"/>
        <w:tblInd w:w="629" w:type="dxa"/>
        <w:tblLook w:val="04A0" w:firstRow="1" w:lastRow="0" w:firstColumn="1" w:lastColumn="0" w:noHBand="0" w:noVBand="1"/>
      </w:tblPr>
      <w:tblGrid>
        <w:gridCol w:w="922"/>
        <w:gridCol w:w="1374"/>
        <w:gridCol w:w="1374"/>
        <w:gridCol w:w="1374"/>
        <w:gridCol w:w="1705"/>
      </w:tblGrid>
      <w:tr w:rsidR="002443B3" w:rsidRPr="00A93605" w14:paraId="3E599811" w14:textId="77777777" w:rsidTr="00715488">
        <w:trPr>
          <w:trHeight w:val="303"/>
          <w:jc w:val="center"/>
        </w:trPr>
        <w:tc>
          <w:tcPr>
            <w:tcW w:w="733" w:type="pct"/>
            <w:tcBorders>
              <w:top w:val="single" w:sz="4" w:space="0" w:color="auto"/>
              <w:bottom w:val="single" w:sz="4" w:space="0" w:color="auto"/>
            </w:tcBorders>
            <w:shd w:val="clear" w:color="auto" w:fill="F2F2F2"/>
            <w:noWrap/>
            <w:vAlign w:val="center"/>
            <w:hideMark/>
          </w:tcPr>
          <w:p w14:paraId="1C6E4D3F"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 xml:space="preserve">Batch </w:t>
            </w:r>
          </w:p>
          <w:p w14:paraId="4E962814"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w:t>
            </w:r>
            <w:r w:rsidRPr="00A93605">
              <w:rPr>
                <w:rFonts w:eastAsia="Times New Roman" w:cs="Times New Roman"/>
                <w:b/>
                <w:bCs/>
                <w:i/>
                <w:snapToGrid w:val="0"/>
                <w:color w:val="000000"/>
                <w:sz w:val="20"/>
                <w:szCs w:val="18"/>
              </w:rPr>
              <w:t>e</w:t>
            </w:r>
            <w:r w:rsidRPr="00A93605">
              <w:rPr>
                <w:rFonts w:eastAsia="Times New Roman" w:cs="Times New Roman"/>
                <w:b/>
                <w:bCs/>
                <w:i/>
                <w:snapToGrid w:val="0"/>
                <w:color w:val="000000"/>
                <w:sz w:val="20"/>
                <w:szCs w:val="18"/>
                <w:vertAlign w:val="subscript"/>
              </w:rPr>
              <w:t>b</w:t>
            </w:r>
            <w:r w:rsidRPr="00A93605">
              <w:rPr>
                <w:rFonts w:eastAsia="Times New Roman" w:cs="Times New Roman"/>
                <w:b/>
                <w:bCs/>
                <w:snapToGrid w:val="0"/>
                <w:color w:val="000000"/>
                <w:sz w:val="20"/>
                <w:szCs w:val="18"/>
              </w:rPr>
              <w:t>)</w:t>
            </w:r>
          </w:p>
        </w:tc>
        <w:tc>
          <w:tcPr>
            <w:tcW w:w="1067" w:type="pct"/>
            <w:tcBorders>
              <w:top w:val="single" w:sz="4" w:space="0" w:color="auto"/>
              <w:bottom w:val="single" w:sz="4" w:space="0" w:color="auto"/>
            </w:tcBorders>
            <w:shd w:val="clear" w:color="auto" w:fill="F2F2F2"/>
            <w:noWrap/>
            <w:vAlign w:val="center"/>
            <w:hideMark/>
          </w:tcPr>
          <w:p w14:paraId="718C57F6" w14:textId="77777777" w:rsidR="002443B3" w:rsidRPr="00A93605" w:rsidRDefault="002443B3" w:rsidP="00E44360">
            <w:pPr>
              <w:widowControl w:val="0"/>
              <w:spacing w:after="0"/>
              <w:rPr>
                <w:rFonts w:eastAsia="Times New Roman" w:cs="Times New Roman"/>
                <w:b/>
                <w:snapToGrid w:val="0"/>
                <w:color w:val="000000"/>
                <w:sz w:val="20"/>
                <w:szCs w:val="18"/>
              </w:rPr>
            </w:pPr>
            <w:r w:rsidRPr="00A93605">
              <w:rPr>
                <w:rFonts w:eastAsia="Times New Roman" w:cs="Times New Roman"/>
                <w:b/>
                <w:snapToGrid w:val="0"/>
                <w:color w:val="000000"/>
                <w:sz w:val="20"/>
                <w:szCs w:val="18"/>
              </w:rPr>
              <w:t xml:space="preserve">Number of </w:t>
            </w:r>
          </w:p>
          <w:p w14:paraId="30176A42" w14:textId="77777777" w:rsidR="002443B3" w:rsidRPr="00A93605" w:rsidRDefault="002443B3" w:rsidP="00E44360">
            <w:pPr>
              <w:widowControl w:val="0"/>
              <w:spacing w:after="0"/>
              <w:rPr>
                <w:rFonts w:eastAsia="Times New Roman" w:cs="Times New Roman"/>
                <w:b/>
                <w:snapToGrid w:val="0"/>
                <w:color w:val="000000"/>
                <w:sz w:val="20"/>
                <w:szCs w:val="18"/>
              </w:rPr>
            </w:pPr>
            <w:r w:rsidRPr="00A93605">
              <w:rPr>
                <w:rFonts w:eastAsia="Times New Roman" w:cs="Times New Roman"/>
                <w:b/>
                <w:snapToGrid w:val="0"/>
                <w:color w:val="000000"/>
                <w:sz w:val="20"/>
                <w:szCs w:val="18"/>
              </w:rPr>
              <w:t>Assemblies</w:t>
            </w:r>
          </w:p>
        </w:tc>
        <w:tc>
          <w:tcPr>
            <w:tcW w:w="1067" w:type="pct"/>
            <w:tcBorders>
              <w:top w:val="single" w:sz="4" w:space="0" w:color="auto"/>
              <w:bottom w:val="single" w:sz="4" w:space="0" w:color="auto"/>
            </w:tcBorders>
            <w:shd w:val="clear" w:color="auto" w:fill="F2F2F2"/>
            <w:noWrap/>
            <w:vAlign w:val="center"/>
            <w:hideMark/>
          </w:tcPr>
          <w:p w14:paraId="0D54436A" w14:textId="77777777" w:rsidR="002443B3" w:rsidRPr="00A93605" w:rsidRDefault="002443B3" w:rsidP="00E44360">
            <w:pPr>
              <w:widowControl w:val="0"/>
              <w:spacing w:after="0"/>
              <w:rPr>
                <w:rFonts w:eastAsia="Times New Roman" w:cs="Times New Roman"/>
                <w:b/>
                <w:snapToGrid w:val="0"/>
                <w:color w:val="000000"/>
                <w:sz w:val="20"/>
                <w:szCs w:val="18"/>
              </w:rPr>
            </w:pPr>
            <w:r w:rsidRPr="00A93605">
              <w:rPr>
                <w:rFonts w:eastAsia="Times New Roman" w:cs="Times New Roman"/>
                <w:b/>
                <w:snapToGrid w:val="0"/>
                <w:color w:val="000000"/>
                <w:sz w:val="20"/>
                <w:szCs w:val="18"/>
              </w:rPr>
              <w:t xml:space="preserve">Core </w:t>
            </w:r>
          </w:p>
          <w:p w14:paraId="74AB0063" w14:textId="77777777" w:rsidR="002443B3" w:rsidRPr="00A93605" w:rsidRDefault="002443B3" w:rsidP="00E44360">
            <w:pPr>
              <w:widowControl w:val="0"/>
              <w:spacing w:after="0"/>
              <w:rPr>
                <w:rFonts w:eastAsia="Times New Roman" w:cs="Times New Roman"/>
                <w:b/>
                <w:snapToGrid w:val="0"/>
                <w:color w:val="000000"/>
                <w:sz w:val="20"/>
                <w:szCs w:val="18"/>
              </w:rPr>
            </w:pPr>
            <w:r w:rsidRPr="00A93605">
              <w:rPr>
                <w:rFonts w:eastAsia="Times New Roman" w:cs="Times New Roman"/>
                <w:b/>
                <w:snapToGrid w:val="0"/>
                <w:color w:val="000000"/>
                <w:sz w:val="20"/>
                <w:szCs w:val="18"/>
              </w:rPr>
              <w:t xml:space="preserve">Fraction </w:t>
            </w:r>
          </w:p>
          <w:p w14:paraId="5F3ACFB9" w14:textId="77777777" w:rsidR="002443B3" w:rsidRPr="00A93605" w:rsidRDefault="002443B3" w:rsidP="00E44360">
            <w:pPr>
              <w:widowControl w:val="0"/>
              <w:spacing w:after="0"/>
              <w:rPr>
                <w:rFonts w:eastAsia="Times New Roman" w:cs="Times New Roman"/>
                <w:b/>
                <w:snapToGrid w:val="0"/>
                <w:color w:val="000000"/>
                <w:sz w:val="20"/>
                <w:szCs w:val="18"/>
              </w:rPr>
            </w:pPr>
            <w:r w:rsidRPr="00A93605">
              <w:rPr>
                <w:rFonts w:eastAsia="Times New Roman" w:cs="Times New Roman"/>
                <w:b/>
                <w:snapToGrid w:val="0"/>
                <w:color w:val="000000"/>
                <w:sz w:val="20"/>
                <w:szCs w:val="18"/>
              </w:rPr>
              <w:t>Vol % (</w:t>
            </w:r>
            <w:r w:rsidRPr="00A93605">
              <w:rPr>
                <w:rFonts w:eastAsia="Times New Roman" w:cs="Times New Roman"/>
                <w:b/>
                <w:i/>
                <w:snapToGrid w:val="0"/>
                <w:color w:val="000000"/>
                <w:sz w:val="20"/>
                <w:szCs w:val="18"/>
              </w:rPr>
              <w:t>V</w:t>
            </w:r>
            <w:r w:rsidRPr="00A93605">
              <w:rPr>
                <w:rFonts w:eastAsia="Times New Roman" w:cs="Times New Roman"/>
                <w:b/>
                <w:i/>
                <w:snapToGrid w:val="0"/>
                <w:color w:val="000000"/>
                <w:sz w:val="20"/>
                <w:szCs w:val="18"/>
                <w:vertAlign w:val="subscript"/>
              </w:rPr>
              <w:t>b</w:t>
            </w:r>
            <w:r w:rsidRPr="00A93605">
              <w:rPr>
                <w:rFonts w:eastAsia="Times New Roman" w:cs="Times New Roman"/>
                <w:b/>
                <w:snapToGrid w:val="0"/>
                <w:color w:val="000000"/>
                <w:sz w:val="20"/>
                <w:szCs w:val="18"/>
              </w:rPr>
              <w:t>)</w:t>
            </w:r>
          </w:p>
        </w:tc>
        <w:tc>
          <w:tcPr>
            <w:tcW w:w="1067" w:type="pct"/>
            <w:tcBorders>
              <w:top w:val="single" w:sz="4" w:space="0" w:color="auto"/>
              <w:bottom w:val="single" w:sz="4" w:space="0" w:color="auto"/>
            </w:tcBorders>
            <w:shd w:val="clear" w:color="auto" w:fill="F2F2F2"/>
            <w:noWrap/>
            <w:vAlign w:val="center"/>
            <w:hideMark/>
          </w:tcPr>
          <w:p w14:paraId="6E3FCC7D"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 xml:space="preserve">Relative </w:t>
            </w:r>
          </w:p>
          <w:p w14:paraId="2094C0E9"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 xml:space="preserve">Assembly </w:t>
            </w:r>
          </w:p>
          <w:p w14:paraId="05B97AE6"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Power (</w:t>
            </w:r>
            <w:r w:rsidRPr="00A93605">
              <w:rPr>
                <w:rFonts w:eastAsia="Times New Roman" w:cs="Times New Roman"/>
                <w:b/>
                <w:bCs/>
                <w:i/>
                <w:snapToGrid w:val="0"/>
                <w:color w:val="000000"/>
                <w:sz w:val="20"/>
                <w:szCs w:val="18"/>
              </w:rPr>
              <w:t>P</w:t>
            </w:r>
            <w:r w:rsidRPr="00A93605">
              <w:rPr>
                <w:rFonts w:eastAsia="Times New Roman" w:cs="Times New Roman"/>
                <w:b/>
                <w:bCs/>
                <w:i/>
                <w:snapToGrid w:val="0"/>
                <w:color w:val="000000"/>
                <w:sz w:val="20"/>
                <w:szCs w:val="18"/>
                <w:vertAlign w:val="subscript"/>
              </w:rPr>
              <w:t>b</w:t>
            </w:r>
            <w:r w:rsidRPr="00A93605">
              <w:rPr>
                <w:rFonts w:eastAsia="Times New Roman" w:cs="Times New Roman"/>
                <w:b/>
                <w:bCs/>
                <w:snapToGrid w:val="0"/>
                <w:color w:val="000000"/>
                <w:sz w:val="20"/>
                <w:szCs w:val="18"/>
              </w:rPr>
              <w:t>)</w:t>
            </w:r>
          </w:p>
        </w:tc>
        <w:tc>
          <w:tcPr>
            <w:tcW w:w="1066" w:type="pct"/>
            <w:tcBorders>
              <w:top w:val="single" w:sz="4" w:space="0" w:color="auto"/>
              <w:bottom w:val="single" w:sz="4" w:space="0" w:color="auto"/>
            </w:tcBorders>
            <w:shd w:val="clear" w:color="auto" w:fill="F2F2F2"/>
            <w:noWrap/>
            <w:vAlign w:val="center"/>
            <w:hideMark/>
          </w:tcPr>
          <w:p w14:paraId="37AC6B46" w14:textId="77777777" w:rsidR="002443B3" w:rsidRPr="00A93605" w:rsidRDefault="00497109" w:rsidP="00E44360">
            <w:pPr>
              <w:widowControl w:val="0"/>
              <w:spacing w:after="0"/>
              <w:rPr>
                <w:rFonts w:eastAsia="Times New Roman" w:cs="Times New Roman"/>
                <w:b/>
                <w:bCs/>
                <w:snapToGrid w:val="0"/>
                <w:color w:val="000000"/>
                <w:sz w:val="20"/>
                <w:szCs w:val="18"/>
              </w:rPr>
            </w:pPr>
            <w:r>
              <w:rPr>
                <w:rFonts w:eastAsia="Times New Roman" w:cs="Times New Roman"/>
                <w:b/>
                <w:bCs/>
                <w:snapToGrid w:val="0"/>
                <w:color w:val="000000"/>
                <w:sz w:val="20"/>
                <w:szCs w:val="18"/>
              </w:rPr>
              <w:t>EFPD</w:t>
            </w:r>
            <w:r w:rsidR="002443B3" w:rsidRPr="00A93605">
              <w:rPr>
                <w:rFonts w:eastAsia="Times New Roman" w:cs="Times New Roman"/>
                <w:b/>
                <w:bCs/>
                <w:snapToGrid w:val="0"/>
                <w:color w:val="000000"/>
                <w:sz w:val="20"/>
                <w:szCs w:val="18"/>
              </w:rPr>
              <w:t xml:space="preserve"> </w:t>
            </w:r>
          </w:p>
          <w:p w14:paraId="6C9C2C3A" w14:textId="77777777" w:rsidR="002443B3" w:rsidRPr="00A93605" w:rsidRDefault="002443B3" w:rsidP="006224E8">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 xml:space="preserve">Achieved at </w:t>
            </w:r>
            <w:r w:rsidR="006224E8">
              <w:rPr>
                <w:rFonts w:eastAsia="Times New Roman" w:cs="Times New Roman"/>
                <w:b/>
                <w:bCs/>
                <w:snapToGrid w:val="0"/>
                <w:color w:val="000000"/>
                <w:sz w:val="20"/>
                <w:szCs w:val="18"/>
              </w:rPr>
              <w:t>EOC</w:t>
            </w:r>
          </w:p>
        </w:tc>
      </w:tr>
      <w:tr w:rsidR="002443B3" w:rsidRPr="00A93605" w14:paraId="5CCB685E" w14:textId="77777777" w:rsidTr="00715488">
        <w:trPr>
          <w:trHeight w:val="303"/>
          <w:jc w:val="center"/>
        </w:trPr>
        <w:tc>
          <w:tcPr>
            <w:tcW w:w="733" w:type="pct"/>
            <w:tcBorders>
              <w:top w:val="single" w:sz="4" w:space="0" w:color="auto"/>
            </w:tcBorders>
            <w:shd w:val="clear" w:color="auto" w:fill="auto"/>
            <w:noWrap/>
            <w:vAlign w:val="center"/>
            <w:hideMark/>
          </w:tcPr>
          <w:p w14:paraId="0E2BACB4"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1</w:t>
            </w:r>
          </w:p>
        </w:tc>
        <w:tc>
          <w:tcPr>
            <w:tcW w:w="1067" w:type="pct"/>
            <w:tcBorders>
              <w:top w:val="single" w:sz="4" w:space="0" w:color="auto"/>
            </w:tcBorders>
            <w:shd w:val="clear" w:color="auto" w:fill="auto"/>
            <w:noWrap/>
            <w:vAlign w:val="center"/>
            <w:hideMark/>
          </w:tcPr>
          <w:p w14:paraId="3C8D37C7"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73</w:t>
            </w:r>
          </w:p>
        </w:tc>
        <w:tc>
          <w:tcPr>
            <w:tcW w:w="1067" w:type="pct"/>
            <w:tcBorders>
              <w:top w:val="single" w:sz="4" w:space="0" w:color="auto"/>
            </w:tcBorders>
            <w:shd w:val="clear" w:color="auto" w:fill="auto"/>
            <w:noWrap/>
            <w:vAlign w:val="center"/>
            <w:hideMark/>
          </w:tcPr>
          <w:p w14:paraId="10A1A496"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38%</w:t>
            </w:r>
          </w:p>
        </w:tc>
        <w:tc>
          <w:tcPr>
            <w:tcW w:w="1067" w:type="pct"/>
            <w:tcBorders>
              <w:top w:val="single" w:sz="4" w:space="0" w:color="auto"/>
            </w:tcBorders>
            <w:shd w:val="clear" w:color="auto" w:fill="auto"/>
            <w:noWrap/>
            <w:vAlign w:val="center"/>
            <w:hideMark/>
          </w:tcPr>
          <w:p w14:paraId="2433D96C"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1.25</w:t>
            </w:r>
          </w:p>
        </w:tc>
        <w:tc>
          <w:tcPr>
            <w:tcW w:w="1066" w:type="pct"/>
            <w:tcBorders>
              <w:top w:val="single" w:sz="4" w:space="0" w:color="auto"/>
            </w:tcBorders>
            <w:shd w:val="clear" w:color="auto" w:fill="auto"/>
            <w:noWrap/>
            <w:vAlign w:val="center"/>
            <w:hideMark/>
          </w:tcPr>
          <w:p w14:paraId="7428D049"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627</w:t>
            </w:r>
          </w:p>
        </w:tc>
      </w:tr>
      <w:tr w:rsidR="002443B3" w:rsidRPr="00A93605" w14:paraId="6E4B7A5B" w14:textId="77777777" w:rsidTr="00715488">
        <w:trPr>
          <w:trHeight w:val="303"/>
          <w:jc w:val="center"/>
        </w:trPr>
        <w:tc>
          <w:tcPr>
            <w:tcW w:w="733" w:type="pct"/>
            <w:shd w:val="clear" w:color="auto" w:fill="auto"/>
            <w:noWrap/>
            <w:vAlign w:val="center"/>
            <w:hideMark/>
          </w:tcPr>
          <w:p w14:paraId="026FD510"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2</w:t>
            </w:r>
          </w:p>
        </w:tc>
        <w:tc>
          <w:tcPr>
            <w:tcW w:w="1067" w:type="pct"/>
            <w:shd w:val="clear" w:color="auto" w:fill="auto"/>
            <w:noWrap/>
            <w:vAlign w:val="center"/>
            <w:hideMark/>
          </w:tcPr>
          <w:p w14:paraId="174D8468"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68</w:t>
            </w:r>
          </w:p>
        </w:tc>
        <w:tc>
          <w:tcPr>
            <w:tcW w:w="1067" w:type="pct"/>
            <w:shd w:val="clear" w:color="auto" w:fill="auto"/>
            <w:noWrap/>
            <w:vAlign w:val="center"/>
            <w:hideMark/>
          </w:tcPr>
          <w:p w14:paraId="13DD491A"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35%</w:t>
            </w:r>
          </w:p>
        </w:tc>
        <w:tc>
          <w:tcPr>
            <w:tcW w:w="1067" w:type="pct"/>
            <w:shd w:val="clear" w:color="auto" w:fill="auto"/>
            <w:noWrap/>
            <w:vAlign w:val="center"/>
            <w:hideMark/>
          </w:tcPr>
          <w:p w14:paraId="2B4A2138"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1.19</w:t>
            </w:r>
          </w:p>
        </w:tc>
        <w:tc>
          <w:tcPr>
            <w:tcW w:w="1066" w:type="pct"/>
            <w:shd w:val="clear" w:color="auto" w:fill="auto"/>
            <w:noWrap/>
            <w:vAlign w:val="center"/>
            <w:hideMark/>
          </w:tcPr>
          <w:p w14:paraId="55E932B7"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1221</w:t>
            </w:r>
          </w:p>
        </w:tc>
      </w:tr>
      <w:tr w:rsidR="002443B3" w:rsidRPr="00A93605" w14:paraId="5BEA34F3" w14:textId="77777777" w:rsidTr="00715488">
        <w:trPr>
          <w:trHeight w:val="303"/>
          <w:jc w:val="center"/>
        </w:trPr>
        <w:tc>
          <w:tcPr>
            <w:tcW w:w="733" w:type="pct"/>
            <w:shd w:val="clear" w:color="auto" w:fill="auto"/>
            <w:noWrap/>
            <w:vAlign w:val="center"/>
            <w:hideMark/>
          </w:tcPr>
          <w:p w14:paraId="60A1FA21"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3</w:t>
            </w:r>
          </w:p>
        </w:tc>
        <w:tc>
          <w:tcPr>
            <w:tcW w:w="1067" w:type="pct"/>
            <w:shd w:val="clear" w:color="auto" w:fill="auto"/>
            <w:noWrap/>
            <w:vAlign w:val="center"/>
            <w:hideMark/>
          </w:tcPr>
          <w:p w14:paraId="4105B49B"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52</w:t>
            </w:r>
          </w:p>
        </w:tc>
        <w:tc>
          <w:tcPr>
            <w:tcW w:w="1067" w:type="pct"/>
            <w:shd w:val="clear" w:color="auto" w:fill="auto"/>
            <w:noWrap/>
            <w:vAlign w:val="center"/>
            <w:hideMark/>
          </w:tcPr>
          <w:p w14:paraId="12EE7860"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27%</w:t>
            </w:r>
          </w:p>
        </w:tc>
        <w:tc>
          <w:tcPr>
            <w:tcW w:w="1067" w:type="pct"/>
            <w:shd w:val="clear" w:color="auto" w:fill="auto"/>
            <w:noWrap/>
            <w:vAlign w:val="center"/>
            <w:hideMark/>
          </w:tcPr>
          <w:p w14:paraId="618CBB16"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0.40</w:t>
            </w:r>
          </w:p>
        </w:tc>
        <w:tc>
          <w:tcPr>
            <w:tcW w:w="1066" w:type="pct"/>
            <w:shd w:val="clear" w:color="auto" w:fill="auto"/>
            <w:noWrap/>
            <w:vAlign w:val="center"/>
            <w:hideMark/>
          </w:tcPr>
          <w:p w14:paraId="6EF22E61" w14:textId="77777777" w:rsidR="002443B3" w:rsidRPr="00A93605" w:rsidRDefault="002443B3" w:rsidP="00E44360">
            <w:pPr>
              <w:widowControl w:val="0"/>
              <w:spacing w:after="0"/>
              <w:rPr>
                <w:rFonts w:eastAsia="Times New Roman" w:cs="Times New Roman"/>
                <w:snapToGrid w:val="0"/>
                <w:color w:val="000000"/>
                <w:sz w:val="20"/>
                <w:szCs w:val="18"/>
              </w:rPr>
            </w:pPr>
            <w:r w:rsidRPr="00A93605">
              <w:rPr>
                <w:rFonts w:eastAsia="Times New Roman" w:cs="Times New Roman"/>
                <w:snapToGrid w:val="0"/>
                <w:color w:val="000000"/>
                <w:sz w:val="20"/>
                <w:szCs w:val="18"/>
              </w:rPr>
              <w:t>1420</w:t>
            </w:r>
          </w:p>
        </w:tc>
      </w:tr>
      <w:tr w:rsidR="002443B3" w:rsidRPr="00A93605" w14:paraId="7401378F" w14:textId="77777777" w:rsidTr="00715488">
        <w:trPr>
          <w:trHeight w:val="303"/>
          <w:jc w:val="center"/>
        </w:trPr>
        <w:tc>
          <w:tcPr>
            <w:tcW w:w="733" w:type="pct"/>
            <w:tcBorders>
              <w:bottom w:val="single" w:sz="4" w:space="0" w:color="auto"/>
            </w:tcBorders>
            <w:shd w:val="clear" w:color="auto" w:fill="auto"/>
            <w:noWrap/>
            <w:vAlign w:val="center"/>
            <w:hideMark/>
          </w:tcPr>
          <w:p w14:paraId="42FE35E7"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Total</w:t>
            </w:r>
          </w:p>
        </w:tc>
        <w:tc>
          <w:tcPr>
            <w:tcW w:w="1067" w:type="pct"/>
            <w:tcBorders>
              <w:bottom w:val="single" w:sz="4" w:space="0" w:color="auto"/>
            </w:tcBorders>
            <w:shd w:val="clear" w:color="auto" w:fill="auto"/>
            <w:noWrap/>
            <w:vAlign w:val="center"/>
            <w:hideMark/>
          </w:tcPr>
          <w:p w14:paraId="2D66C0C7"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193</w:t>
            </w:r>
          </w:p>
        </w:tc>
        <w:tc>
          <w:tcPr>
            <w:tcW w:w="1067" w:type="pct"/>
            <w:tcBorders>
              <w:bottom w:val="single" w:sz="4" w:space="0" w:color="auto"/>
            </w:tcBorders>
            <w:shd w:val="clear" w:color="auto" w:fill="auto"/>
            <w:noWrap/>
            <w:vAlign w:val="center"/>
            <w:hideMark/>
          </w:tcPr>
          <w:p w14:paraId="59FE4E4F"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100%</w:t>
            </w:r>
          </w:p>
        </w:tc>
        <w:tc>
          <w:tcPr>
            <w:tcW w:w="1067" w:type="pct"/>
            <w:tcBorders>
              <w:bottom w:val="single" w:sz="4" w:space="0" w:color="auto"/>
            </w:tcBorders>
            <w:shd w:val="clear" w:color="auto" w:fill="auto"/>
            <w:noWrap/>
            <w:vAlign w:val="center"/>
            <w:hideMark/>
          </w:tcPr>
          <w:p w14:paraId="0C0F1980"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w:t>
            </w:r>
          </w:p>
        </w:tc>
        <w:tc>
          <w:tcPr>
            <w:tcW w:w="1066" w:type="pct"/>
            <w:tcBorders>
              <w:bottom w:val="single" w:sz="4" w:space="0" w:color="auto"/>
            </w:tcBorders>
            <w:shd w:val="clear" w:color="auto" w:fill="auto"/>
            <w:noWrap/>
            <w:vAlign w:val="center"/>
            <w:hideMark/>
          </w:tcPr>
          <w:p w14:paraId="3A51ED16" w14:textId="77777777" w:rsidR="002443B3" w:rsidRPr="00A93605" w:rsidRDefault="002443B3" w:rsidP="00E44360">
            <w:pPr>
              <w:widowControl w:val="0"/>
              <w:spacing w:after="0"/>
              <w:rPr>
                <w:rFonts w:eastAsia="Times New Roman" w:cs="Times New Roman"/>
                <w:b/>
                <w:bCs/>
                <w:snapToGrid w:val="0"/>
                <w:color w:val="000000"/>
                <w:sz w:val="20"/>
                <w:szCs w:val="18"/>
              </w:rPr>
            </w:pPr>
            <w:r w:rsidRPr="00A93605">
              <w:rPr>
                <w:rFonts w:eastAsia="Times New Roman" w:cs="Times New Roman"/>
                <w:b/>
                <w:bCs/>
                <w:snapToGrid w:val="0"/>
                <w:color w:val="000000"/>
                <w:sz w:val="20"/>
                <w:szCs w:val="18"/>
              </w:rPr>
              <w:t>-</w:t>
            </w:r>
          </w:p>
        </w:tc>
      </w:tr>
    </w:tbl>
    <w:p w14:paraId="6DBD6F98" w14:textId="77777777" w:rsidR="002443B3" w:rsidRPr="00A93605" w:rsidRDefault="002443B3" w:rsidP="0091793B">
      <w:pPr>
        <w:widowControl w:val="0"/>
        <w:spacing w:after="0" w:line="360" w:lineRule="auto"/>
        <w:jc w:val="both"/>
        <w:rPr>
          <w:rFonts w:eastAsia="Times New Roman" w:cs="Times New Roman"/>
          <w:snapToGrid w:val="0"/>
          <w:szCs w:val="24"/>
        </w:rPr>
      </w:pPr>
    </w:p>
    <w:p w14:paraId="18F15A0A" w14:textId="77777777" w:rsidR="002443B3" w:rsidRPr="00A93605" w:rsidRDefault="002443B3" w:rsidP="003E4D27">
      <w:pPr>
        <w:spacing w:line="360" w:lineRule="auto"/>
        <w:jc w:val="both"/>
        <w:rPr>
          <w:snapToGrid w:val="0"/>
        </w:rPr>
      </w:pPr>
      <w:r w:rsidRPr="00A93605">
        <w:rPr>
          <w:snapToGrid w:val="0"/>
        </w:rPr>
        <w:lastRenderedPageBreak/>
        <w:t>The core fractional volume was defined for each depletion cycle. For example, Cycle 1 consists of 73 assemblies and, thus, makes up 38% of the 193 total assemblies present in a PWR core. The relative assembly power factor (</w:t>
      </w:r>
      <w:r w:rsidRPr="00A93605">
        <w:rPr>
          <w:i/>
          <w:snapToGrid w:val="0"/>
        </w:rPr>
        <w:t>P</w:t>
      </w:r>
      <w:r w:rsidRPr="00A93605">
        <w:rPr>
          <w:i/>
          <w:snapToGrid w:val="0"/>
          <w:vertAlign w:val="subscript"/>
        </w:rPr>
        <w:t>b</w:t>
      </w:r>
      <w:r w:rsidRPr="00A93605">
        <w:rPr>
          <w:snapToGrid w:val="0"/>
        </w:rPr>
        <w:t xml:space="preserve">) is the energy output per batch relative to the average energy of all cycles (from a typical Westinghouse PWR). The total EFPD represents the cycle EFPD obtained by weighting the EFPD increment for each batch by its core volume fraction. Batch 3 represents the discharged fuel with 1,420 </w:t>
      </w:r>
      <w:r w:rsidR="00497109">
        <w:rPr>
          <w:snapToGrid w:val="0"/>
        </w:rPr>
        <w:t>EFPD</w:t>
      </w:r>
      <w:r w:rsidR="006F0C75">
        <w:rPr>
          <w:snapToGrid w:val="0"/>
        </w:rPr>
        <w:t>.</w:t>
      </w:r>
    </w:p>
    <w:p w14:paraId="7E17FC8F" w14:textId="6AD0E005" w:rsidR="002443B3" w:rsidRPr="00A93605" w:rsidRDefault="002443B3" w:rsidP="003E4D27">
      <w:pPr>
        <w:spacing w:line="360" w:lineRule="auto"/>
        <w:jc w:val="both"/>
        <w:rPr>
          <w:snapToGrid w:val="0"/>
        </w:rPr>
      </w:pPr>
      <w:r w:rsidRPr="00A93605">
        <w:rPr>
          <w:snapToGrid w:val="0"/>
        </w:rPr>
        <w:t xml:space="preserve">The magnitude of the infinite multiplication factor (k-infinity) at 627, 1,221, and 1,420 </w:t>
      </w:r>
      <w:r w:rsidR="00497109">
        <w:rPr>
          <w:snapToGrid w:val="0"/>
        </w:rPr>
        <w:t>EFPD</w:t>
      </w:r>
      <w:r w:rsidRPr="00A93605">
        <w:rPr>
          <w:snapToGrid w:val="0"/>
        </w:rPr>
        <w:t xml:space="preserve"> was used to</w:t>
      </w:r>
      <w:r w:rsidR="006224E8">
        <w:rPr>
          <w:snapToGrid w:val="0"/>
        </w:rPr>
        <w:t xml:space="preserve"> estimate the EOC</w:t>
      </w:r>
      <w:r w:rsidRPr="00A93605">
        <w:rPr>
          <w:snapToGrid w:val="0"/>
        </w:rPr>
        <w:t xml:space="preserve"> </w:t>
      </w:r>
      <w:r w:rsidRPr="00A93605">
        <w:rPr>
          <w:noProof/>
          <w:position w:val="-6"/>
        </w:rPr>
        <w:drawing>
          <wp:inline distT="0" distB="0" distL="0" distR="0" wp14:anchorId="1F75F35A" wp14:editId="0B058FE7">
            <wp:extent cx="391795" cy="213995"/>
            <wp:effectExtent l="0" t="0" r="8255" b="0"/>
            <wp:docPr id="7182" name="Picture 71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91795" cy="213995"/>
                    </a:xfrm>
                    <a:prstGeom prst="rect">
                      <a:avLst/>
                    </a:prstGeom>
                    <a:noFill/>
                    <a:ln>
                      <a:noFill/>
                    </a:ln>
                  </pic:spPr>
                </pic:pic>
              </a:graphicData>
            </a:graphic>
          </wp:inline>
        </w:drawing>
      </w:r>
      <w:proofErr w:type="gramStart"/>
      <w:r w:rsidRPr="00A93605">
        <w:rPr>
          <w:snapToGrid w:val="0"/>
        </w:rPr>
        <w:t>for each fuel geometry</w:t>
      </w:r>
      <w:proofErr w:type="gramEnd"/>
      <w:r w:rsidRPr="00A93605">
        <w:rPr>
          <w:snapToGrid w:val="0"/>
        </w:rPr>
        <w:t xml:space="preserve"> that was simulated. In doing this, a method similar to the Linear Reactivity Model </w:t>
      </w:r>
      <w:r w:rsidRPr="00A93605">
        <w:rPr>
          <w:snapToGrid w:val="0"/>
        </w:rPr>
        <w:fldChar w:fldCharType="begin"/>
      </w:r>
      <w:r w:rsidR="00817846">
        <w:rPr>
          <w:snapToGrid w:val="0"/>
        </w:rPr>
        <w:instrText xml:space="preserve"> ADDIN EN.CITE &lt;EndNote&gt;&lt;Cite&gt;&lt;Author&gt;Driscoll&lt;/Author&gt;&lt;Year&gt;1990&lt;/Year&gt;&lt;RecNum&gt;45&lt;/RecNum&gt;&lt;DisplayText&gt;[33]&lt;/DisplayText&gt;&lt;record&gt;&lt;rec-number&gt;45&lt;/rec-number&gt;&lt;foreign-keys&gt;&lt;key app="EN" db-id="trfxzx057wwv0qe0vz1vttttwf0522tvtwpt" timestamp="1422130004"&gt;45&lt;/key&gt;&lt;/foreign-keys&gt;&lt;ref-type name="Book"&gt;6&lt;/ref-type&gt;&lt;contributors&gt;&lt;authors&gt;&lt;author&gt;Driscoll, Michael J&lt;/author&gt;&lt;author&gt;Downar, Thomas Joseph&lt;/author&gt;&lt;author&gt;Pilat, Edward E&lt;/author&gt;&lt;/authors&gt;&lt;/contributors&gt;&lt;titles&gt;&lt;title&gt;The linear reactivity model for nuclear fuel management&lt;/title&gt;&lt;/titles&gt;&lt;dates&gt;&lt;year&gt;1990&lt;/year&gt;&lt;/dates&gt;&lt;publisher&gt;American Nuclear Society La Grange Park&lt;/publisher&gt;&lt;isbn&gt;0894480359&lt;/isbn&gt;&lt;urls&gt;&lt;/urls&gt;&lt;/record&gt;&lt;/Cite&gt;&lt;/EndNote&gt;</w:instrText>
      </w:r>
      <w:r w:rsidRPr="00A93605">
        <w:rPr>
          <w:snapToGrid w:val="0"/>
        </w:rPr>
        <w:fldChar w:fldCharType="separate"/>
      </w:r>
      <w:r w:rsidR="00817846">
        <w:rPr>
          <w:noProof/>
          <w:snapToGrid w:val="0"/>
        </w:rPr>
        <w:t>[</w:t>
      </w:r>
      <w:hyperlink w:anchor="_ENREF_33" w:tooltip="Driscoll, 1990 #45" w:history="1">
        <w:r w:rsidR="00DF20CB">
          <w:rPr>
            <w:noProof/>
            <w:snapToGrid w:val="0"/>
          </w:rPr>
          <w:t>33</w:t>
        </w:r>
      </w:hyperlink>
      <w:r w:rsidR="00817846">
        <w:rPr>
          <w:noProof/>
          <w:snapToGrid w:val="0"/>
        </w:rPr>
        <w:t>]</w:t>
      </w:r>
      <w:r w:rsidRPr="00A93605">
        <w:rPr>
          <w:snapToGrid w:val="0"/>
        </w:rPr>
        <w:fldChar w:fldCharType="end"/>
      </w:r>
      <w:r w:rsidRPr="00A93605">
        <w:rPr>
          <w:snapToGrid w:val="0"/>
        </w:rPr>
        <w:t xml:space="preserve"> was developed</w:t>
      </w:r>
      <w:r w:rsidR="002515C4">
        <w:rPr>
          <w:snapToGrid w:val="0"/>
        </w:rPr>
        <w:t xml:space="preserve"> </w:t>
      </w:r>
      <w:r w:rsidR="002515C4">
        <w:rPr>
          <w:snapToGrid w:val="0"/>
        </w:rPr>
        <w:fldChar w:fldCharType="begin"/>
      </w:r>
      <w:r w:rsidR="002515C4">
        <w:rPr>
          <w:snapToGrid w:val="0"/>
        </w:rPr>
        <w:instrText xml:space="preserve"> ADDIN EN.CITE &lt;EndNote&gt;&lt;Cite&gt;&lt;Author&gt;George&lt;/Author&gt;&lt;Year&gt;2014&lt;/Year&gt;&lt;RecNum&gt;4&lt;/RecNum&gt;&lt;DisplayText&gt;[1]&lt;/DisplayText&gt;&lt;record&gt;&lt;rec-number&gt;4&lt;/rec-number&gt;&lt;foreign-keys&gt;&lt;key app="EN" db-id="trfxzx057wwv0qe0vz1vttttwf0522tvtwpt" timestamp="1422124093"&gt;4&lt;/key&gt;&lt;/foreign-keys&gt;&lt;ref-type name="Journal Article"&gt;17&lt;/ref-type&gt;&lt;contributors&gt;&lt;authors&gt;&lt;author&gt;George, Nathan Michael&lt;/author&gt;&lt;author&gt;Maldonado, Ivan&lt;/author&gt;&lt;author&gt;Terrani, Kurt&lt;/author&gt;&lt;author&gt;Godfrey, Andrew&lt;/author&gt;&lt;author&gt;Gehin, Jess&lt;/author&gt;&lt;author&gt;Powers, Jeff&lt;/author&gt;&lt;/authors&gt;&lt;/contributors&gt;&lt;titles&gt;&lt;title&gt;Neutronics studies of uranium-bearing fully ceramic microencapsulated fuel for pressurized water reactors&lt;/title&gt;&lt;secondary-title&gt;Nuclear Technology&lt;/secondary-title&gt;&lt;/titles&gt;&lt;periodical&gt;&lt;full-title&gt;Nuclear Technology&lt;/full-title&gt;&lt;/periodical&gt;&lt;pages&gt;2&lt;/pages&gt;&lt;volume&gt;188&lt;/volume&gt;&lt;number&gt;3&lt;/number&gt;&lt;dates&gt;&lt;year&gt;2014&lt;/year&gt;&lt;/dates&gt;&lt;urls&gt;&lt;/urls&gt;&lt;/record&gt;&lt;/Cite&gt;&lt;/EndNote&gt;</w:instrText>
      </w:r>
      <w:r w:rsidR="002515C4">
        <w:rPr>
          <w:snapToGrid w:val="0"/>
        </w:rPr>
        <w:fldChar w:fldCharType="separate"/>
      </w:r>
      <w:r w:rsidR="002515C4">
        <w:rPr>
          <w:noProof/>
          <w:snapToGrid w:val="0"/>
        </w:rPr>
        <w:t>[</w:t>
      </w:r>
      <w:hyperlink w:anchor="_ENREF_1" w:tooltip="George, 2014 #4" w:history="1">
        <w:r w:rsidR="00DF20CB">
          <w:rPr>
            <w:noProof/>
            <w:snapToGrid w:val="0"/>
          </w:rPr>
          <w:t>1</w:t>
        </w:r>
      </w:hyperlink>
      <w:r w:rsidR="002515C4">
        <w:rPr>
          <w:noProof/>
          <w:snapToGrid w:val="0"/>
        </w:rPr>
        <w:t>]</w:t>
      </w:r>
      <w:r w:rsidR="002515C4">
        <w:rPr>
          <w:snapToGrid w:val="0"/>
        </w:rPr>
        <w:fldChar w:fldCharType="end"/>
      </w:r>
      <w:r w:rsidRPr="00A93605">
        <w:rPr>
          <w:snapToGrid w:val="0"/>
        </w:rPr>
        <w:t>. The EOC reactivity for each case was compared to that of a reference case (standard PWR fuel rod containing UO</w:t>
      </w:r>
      <w:r w:rsidRPr="00A93605">
        <w:rPr>
          <w:snapToGrid w:val="0"/>
          <w:vertAlign w:val="subscript"/>
        </w:rPr>
        <w:t>2</w:t>
      </w:r>
      <w:r w:rsidRPr="00A93605">
        <w:rPr>
          <w:snapToGrid w:val="0"/>
        </w:rPr>
        <w:t xml:space="preserve"> pellets). The core average eigenvalue difference can be estimated using Eq. (</w:t>
      </w:r>
      <w:r w:rsidR="00343544">
        <w:rPr>
          <w:snapToGrid w:val="0"/>
        </w:rPr>
        <w:t>4</w:t>
      </w:r>
      <w:r w:rsidR="00414C90">
        <w:rPr>
          <w:snapToGrid w:val="0"/>
        </w:rPr>
        <w:t>.</w:t>
      </w:r>
      <w:r w:rsidR="006F0C75">
        <w:rPr>
          <w:snapToGrid w:val="0"/>
        </w:rPr>
        <w:t xml:space="preserve">1): </w:t>
      </w:r>
    </w:p>
    <w:p w14:paraId="7940EC5D" w14:textId="77777777" w:rsidR="002443B3" w:rsidRPr="00A93605" w:rsidRDefault="002443B3" w:rsidP="0091793B">
      <w:pPr>
        <w:widowControl w:val="0"/>
        <w:spacing w:after="0" w:line="360" w:lineRule="auto"/>
        <w:jc w:val="right"/>
        <w:rPr>
          <w:rFonts w:eastAsia="Times New Roman" w:cs="Times New Roman"/>
          <w:snapToGrid w:val="0"/>
          <w:szCs w:val="24"/>
        </w:rPr>
      </w:pPr>
      <w:r w:rsidRPr="00A93605">
        <w:rPr>
          <w:rFonts w:eastAsia="Times New Roman" w:cs="Times New Roman"/>
          <w:noProof/>
          <w:position w:val="-46"/>
          <w:szCs w:val="24"/>
        </w:rPr>
        <w:drawing>
          <wp:inline distT="0" distB="0" distL="0" distR="0" wp14:anchorId="6F6E39FA" wp14:editId="72B31A56">
            <wp:extent cx="1437005" cy="664845"/>
            <wp:effectExtent l="0" t="0" r="0" b="1905"/>
            <wp:docPr id="7183" name="Picture 71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1437005" cy="664845"/>
                    </a:xfrm>
                    <a:prstGeom prst="rect">
                      <a:avLst/>
                    </a:prstGeom>
                    <a:noFill/>
                    <a:ln>
                      <a:noFill/>
                    </a:ln>
                  </pic:spPr>
                </pic:pic>
              </a:graphicData>
            </a:graphic>
          </wp:inline>
        </w:drawing>
      </w:r>
      <w:r w:rsidR="00414C90">
        <w:rPr>
          <w:rFonts w:eastAsia="Times New Roman" w:cs="Times New Roman"/>
          <w:snapToGrid w:val="0"/>
          <w:szCs w:val="24"/>
        </w:rPr>
        <w:t xml:space="preserve">  .</w:t>
      </w:r>
      <w:r w:rsidR="00414C90">
        <w:rPr>
          <w:rFonts w:eastAsia="Times New Roman" w:cs="Times New Roman"/>
          <w:snapToGrid w:val="0"/>
          <w:szCs w:val="24"/>
        </w:rPr>
        <w:tab/>
      </w:r>
      <w:r w:rsidR="00414C90">
        <w:rPr>
          <w:rFonts w:eastAsia="Times New Roman" w:cs="Times New Roman"/>
          <w:snapToGrid w:val="0"/>
          <w:szCs w:val="24"/>
        </w:rPr>
        <w:tab/>
      </w:r>
      <w:r w:rsidR="00414C90">
        <w:rPr>
          <w:rFonts w:eastAsia="Times New Roman" w:cs="Times New Roman"/>
          <w:snapToGrid w:val="0"/>
          <w:szCs w:val="24"/>
        </w:rPr>
        <w:tab/>
      </w:r>
      <w:r w:rsidR="00414C90">
        <w:rPr>
          <w:rFonts w:eastAsia="Times New Roman" w:cs="Times New Roman"/>
          <w:snapToGrid w:val="0"/>
          <w:szCs w:val="24"/>
        </w:rPr>
        <w:tab/>
      </w:r>
      <w:r w:rsidR="00414C90">
        <w:rPr>
          <w:rFonts w:eastAsia="Times New Roman" w:cs="Times New Roman"/>
          <w:snapToGrid w:val="0"/>
          <w:szCs w:val="24"/>
        </w:rPr>
        <w:tab/>
        <w:t>(</w:t>
      </w:r>
      <w:r w:rsidR="00CD06E6">
        <w:rPr>
          <w:rFonts w:eastAsia="Times New Roman" w:cs="Times New Roman"/>
          <w:snapToGrid w:val="0"/>
          <w:szCs w:val="24"/>
        </w:rPr>
        <w:t>3</w:t>
      </w:r>
      <w:r w:rsidR="00414C90">
        <w:rPr>
          <w:rFonts w:eastAsia="Times New Roman" w:cs="Times New Roman"/>
          <w:snapToGrid w:val="0"/>
          <w:szCs w:val="24"/>
        </w:rPr>
        <w:t>.1</w:t>
      </w:r>
      <w:r w:rsidRPr="00A93605">
        <w:rPr>
          <w:rFonts w:eastAsia="Times New Roman" w:cs="Times New Roman"/>
          <w:snapToGrid w:val="0"/>
          <w:szCs w:val="24"/>
        </w:rPr>
        <w:t>)</w:t>
      </w:r>
    </w:p>
    <w:p w14:paraId="4AB893B6" w14:textId="77777777" w:rsidR="002443B3" w:rsidRPr="00A93605" w:rsidRDefault="002443B3" w:rsidP="0091793B">
      <w:pPr>
        <w:widowControl w:val="0"/>
        <w:spacing w:after="0" w:line="360" w:lineRule="auto"/>
        <w:jc w:val="both"/>
        <w:rPr>
          <w:rFonts w:eastAsia="Times New Roman" w:cs="Times New Roman"/>
          <w:snapToGrid w:val="0"/>
          <w:szCs w:val="24"/>
        </w:rPr>
      </w:pPr>
    </w:p>
    <w:p w14:paraId="2607848F" w14:textId="77777777" w:rsidR="00C44306" w:rsidRDefault="002443B3" w:rsidP="003E4D27">
      <w:pPr>
        <w:spacing w:line="360" w:lineRule="auto"/>
        <w:jc w:val="both"/>
        <w:rPr>
          <w:snapToGrid w:val="0"/>
        </w:rPr>
      </w:pPr>
      <w:r w:rsidRPr="00A93605">
        <w:rPr>
          <w:snapToGrid w:val="0"/>
        </w:rPr>
        <w:t xml:space="preserve">In this equation, </w:t>
      </w:r>
      <w:r w:rsidRPr="00A93605">
        <w:rPr>
          <w:i/>
          <w:snapToGrid w:val="0"/>
        </w:rPr>
        <w:t>x</w:t>
      </w:r>
      <w:r w:rsidRPr="00A93605">
        <w:rPr>
          <w:i/>
          <w:snapToGrid w:val="0"/>
          <w:vertAlign w:val="subscript"/>
        </w:rPr>
        <w:t>b</w:t>
      </w:r>
      <w:r w:rsidRPr="00A93605">
        <w:rPr>
          <w:snapToGrid w:val="0"/>
        </w:rPr>
        <w:t xml:space="preserve"> is the difference in k-infinity between the fuel design under consideration and that of the reference case as a function of exposure (</w:t>
      </w:r>
      <w:r w:rsidRPr="00A93605">
        <w:rPr>
          <w:i/>
          <w:snapToGrid w:val="0"/>
        </w:rPr>
        <w:t>e</w:t>
      </w:r>
      <w:r w:rsidRPr="00A93605">
        <w:rPr>
          <w:i/>
          <w:snapToGrid w:val="0"/>
          <w:vertAlign w:val="subscript"/>
        </w:rPr>
        <w:t>b</w:t>
      </w:r>
      <w:r w:rsidRPr="00A93605">
        <w:rPr>
          <w:snapToGrid w:val="0"/>
        </w:rPr>
        <w:t>). The EOC EFPD values from Table IV were used to quantify the level of exposure each batch received. The power weighting factor (</w:t>
      </w:r>
      <w:r w:rsidRPr="00A93605">
        <w:rPr>
          <w:i/>
          <w:snapToGrid w:val="0"/>
        </w:rPr>
        <w:t>P</w:t>
      </w:r>
      <w:r w:rsidRPr="00A93605">
        <w:rPr>
          <w:i/>
          <w:snapToGrid w:val="0"/>
          <w:vertAlign w:val="subscript"/>
        </w:rPr>
        <w:t>b</w:t>
      </w:r>
      <w:r w:rsidRPr="00A93605">
        <w:rPr>
          <w:snapToGrid w:val="0"/>
        </w:rPr>
        <w:t xml:space="preserve">) approximates the power distribution in the core to provide a measure of contribution of each fuel batch to the overall core reactivity. Finally, the number of assemblies per fuel batch found in a given cycle of a PWR core is denoted by </w:t>
      </w:r>
      <w:r w:rsidRPr="00A93605">
        <w:rPr>
          <w:i/>
          <w:snapToGrid w:val="0"/>
        </w:rPr>
        <w:t>V</w:t>
      </w:r>
      <w:r w:rsidRPr="00A93605">
        <w:rPr>
          <w:i/>
          <w:snapToGrid w:val="0"/>
          <w:vertAlign w:val="subscript"/>
        </w:rPr>
        <w:t>b</w:t>
      </w:r>
      <w:r w:rsidRPr="00A93605">
        <w:rPr>
          <w:snapToGrid w:val="0"/>
        </w:rPr>
        <w:t xml:space="preserve">. </w:t>
      </w:r>
    </w:p>
    <w:p w14:paraId="09753AD1" w14:textId="77777777" w:rsidR="001E5DD5" w:rsidRDefault="001E5DD5" w:rsidP="003E4D27">
      <w:pPr>
        <w:spacing w:line="360" w:lineRule="auto"/>
        <w:jc w:val="both"/>
      </w:pPr>
      <w:r>
        <w:rPr>
          <w:snapToGrid w:val="0"/>
        </w:rPr>
        <w:t xml:space="preserve">Although the method was used for both fuel forms studied thus far, </w:t>
      </w:r>
      <w:r w:rsidR="005C4F35">
        <w:rPr>
          <w:snapToGrid w:val="0"/>
        </w:rPr>
        <w:t>Figure 13</w:t>
      </w:r>
      <w:r>
        <w:rPr>
          <w:snapToGrid w:val="0"/>
        </w:rPr>
        <w:t xml:space="preserve"> shows the EOC </w:t>
      </w:r>
      <w:r w:rsidR="00497109">
        <w:rPr>
          <w:snapToGrid w:val="0"/>
        </w:rPr>
        <w:t>EFPD</w:t>
      </w:r>
      <w:r>
        <w:rPr>
          <w:snapToGrid w:val="0"/>
        </w:rPr>
        <w:t xml:space="preserve"> at the end of each batch cycle</w:t>
      </w:r>
      <w:r w:rsidR="005969E9">
        <w:rPr>
          <w:snapToGrid w:val="0"/>
        </w:rPr>
        <w:t xml:space="preserve"> when comparing alternate cladding materials</w:t>
      </w:r>
      <w:r>
        <w:rPr>
          <w:snapToGrid w:val="0"/>
        </w:rPr>
        <w:t xml:space="preserve">. </w:t>
      </w:r>
      <w:r w:rsidR="001F035F">
        <w:rPr>
          <w:snapToGrid w:val="0"/>
        </w:rPr>
        <w:t>W</w:t>
      </w:r>
      <w:r>
        <w:rPr>
          <w:snapToGrid w:val="0"/>
        </w:rPr>
        <w:t xml:space="preserve">ith the exception of SiC, all alternate cladding concepts fall well short of </w:t>
      </w:r>
      <w:r w:rsidR="00F4572D">
        <w:rPr>
          <w:snapToGrid w:val="0"/>
        </w:rPr>
        <w:t>Zircaloy</w:t>
      </w:r>
      <w:r>
        <w:rPr>
          <w:snapToGrid w:val="0"/>
        </w:rPr>
        <w:t xml:space="preserve"> cladding. The EOC reactivity method will be used in later sections when presenting results of the parametric design studies. </w:t>
      </w:r>
      <w:r w:rsidR="00497109" w:rsidRPr="00497109">
        <w:t xml:space="preserve"> </w:t>
      </w:r>
    </w:p>
    <w:p w14:paraId="715E27BC" w14:textId="77777777" w:rsidR="00E44360" w:rsidRDefault="00E44360" w:rsidP="0091793B">
      <w:pPr>
        <w:widowControl w:val="0"/>
        <w:spacing w:after="0" w:line="360" w:lineRule="auto"/>
        <w:jc w:val="both"/>
        <w:rPr>
          <w:rFonts w:cs="Times New Roman"/>
          <w:szCs w:val="24"/>
        </w:rPr>
      </w:pPr>
    </w:p>
    <w:p w14:paraId="44273FE6" w14:textId="77777777" w:rsidR="00E44360" w:rsidRPr="00497109" w:rsidRDefault="00E44360" w:rsidP="0091793B">
      <w:pPr>
        <w:widowControl w:val="0"/>
        <w:spacing w:after="0" w:line="360" w:lineRule="auto"/>
        <w:jc w:val="both"/>
        <w:rPr>
          <w:rFonts w:eastAsia="Times New Roman" w:cs="Times New Roman"/>
          <w:snapToGrid w:val="0"/>
          <w:szCs w:val="24"/>
        </w:rPr>
      </w:pPr>
    </w:p>
    <w:p w14:paraId="30CB23E9" w14:textId="77777777" w:rsidR="00497109" w:rsidRPr="003272B7" w:rsidRDefault="00497109" w:rsidP="0091793B">
      <w:pPr>
        <w:spacing w:line="360" w:lineRule="auto"/>
        <w:rPr>
          <w:rFonts w:cs="Times New Roman"/>
          <w:szCs w:val="24"/>
        </w:rPr>
      </w:pPr>
      <w:r w:rsidRPr="00497109">
        <w:rPr>
          <w:rFonts w:cs="Times New Roman"/>
          <w:noProof/>
          <w:szCs w:val="24"/>
        </w:rPr>
        <w:lastRenderedPageBreak/>
        <w:drawing>
          <wp:inline distT="0" distB="0" distL="0" distR="0" wp14:anchorId="5C065272" wp14:editId="7995CD55">
            <wp:extent cx="4505325" cy="3585182"/>
            <wp:effectExtent l="0" t="0" r="0" b="0"/>
            <wp:docPr id="10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pic:cNvPicPr>
                      <a:picLocks noChangeAspect="1" noChangeArrowheads="1"/>
                    </pic:cNvPicPr>
                  </pic:nvPicPr>
                  <pic:blipFill rotWithShape="1">
                    <a:blip r:embed="rId26">
                      <a:extLst>
                        <a:ext uri="{28A0092B-C50C-407E-A947-70E740481C1C}">
                          <a14:useLocalDpi xmlns:a14="http://schemas.microsoft.com/office/drawing/2010/main" val="0"/>
                        </a:ext>
                      </a:extLst>
                    </a:blip>
                    <a:srcRect l="38914" t="22786" r="22172" b="22135"/>
                    <a:stretch/>
                  </pic:blipFill>
                  <pic:spPr bwMode="auto">
                    <a:xfrm>
                      <a:off x="0" y="0"/>
                      <a:ext cx="4505325" cy="3585182"/>
                    </a:xfrm>
                    <a:prstGeom prst="rect">
                      <a:avLst/>
                    </a:prstGeom>
                    <a:noFill/>
                    <a:ln>
                      <a:noFill/>
                    </a:ln>
                    <a:extLst/>
                  </pic:spPr>
                </pic:pic>
              </a:graphicData>
            </a:graphic>
          </wp:inline>
        </w:drawing>
      </w:r>
    </w:p>
    <w:p w14:paraId="7C2D74D0" w14:textId="55E8EF69" w:rsidR="009E18F2" w:rsidRDefault="0039764A" w:rsidP="0091793B">
      <w:pPr>
        <w:spacing w:line="360" w:lineRule="auto"/>
        <w:rPr>
          <w:b/>
          <w:szCs w:val="24"/>
        </w:rPr>
      </w:pPr>
      <w:bookmarkStart w:id="18" w:name="_Toc416993452"/>
      <w:r>
        <w:t xml:space="preserve">Figure </w:t>
      </w:r>
      <w:fldSimple w:instr=" SEQ Figure \* ARABIC ">
        <w:r w:rsidR="00F3244B">
          <w:rPr>
            <w:noProof/>
          </w:rPr>
          <w:t>13</w:t>
        </w:r>
      </w:fldSimple>
      <w:r>
        <w:t xml:space="preserve">: </w:t>
      </w:r>
      <w:r w:rsidRPr="00ED0B8E">
        <w:t xml:space="preserve">Infinite multiplication factor vs. effective full power days for various cladding materials </w:t>
      </w:r>
      <w:proofErr w:type="gramStart"/>
      <w:r w:rsidRPr="00ED0B8E">
        <w:t xml:space="preserve">in standard </w:t>
      </w:r>
      <w:r w:rsidR="00373287">
        <w:t>PWR</w:t>
      </w:r>
      <w:r w:rsidRPr="00ED0B8E">
        <w:t xml:space="preserve"> 17 × 17 rod geometry</w:t>
      </w:r>
      <w:bookmarkEnd w:id="18"/>
      <w:proofErr w:type="gramEnd"/>
    </w:p>
    <w:p w14:paraId="76E7413A" w14:textId="77777777" w:rsidR="0030764F" w:rsidRDefault="0030764F" w:rsidP="0091793B">
      <w:pPr>
        <w:spacing w:line="360" w:lineRule="auto"/>
        <w:rPr>
          <w:b/>
          <w:sz w:val="32"/>
          <w:szCs w:val="32"/>
        </w:rPr>
      </w:pPr>
    </w:p>
    <w:p w14:paraId="20BE3D0B" w14:textId="77777777" w:rsidR="00DF6D6B" w:rsidRDefault="00DF6D6B" w:rsidP="0091793B">
      <w:pPr>
        <w:spacing w:line="360" w:lineRule="auto"/>
        <w:rPr>
          <w:b/>
          <w:sz w:val="32"/>
          <w:szCs w:val="32"/>
        </w:rPr>
      </w:pPr>
    </w:p>
    <w:p w14:paraId="3D3882EC" w14:textId="77777777" w:rsidR="00DF6D6B" w:rsidRDefault="00DF6D6B" w:rsidP="0091793B">
      <w:pPr>
        <w:spacing w:line="360" w:lineRule="auto"/>
        <w:rPr>
          <w:b/>
          <w:sz w:val="32"/>
          <w:szCs w:val="32"/>
        </w:rPr>
      </w:pPr>
    </w:p>
    <w:p w14:paraId="3C036CDA" w14:textId="77777777" w:rsidR="005C4F35" w:rsidRDefault="005C4F35" w:rsidP="0091793B">
      <w:pPr>
        <w:spacing w:line="360" w:lineRule="auto"/>
        <w:rPr>
          <w:b/>
          <w:sz w:val="32"/>
          <w:szCs w:val="32"/>
        </w:rPr>
      </w:pPr>
    </w:p>
    <w:p w14:paraId="6A73CE38" w14:textId="77777777" w:rsidR="0000081E" w:rsidRDefault="0000081E" w:rsidP="0091793B">
      <w:pPr>
        <w:spacing w:line="360" w:lineRule="auto"/>
        <w:rPr>
          <w:b/>
          <w:sz w:val="32"/>
          <w:szCs w:val="32"/>
        </w:rPr>
      </w:pPr>
    </w:p>
    <w:p w14:paraId="77BB312D" w14:textId="77777777" w:rsidR="0000081E" w:rsidRDefault="0000081E" w:rsidP="0091793B">
      <w:pPr>
        <w:spacing w:line="360" w:lineRule="auto"/>
        <w:rPr>
          <w:b/>
          <w:sz w:val="32"/>
          <w:szCs w:val="32"/>
        </w:rPr>
      </w:pPr>
    </w:p>
    <w:p w14:paraId="635A8EB2" w14:textId="77777777" w:rsidR="0000081E" w:rsidRDefault="0000081E" w:rsidP="0091793B">
      <w:pPr>
        <w:spacing w:line="360" w:lineRule="auto"/>
        <w:rPr>
          <w:b/>
          <w:sz w:val="32"/>
          <w:szCs w:val="32"/>
        </w:rPr>
      </w:pPr>
    </w:p>
    <w:p w14:paraId="24212C8A" w14:textId="7AC6AFBE" w:rsidR="001701D9" w:rsidRPr="001701D9" w:rsidRDefault="001701D9" w:rsidP="0091793B">
      <w:pPr>
        <w:spacing w:line="360" w:lineRule="auto"/>
        <w:jc w:val="left"/>
        <w:rPr>
          <w:b/>
          <w:sz w:val="32"/>
          <w:szCs w:val="32"/>
        </w:rPr>
      </w:pPr>
      <w:r w:rsidRPr="001701D9">
        <w:rPr>
          <w:b/>
          <w:sz w:val="32"/>
          <w:szCs w:val="32"/>
        </w:rPr>
        <w:lastRenderedPageBreak/>
        <w:t>IV.</w:t>
      </w:r>
      <w:r w:rsidRPr="001701D9">
        <w:rPr>
          <w:b/>
          <w:sz w:val="32"/>
          <w:szCs w:val="32"/>
        </w:rPr>
        <w:tab/>
      </w:r>
      <w:r w:rsidR="001D553C">
        <w:rPr>
          <w:b/>
          <w:sz w:val="32"/>
          <w:szCs w:val="32"/>
        </w:rPr>
        <w:tab/>
      </w:r>
      <w:r w:rsidRPr="001701D9">
        <w:rPr>
          <w:b/>
          <w:sz w:val="32"/>
          <w:szCs w:val="32"/>
        </w:rPr>
        <w:t>BWR METHODOLOGY AND DESIGN PARAMETERS</w:t>
      </w:r>
    </w:p>
    <w:p w14:paraId="27B676DC" w14:textId="3351087B" w:rsidR="00363794" w:rsidRDefault="009E18F2" w:rsidP="0091793B">
      <w:pPr>
        <w:widowControl w:val="0"/>
        <w:spacing w:before="240" w:after="0" w:line="360" w:lineRule="auto"/>
        <w:contextualSpacing/>
        <w:jc w:val="both"/>
        <w:rPr>
          <w:rFonts w:eastAsia="Times New Roman" w:cs="Times New Roman"/>
          <w:b/>
          <w:snapToGrid w:val="0"/>
          <w:sz w:val="28"/>
          <w:szCs w:val="24"/>
        </w:rPr>
      </w:pPr>
      <w:r w:rsidRPr="00AF6B03">
        <w:rPr>
          <w:rFonts w:eastAsia="Times New Roman" w:cs="Times New Roman"/>
          <w:b/>
          <w:snapToGrid w:val="0"/>
          <w:sz w:val="28"/>
          <w:szCs w:val="24"/>
        </w:rPr>
        <w:t>I</w:t>
      </w:r>
      <w:r>
        <w:rPr>
          <w:rFonts w:eastAsia="Times New Roman" w:cs="Times New Roman"/>
          <w:b/>
          <w:snapToGrid w:val="0"/>
          <w:sz w:val="28"/>
          <w:szCs w:val="24"/>
        </w:rPr>
        <w:t>V</w:t>
      </w:r>
      <w:r w:rsidRPr="00AF6B03">
        <w:rPr>
          <w:rFonts w:eastAsia="Times New Roman" w:cs="Times New Roman"/>
          <w:b/>
          <w:snapToGrid w:val="0"/>
          <w:sz w:val="28"/>
          <w:szCs w:val="24"/>
        </w:rPr>
        <w:t>.</w:t>
      </w:r>
      <w:r w:rsidR="001701D9">
        <w:rPr>
          <w:rFonts w:eastAsia="Times New Roman" w:cs="Times New Roman"/>
          <w:b/>
          <w:snapToGrid w:val="0"/>
          <w:sz w:val="28"/>
          <w:szCs w:val="24"/>
        </w:rPr>
        <w:t xml:space="preserve">A. </w:t>
      </w:r>
      <w:r w:rsidR="001D553C">
        <w:rPr>
          <w:rFonts w:eastAsia="Times New Roman" w:cs="Times New Roman"/>
          <w:b/>
          <w:snapToGrid w:val="0"/>
          <w:sz w:val="28"/>
          <w:szCs w:val="24"/>
        </w:rPr>
        <w:tab/>
      </w:r>
      <w:r>
        <w:rPr>
          <w:rFonts w:eastAsia="Times New Roman" w:cs="Times New Roman"/>
          <w:b/>
          <w:snapToGrid w:val="0"/>
          <w:sz w:val="28"/>
          <w:szCs w:val="24"/>
        </w:rPr>
        <w:t>Lattice Physics Models</w:t>
      </w:r>
    </w:p>
    <w:p w14:paraId="1DFAAFC3" w14:textId="77777777" w:rsidR="00946707" w:rsidRPr="00FD2EFD" w:rsidRDefault="000F356B" w:rsidP="0091793B">
      <w:pPr>
        <w:widowControl w:val="0"/>
        <w:spacing w:before="240" w:after="0" w:line="360" w:lineRule="auto"/>
        <w:jc w:val="both"/>
        <w:rPr>
          <w:rFonts w:eastAsia="Times New Roman" w:cs="Times New Roman"/>
          <w:b/>
          <w:snapToGrid w:val="0"/>
          <w:szCs w:val="24"/>
        </w:rPr>
      </w:pPr>
      <w:r>
        <w:rPr>
          <w:rFonts w:eastAsia="Times New Roman" w:cs="Times New Roman"/>
          <w:snapToGrid w:val="0"/>
          <w:szCs w:val="24"/>
        </w:rPr>
        <w:t>T</w:t>
      </w:r>
      <w:r w:rsidRPr="00FD2EFD">
        <w:rPr>
          <w:rFonts w:eastAsia="Times New Roman" w:cs="Times New Roman"/>
          <w:snapToGrid w:val="0"/>
          <w:szCs w:val="24"/>
        </w:rPr>
        <w:t xml:space="preserve">he </w:t>
      </w:r>
      <w:r>
        <w:rPr>
          <w:rFonts w:eastAsia="Times New Roman" w:cs="Times New Roman"/>
          <w:snapToGrid w:val="0"/>
          <w:szCs w:val="24"/>
        </w:rPr>
        <w:t>abundant</w:t>
      </w:r>
      <w:r w:rsidRPr="00FD2EFD">
        <w:rPr>
          <w:rFonts w:eastAsia="Times New Roman" w:cs="Times New Roman"/>
          <w:snapToGrid w:val="0"/>
          <w:szCs w:val="24"/>
        </w:rPr>
        <w:t xml:space="preserve"> heterogeneities found in commercial BWR bundles</w:t>
      </w:r>
      <w:r>
        <w:rPr>
          <w:rFonts w:eastAsia="Times New Roman" w:cs="Times New Roman"/>
          <w:snapToGrid w:val="0"/>
          <w:szCs w:val="24"/>
        </w:rPr>
        <w:t xml:space="preserve"> preclude </w:t>
      </w:r>
      <w:r w:rsidRPr="00FD2EFD">
        <w:rPr>
          <w:rFonts w:eastAsia="Times New Roman" w:cs="Times New Roman"/>
          <w:snapToGrid w:val="0"/>
          <w:szCs w:val="24"/>
        </w:rPr>
        <w:t xml:space="preserve">modeling </w:t>
      </w:r>
      <w:r>
        <w:rPr>
          <w:rFonts w:eastAsia="Times New Roman" w:cs="Times New Roman"/>
          <w:snapToGrid w:val="0"/>
          <w:szCs w:val="24"/>
        </w:rPr>
        <w:t>a single</w:t>
      </w:r>
      <w:r w:rsidRPr="00FD2EFD">
        <w:rPr>
          <w:rFonts w:eastAsia="Times New Roman" w:cs="Times New Roman"/>
          <w:snapToGrid w:val="0"/>
          <w:szCs w:val="24"/>
        </w:rPr>
        <w:t xml:space="preserve"> fuel rod </w:t>
      </w:r>
      <w:r>
        <w:rPr>
          <w:rFonts w:eastAsia="Times New Roman" w:cs="Times New Roman"/>
          <w:snapToGrid w:val="0"/>
          <w:szCs w:val="24"/>
        </w:rPr>
        <w:t>as</w:t>
      </w:r>
      <w:r w:rsidRPr="00FD2EFD">
        <w:rPr>
          <w:rFonts w:eastAsia="Times New Roman" w:cs="Times New Roman"/>
          <w:snapToGrid w:val="0"/>
          <w:szCs w:val="24"/>
        </w:rPr>
        <w:t xml:space="preserve"> a reasonable approximation </w:t>
      </w:r>
      <w:r>
        <w:rPr>
          <w:rFonts w:eastAsia="Times New Roman" w:cs="Times New Roman"/>
          <w:snapToGrid w:val="0"/>
          <w:szCs w:val="24"/>
        </w:rPr>
        <w:t>for</w:t>
      </w:r>
      <w:r w:rsidRPr="00FD2EFD">
        <w:rPr>
          <w:rFonts w:eastAsia="Times New Roman" w:cs="Times New Roman"/>
          <w:snapToGrid w:val="0"/>
          <w:szCs w:val="24"/>
        </w:rPr>
        <w:t xml:space="preserve"> an entire fuel bundle or reactor</w:t>
      </w:r>
      <w:r>
        <w:rPr>
          <w:rFonts w:eastAsia="Times New Roman" w:cs="Times New Roman"/>
          <w:snapToGrid w:val="0"/>
          <w:szCs w:val="24"/>
        </w:rPr>
        <w:t xml:space="preserve"> when</w:t>
      </w:r>
      <w:r w:rsidRPr="00FD2EFD">
        <w:rPr>
          <w:rFonts w:eastAsia="Times New Roman" w:cs="Times New Roman"/>
          <w:snapToGrid w:val="0"/>
          <w:szCs w:val="24"/>
        </w:rPr>
        <w:t xml:space="preserve"> analyzing BWR fuel </w:t>
      </w:r>
      <w:r>
        <w:rPr>
          <w:rFonts w:eastAsia="Times New Roman" w:cs="Times New Roman"/>
          <w:snapToGrid w:val="0"/>
          <w:szCs w:val="24"/>
        </w:rPr>
        <w:t>at</w:t>
      </w:r>
      <w:r w:rsidRPr="00FD2EFD">
        <w:rPr>
          <w:rFonts w:eastAsia="Times New Roman" w:cs="Times New Roman"/>
          <w:snapToGrid w:val="0"/>
          <w:szCs w:val="24"/>
        </w:rPr>
        <w:t xml:space="preserve"> </w:t>
      </w:r>
      <w:r>
        <w:rPr>
          <w:rFonts w:eastAsia="Times New Roman" w:cs="Times New Roman"/>
          <w:snapToGrid w:val="0"/>
          <w:szCs w:val="24"/>
        </w:rPr>
        <w:t>the</w:t>
      </w:r>
      <w:r w:rsidRPr="00FD2EFD">
        <w:rPr>
          <w:rFonts w:eastAsia="Times New Roman" w:cs="Times New Roman"/>
          <w:snapToGrid w:val="0"/>
          <w:szCs w:val="24"/>
        </w:rPr>
        <w:t xml:space="preserve"> lattice physics level</w:t>
      </w:r>
      <w:r>
        <w:rPr>
          <w:rFonts w:eastAsia="Times New Roman" w:cs="Times New Roman"/>
          <w:snapToGrid w:val="0"/>
          <w:szCs w:val="24"/>
        </w:rPr>
        <w:t xml:space="preserve">. </w:t>
      </w:r>
      <w:r w:rsidR="00946707">
        <w:rPr>
          <w:rFonts w:eastAsia="Times New Roman" w:cs="Times New Roman"/>
          <w:snapToGrid w:val="0"/>
          <w:szCs w:val="24"/>
        </w:rPr>
        <w:t>In contrast</w:t>
      </w:r>
      <w:r w:rsidR="00946707" w:rsidRPr="00FD2EFD">
        <w:rPr>
          <w:rFonts w:eastAsia="Times New Roman" w:cs="Times New Roman"/>
          <w:snapToGrid w:val="0"/>
          <w:szCs w:val="24"/>
        </w:rPr>
        <w:t xml:space="preserve"> t</w:t>
      </w:r>
      <w:r w:rsidR="00946707">
        <w:rPr>
          <w:rFonts w:eastAsia="Times New Roman" w:cs="Times New Roman"/>
          <w:snapToGrid w:val="0"/>
          <w:szCs w:val="24"/>
        </w:rPr>
        <w:t xml:space="preserve">o </w:t>
      </w:r>
      <w:r w:rsidR="00D525D2">
        <w:rPr>
          <w:rFonts w:eastAsia="Times New Roman" w:cs="Times New Roman"/>
          <w:snapToGrid w:val="0"/>
          <w:szCs w:val="24"/>
        </w:rPr>
        <w:t>the</w:t>
      </w:r>
      <w:r w:rsidR="00946707">
        <w:rPr>
          <w:rFonts w:eastAsia="Times New Roman" w:cs="Times New Roman"/>
          <w:snapToGrid w:val="0"/>
          <w:szCs w:val="24"/>
        </w:rPr>
        <w:t xml:space="preserve"> previous </w:t>
      </w:r>
      <w:r w:rsidR="00946707" w:rsidRPr="00FD2EFD">
        <w:rPr>
          <w:rFonts w:eastAsia="Times New Roman" w:cs="Times New Roman"/>
          <w:snapToGrid w:val="0"/>
          <w:szCs w:val="24"/>
        </w:rPr>
        <w:t>analysis done on PWR</w:t>
      </w:r>
      <w:r w:rsidR="00946707">
        <w:rPr>
          <w:rFonts w:eastAsia="Times New Roman" w:cs="Times New Roman"/>
          <w:snapToGrid w:val="0"/>
          <w:szCs w:val="24"/>
        </w:rPr>
        <w:t>s,</w:t>
      </w:r>
      <w:r w:rsidR="00946707" w:rsidRPr="00FD2EFD">
        <w:rPr>
          <w:rFonts w:eastAsia="Times New Roman" w:cs="Times New Roman"/>
          <w:snapToGrid w:val="0"/>
          <w:szCs w:val="24"/>
        </w:rPr>
        <w:t xml:space="preserve"> BWR heterogeneities include axial and radial enrichment </w:t>
      </w:r>
      <w:r w:rsidR="00946707">
        <w:rPr>
          <w:rFonts w:eastAsia="Times New Roman" w:cs="Times New Roman"/>
          <w:snapToGrid w:val="0"/>
          <w:szCs w:val="24"/>
        </w:rPr>
        <w:t>and gadolinium loading variations</w:t>
      </w:r>
      <w:r w:rsidR="00946707" w:rsidRPr="00FD2EFD">
        <w:rPr>
          <w:rFonts w:eastAsia="Times New Roman" w:cs="Times New Roman"/>
          <w:snapToGrid w:val="0"/>
          <w:szCs w:val="24"/>
        </w:rPr>
        <w:t xml:space="preserve">, </w:t>
      </w:r>
      <w:r>
        <w:rPr>
          <w:rFonts w:eastAsia="Times New Roman" w:cs="Times New Roman"/>
          <w:snapToGrid w:val="0"/>
          <w:szCs w:val="24"/>
        </w:rPr>
        <w:t>partial-length (</w:t>
      </w:r>
      <w:r w:rsidR="00946707">
        <w:rPr>
          <w:rFonts w:eastAsia="Times New Roman" w:cs="Times New Roman"/>
          <w:snapToGrid w:val="0"/>
          <w:szCs w:val="24"/>
        </w:rPr>
        <w:t>vanishing</w:t>
      </w:r>
      <w:r>
        <w:rPr>
          <w:rFonts w:eastAsia="Times New Roman" w:cs="Times New Roman"/>
          <w:snapToGrid w:val="0"/>
          <w:szCs w:val="24"/>
        </w:rPr>
        <w:t>) fuel</w:t>
      </w:r>
      <w:r w:rsidR="00946707">
        <w:rPr>
          <w:rFonts w:eastAsia="Times New Roman" w:cs="Times New Roman"/>
          <w:snapToGrid w:val="0"/>
          <w:szCs w:val="24"/>
        </w:rPr>
        <w:t xml:space="preserve"> rods, plus a significant range of </w:t>
      </w:r>
      <w:r w:rsidR="00946707" w:rsidRPr="00FD2EFD">
        <w:rPr>
          <w:rFonts w:eastAsia="Times New Roman" w:cs="Times New Roman"/>
          <w:snapToGrid w:val="0"/>
          <w:szCs w:val="24"/>
        </w:rPr>
        <w:t>axial void</w:t>
      </w:r>
      <w:r w:rsidR="00946707">
        <w:rPr>
          <w:rFonts w:eastAsia="Times New Roman" w:cs="Times New Roman"/>
          <w:snapToGrid w:val="0"/>
          <w:szCs w:val="24"/>
        </w:rPr>
        <w:t xml:space="preserve"> distributions</w:t>
      </w:r>
      <w:r w:rsidR="00946707" w:rsidRPr="00FD2EFD">
        <w:rPr>
          <w:rFonts w:eastAsia="Times New Roman" w:cs="Times New Roman"/>
          <w:snapToGrid w:val="0"/>
          <w:szCs w:val="24"/>
        </w:rPr>
        <w:t xml:space="preserve">. Therefore, initial lattice physics </w:t>
      </w:r>
      <w:r w:rsidR="00946707">
        <w:rPr>
          <w:rFonts w:eastAsia="Times New Roman" w:cs="Times New Roman"/>
          <w:snapToGrid w:val="0"/>
          <w:szCs w:val="24"/>
        </w:rPr>
        <w:t>calculations</w:t>
      </w:r>
      <w:r w:rsidR="00946707" w:rsidRPr="00FD2EFD">
        <w:rPr>
          <w:rFonts w:eastAsia="Times New Roman" w:cs="Times New Roman"/>
          <w:snapToGrid w:val="0"/>
          <w:szCs w:val="24"/>
        </w:rPr>
        <w:t xml:space="preserve"> were performed using </w:t>
      </w:r>
      <w:r w:rsidR="00946707">
        <w:rPr>
          <w:rFonts w:eastAsia="Times New Roman" w:cs="Times New Roman"/>
          <w:snapToGrid w:val="0"/>
          <w:szCs w:val="24"/>
        </w:rPr>
        <w:t xml:space="preserve">the </w:t>
      </w:r>
      <w:r w:rsidR="00946707" w:rsidRPr="00FD2EFD">
        <w:rPr>
          <w:rFonts w:eastAsia="Times New Roman" w:cs="Times New Roman"/>
          <w:snapToGrid w:val="0"/>
          <w:szCs w:val="24"/>
        </w:rPr>
        <w:t>2D discrete ordinate</w:t>
      </w:r>
      <w:r w:rsidR="00946707">
        <w:rPr>
          <w:rFonts w:eastAsia="Times New Roman" w:cs="Times New Roman"/>
          <w:snapToGrid w:val="0"/>
          <w:szCs w:val="24"/>
        </w:rPr>
        <w:t>s</w:t>
      </w:r>
      <w:r w:rsidR="00946707" w:rsidRPr="00FD2EFD">
        <w:rPr>
          <w:rFonts w:eastAsia="Times New Roman" w:cs="Times New Roman"/>
          <w:snapToGrid w:val="0"/>
          <w:szCs w:val="24"/>
        </w:rPr>
        <w:t xml:space="preserve"> module TRITON </w:t>
      </w:r>
      <w:r w:rsidR="00D525D2">
        <w:rPr>
          <w:rFonts w:eastAsia="Times New Roman" w:cs="Times New Roman"/>
          <w:snapToGrid w:val="0"/>
          <w:szCs w:val="24"/>
        </w:rPr>
        <w:t>from SCALE6.1 in order to model</w:t>
      </w:r>
      <w:r w:rsidR="00946707">
        <w:rPr>
          <w:rFonts w:eastAsia="Times New Roman" w:cs="Times New Roman"/>
          <w:snapToGrid w:val="0"/>
          <w:szCs w:val="24"/>
        </w:rPr>
        <w:t xml:space="preserve"> </w:t>
      </w:r>
      <w:r w:rsidR="00D525D2">
        <w:rPr>
          <w:rFonts w:eastAsia="Times New Roman" w:cs="Times New Roman"/>
          <w:snapToGrid w:val="0"/>
          <w:szCs w:val="24"/>
        </w:rPr>
        <w:t xml:space="preserve">the </w:t>
      </w:r>
      <w:r w:rsidR="00946707">
        <w:rPr>
          <w:rFonts w:eastAsia="Times New Roman" w:cs="Times New Roman"/>
          <w:snapToGrid w:val="0"/>
          <w:szCs w:val="24"/>
        </w:rPr>
        <w:t xml:space="preserve">BWR </w:t>
      </w:r>
      <w:r w:rsidR="00946707" w:rsidRPr="00FD2EFD">
        <w:rPr>
          <w:rFonts w:eastAsia="Times New Roman" w:cs="Times New Roman"/>
          <w:snapToGrid w:val="0"/>
          <w:szCs w:val="24"/>
        </w:rPr>
        <w:t>fuel bundle</w:t>
      </w:r>
      <w:r w:rsidR="00D525D2">
        <w:rPr>
          <w:rFonts w:eastAsia="Times New Roman" w:cs="Times New Roman"/>
          <w:snapToGrid w:val="0"/>
          <w:szCs w:val="24"/>
        </w:rPr>
        <w:t>s</w:t>
      </w:r>
      <w:r w:rsidR="00946707" w:rsidRPr="00FD2EFD">
        <w:rPr>
          <w:rFonts w:eastAsia="Times New Roman" w:cs="Times New Roman"/>
          <w:snapToGrid w:val="0"/>
          <w:szCs w:val="24"/>
        </w:rPr>
        <w:t xml:space="preserve">. </w:t>
      </w:r>
    </w:p>
    <w:p w14:paraId="35359D83" w14:textId="77B47C71" w:rsidR="00946707" w:rsidRDefault="00946707" w:rsidP="0091793B">
      <w:pPr>
        <w:widowControl w:val="0"/>
        <w:spacing w:before="240" w:after="0" w:line="360" w:lineRule="auto"/>
        <w:jc w:val="both"/>
        <w:rPr>
          <w:rFonts w:eastAsia="Times New Roman" w:cs="Times New Roman"/>
          <w:snapToGrid w:val="0"/>
          <w:szCs w:val="24"/>
        </w:rPr>
      </w:pPr>
      <w:r w:rsidRPr="00FD2EFD">
        <w:rPr>
          <w:rFonts w:eastAsia="Times New Roman" w:cs="Times New Roman"/>
          <w:snapToGrid w:val="0"/>
          <w:szCs w:val="24"/>
        </w:rPr>
        <w:t xml:space="preserve">It was important </w:t>
      </w:r>
      <w:r>
        <w:rPr>
          <w:rFonts w:eastAsia="Times New Roman" w:cs="Times New Roman"/>
          <w:snapToGrid w:val="0"/>
          <w:szCs w:val="24"/>
        </w:rPr>
        <w:t>in</w:t>
      </w:r>
      <w:r w:rsidRPr="00FD2EFD">
        <w:rPr>
          <w:rFonts w:eastAsia="Times New Roman" w:cs="Times New Roman"/>
          <w:snapToGrid w:val="0"/>
          <w:szCs w:val="24"/>
        </w:rPr>
        <w:t xml:space="preserve"> th</w:t>
      </w:r>
      <w:r>
        <w:rPr>
          <w:rFonts w:eastAsia="Times New Roman" w:cs="Times New Roman"/>
          <w:snapToGrid w:val="0"/>
          <w:szCs w:val="24"/>
        </w:rPr>
        <w:t xml:space="preserve">is study </w:t>
      </w:r>
      <w:r w:rsidRPr="00FD2EFD">
        <w:rPr>
          <w:rFonts w:eastAsia="Times New Roman" w:cs="Times New Roman"/>
          <w:snapToGrid w:val="0"/>
          <w:szCs w:val="24"/>
        </w:rPr>
        <w:t xml:space="preserve">to model modern bundle designs that would be commercially relevant in today’s standards. Therefore bundle designs </w:t>
      </w:r>
      <w:r>
        <w:rPr>
          <w:rFonts w:eastAsia="Times New Roman" w:cs="Times New Roman"/>
          <w:snapToGrid w:val="0"/>
          <w:szCs w:val="24"/>
        </w:rPr>
        <w:t>representative of</w:t>
      </w:r>
      <w:r w:rsidRPr="00FD2EFD">
        <w:rPr>
          <w:rFonts w:eastAsia="Times New Roman" w:cs="Times New Roman"/>
          <w:snapToGrid w:val="0"/>
          <w:szCs w:val="24"/>
        </w:rPr>
        <w:t xml:space="preserve"> </w:t>
      </w:r>
      <w:r>
        <w:rPr>
          <w:rFonts w:eastAsia="Times New Roman" w:cs="Times New Roman"/>
          <w:snapToGrid w:val="0"/>
          <w:szCs w:val="24"/>
        </w:rPr>
        <w:t xml:space="preserve">modern </w:t>
      </w:r>
      <w:r w:rsidR="00812D95">
        <w:rPr>
          <w:rFonts w:eastAsia="Times New Roman" w:cs="Times New Roman"/>
          <w:snapToGrid w:val="0"/>
          <w:szCs w:val="24"/>
        </w:rPr>
        <w:t>10 × 10</w:t>
      </w:r>
      <w:r w:rsidRPr="00FD2EFD">
        <w:rPr>
          <w:rFonts w:eastAsia="Times New Roman" w:cs="Times New Roman"/>
          <w:snapToGrid w:val="0"/>
          <w:szCs w:val="24"/>
        </w:rPr>
        <w:t xml:space="preserve"> enrichment/gadolinium layouts were chosen for </w:t>
      </w:r>
      <w:r>
        <w:rPr>
          <w:rFonts w:eastAsia="Times New Roman" w:cs="Times New Roman"/>
          <w:snapToGrid w:val="0"/>
          <w:szCs w:val="24"/>
        </w:rPr>
        <w:t xml:space="preserve">this </w:t>
      </w:r>
      <w:r w:rsidRPr="00FD2EFD">
        <w:rPr>
          <w:rFonts w:eastAsia="Times New Roman" w:cs="Times New Roman"/>
          <w:snapToGrid w:val="0"/>
          <w:szCs w:val="24"/>
        </w:rPr>
        <w:t>simulation</w:t>
      </w:r>
      <w:r w:rsidR="00D525D2">
        <w:rPr>
          <w:rFonts w:eastAsia="Times New Roman" w:cs="Times New Roman"/>
          <w:snapToGrid w:val="0"/>
          <w:szCs w:val="24"/>
        </w:rPr>
        <w:t xml:space="preserve">. </w:t>
      </w:r>
      <w:r w:rsidRPr="00FD2EFD">
        <w:rPr>
          <w:rFonts w:eastAsia="Times New Roman" w:cs="Times New Roman"/>
          <w:snapToGrid w:val="0"/>
          <w:szCs w:val="24"/>
        </w:rPr>
        <w:t>TRITO</w:t>
      </w:r>
      <w:r w:rsidR="00D525D2">
        <w:rPr>
          <w:rFonts w:eastAsia="Times New Roman" w:cs="Times New Roman"/>
          <w:snapToGrid w:val="0"/>
          <w:szCs w:val="24"/>
        </w:rPr>
        <w:t>N models were assembled</w:t>
      </w:r>
      <w:r w:rsidRPr="00FD2EFD">
        <w:rPr>
          <w:rFonts w:eastAsia="Times New Roman" w:cs="Times New Roman"/>
          <w:snapToGrid w:val="0"/>
          <w:szCs w:val="24"/>
        </w:rPr>
        <w:t xml:space="preserve"> to produce lattice array</w:t>
      </w:r>
      <w:r>
        <w:rPr>
          <w:rFonts w:eastAsia="Times New Roman" w:cs="Times New Roman"/>
          <w:snapToGrid w:val="0"/>
          <w:szCs w:val="24"/>
        </w:rPr>
        <w:t>s such as the one shown in Figure 1</w:t>
      </w:r>
      <w:r w:rsidR="001F035F">
        <w:rPr>
          <w:rFonts w:eastAsia="Times New Roman" w:cs="Times New Roman"/>
          <w:snapToGrid w:val="0"/>
          <w:szCs w:val="24"/>
        </w:rPr>
        <w:t>4</w:t>
      </w:r>
      <w:r w:rsidRPr="00FD2EFD">
        <w:rPr>
          <w:rFonts w:eastAsia="Times New Roman" w:cs="Times New Roman"/>
          <w:snapToGrid w:val="0"/>
          <w:szCs w:val="24"/>
        </w:rPr>
        <w:t xml:space="preserve"> </w:t>
      </w:r>
      <w:r w:rsidR="0049346C">
        <w:rPr>
          <w:rFonts w:eastAsia="Times New Roman" w:cs="Times New Roman"/>
          <w:snapToGrid w:val="0"/>
          <w:szCs w:val="24"/>
        </w:rPr>
        <w:fldChar w:fldCharType="begin">
          <w:fldData xml:space="preserve">PEVuZE5vdGU+PENpdGU+PEF1dGhvcj5TbWl0aDwvQXV0aG9yPjxZZWFyPjIwMTM8L1llYXI+PFJl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</w:fldData>
        </w:fldChar>
      </w:r>
      <w:r w:rsidR="00817846">
        <w:rPr>
          <w:rFonts w:eastAsia="Times New Roman" w:cs="Times New Roman"/>
          <w:snapToGrid w:val="0"/>
          <w:szCs w:val="24"/>
        </w:rPr>
        <w:instrText xml:space="preserve"> ADDIN EN.CITE </w:instrText>
      </w:r>
      <w:r w:rsidR="00817846">
        <w:rPr>
          <w:rFonts w:eastAsia="Times New Roman" w:cs="Times New Roman"/>
          <w:snapToGrid w:val="0"/>
          <w:szCs w:val="24"/>
        </w:rPr>
        <w:fldChar w:fldCharType="begin">
          <w:fldData xml:space="preserve">PEVuZE5vdGU+PENpdGU+PEF1dGhvcj5TbWl0aDwvQXV0aG9yPjxZZWFyPjIwMTM8L1llYXI+PFJl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</w:fldData>
        </w:fldChar>
      </w:r>
      <w:r w:rsidR="00817846">
        <w:rPr>
          <w:rFonts w:eastAsia="Times New Roman" w:cs="Times New Roman"/>
          <w:snapToGrid w:val="0"/>
          <w:szCs w:val="24"/>
        </w:rPr>
        <w:instrText xml:space="preserve"> ADDIN EN.CITE.DATA </w:instrText>
      </w:r>
      <w:r w:rsidR="00817846">
        <w:rPr>
          <w:rFonts w:eastAsia="Times New Roman" w:cs="Times New Roman"/>
          <w:snapToGrid w:val="0"/>
          <w:szCs w:val="24"/>
        </w:rPr>
      </w:r>
      <w:r w:rsidR="00817846">
        <w:rPr>
          <w:rFonts w:eastAsia="Times New Roman" w:cs="Times New Roman"/>
          <w:snapToGrid w:val="0"/>
          <w:szCs w:val="24"/>
        </w:rPr>
        <w:fldChar w:fldCharType="end"/>
      </w:r>
      <w:r w:rsidR="0049346C">
        <w:rPr>
          <w:rFonts w:eastAsia="Times New Roman" w:cs="Times New Roman"/>
          <w:snapToGrid w:val="0"/>
          <w:szCs w:val="24"/>
        </w:rPr>
      </w:r>
      <w:r w:rsidR="0049346C">
        <w:rPr>
          <w:rFonts w:eastAsia="Times New Roman" w:cs="Times New Roman"/>
          <w:snapToGrid w:val="0"/>
          <w:szCs w:val="24"/>
        </w:rPr>
        <w:fldChar w:fldCharType="separate"/>
      </w:r>
      <w:r w:rsidR="00817846">
        <w:rPr>
          <w:rFonts w:eastAsia="Times New Roman" w:cs="Times New Roman"/>
          <w:noProof/>
          <w:snapToGrid w:val="0"/>
          <w:szCs w:val="24"/>
        </w:rPr>
        <w:t>[</w:t>
      </w:r>
      <w:hyperlink w:anchor="_ENREF_44" w:tooltip="Smith, 2013 #96" w:history="1">
        <w:r w:rsidR="00DF20CB">
          <w:rPr>
            <w:rFonts w:eastAsia="Times New Roman" w:cs="Times New Roman"/>
            <w:noProof/>
            <w:snapToGrid w:val="0"/>
            <w:szCs w:val="24"/>
          </w:rPr>
          <w:t>44-46</w:t>
        </w:r>
      </w:hyperlink>
      <w:r w:rsidR="00817846">
        <w:rPr>
          <w:rFonts w:eastAsia="Times New Roman" w:cs="Times New Roman"/>
          <w:noProof/>
          <w:snapToGrid w:val="0"/>
          <w:szCs w:val="24"/>
        </w:rPr>
        <w:t>]</w:t>
      </w:r>
      <w:r w:rsidR="0049346C">
        <w:rPr>
          <w:rFonts w:eastAsia="Times New Roman" w:cs="Times New Roman"/>
          <w:snapToGrid w:val="0"/>
          <w:szCs w:val="24"/>
        </w:rPr>
        <w:fldChar w:fldCharType="end"/>
      </w:r>
      <w:r w:rsidRPr="00FD2EFD">
        <w:rPr>
          <w:rFonts w:eastAsia="Times New Roman" w:cs="Times New Roman"/>
          <w:snapToGrid w:val="0"/>
          <w:szCs w:val="24"/>
        </w:rPr>
        <w:fldChar w:fldCharType="begin"/>
      </w:r>
      <w:r w:rsidRPr="00FD2EFD">
        <w:rPr>
          <w:rFonts w:eastAsia="Times New Roman" w:cs="Times New Roman"/>
          <w:snapToGrid w:val="0"/>
          <w:szCs w:val="24"/>
        </w:rPr>
        <w:fldChar w:fldCharType="separate"/>
      </w:r>
      <w:r>
        <w:rPr>
          <w:rFonts w:eastAsia="Times New Roman" w:cs="Times New Roman"/>
          <w:snapToGrid w:val="0"/>
          <w:szCs w:val="24"/>
        </w:rPr>
        <w:t>{Smith, 2013 #96;Smith, 2013 #96}</w:t>
      </w:r>
      <w:r w:rsidRPr="00FD2EFD">
        <w:rPr>
          <w:rFonts w:eastAsia="Times New Roman" w:cs="Times New Roman"/>
          <w:snapToGrid w:val="0"/>
          <w:szCs w:val="24"/>
        </w:rPr>
        <w:fldChar w:fldCharType="end"/>
      </w:r>
      <w:r>
        <w:rPr>
          <w:rFonts w:eastAsia="Times New Roman" w:cs="Times New Roman"/>
          <w:snapToGrid w:val="0"/>
          <w:szCs w:val="24"/>
        </w:rPr>
        <w:t xml:space="preserve"> which is representative of a modern GE12 or GE14 </w:t>
      </w:r>
      <w:r w:rsidR="00812D95">
        <w:rPr>
          <w:rFonts w:eastAsia="Times New Roman" w:cs="Times New Roman"/>
          <w:snapToGrid w:val="0"/>
          <w:szCs w:val="24"/>
        </w:rPr>
        <w:t>10 × 10</w:t>
      </w:r>
      <w:r>
        <w:rPr>
          <w:rFonts w:eastAsia="Times New Roman" w:cs="Times New Roman"/>
          <w:snapToGrid w:val="0"/>
          <w:szCs w:val="24"/>
        </w:rPr>
        <w:t xml:space="preserve"> bundle.</w:t>
      </w:r>
    </w:p>
    <w:p w14:paraId="64E883FA" w14:textId="77777777" w:rsidR="0003299B" w:rsidRPr="00FD2EFD" w:rsidRDefault="0003299B" w:rsidP="0091793B">
      <w:pPr>
        <w:widowControl w:val="0"/>
        <w:spacing w:before="240" w:after="0" w:line="360" w:lineRule="auto"/>
        <w:jc w:val="both"/>
        <w:rPr>
          <w:rFonts w:eastAsia="Times New Roman" w:cs="Times New Roman"/>
          <w:snapToGrid w:val="0"/>
          <w:szCs w:val="24"/>
        </w:rPr>
      </w:pPr>
    </w:p>
    <w:p w14:paraId="471C0269" w14:textId="7DE8A392" w:rsidR="004347C4" w:rsidRDefault="004347C4" w:rsidP="0091793B">
      <w:pPr>
        <w:widowControl w:val="0"/>
        <w:spacing w:before="240" w:after="0" w:line="360" w:lineRule="auto"/>
        <w:rPr>
          <w:rFonts w:eastAsia="Times New Roman" w:cs="Times New Roman"/>
          <w:snapToGrid w:val="0"/>
          <w:szCs w:val="24"/>
        </w:rPr>
      </w:pPr>
      <w:r w:rsidRPr="004347C4">
        <w:rPr>
          <w:rFonts w:eastAsia="Times New Roman" w:cs="Times New Roman"/>
          <w:noProof/>
          <w:snapToGrid w:val="0"/>
          <w:szCs w:val="24"/>
        </w:rPr>
        <w:drawing>
          <wp:inline distT="0" distB="0" distL="0" distR="0" wp14:anchorId="02F321A1" wp14:editId="445DD8C2">
            <wp:extent cx="2790701" cy="2755074"/>
            <wp:effectExtent l="0" t="0" r="0" b="7620"/>
            <wp:docPr id="23" name="Picture 19"/>
            <wp:cNvGraphicFramePr/>
            <a:graphic xmlns:a="http://schemas.openxmlformats.org/drawingml/2006/main">
              <a:graphicData uri="http://schemas.openxmlformats.org/drawingml/2006/picture">
                <pic:pic xmlns:pic="http://schemas.openxmlformats.org/drawingml/2006/picture">
                  <pic:nvPicPr>
                    <pic:cNvPr id="20" name="Picture 19"/>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92436" cy="2756787"/>
                    </a:xfrm>
                    <a:prstGeom prst="rect">
                      <a:avLst/>
                    </a:prstGeom>
                    <a:noFill/>
                    <a:ln>
                      <a:noFill/>
                    </a:ln>
                  </pic:spPr>
                </pic:pic>
              </a:graphicData>
            </a:graphic>
          </wp:inline>
        </w:drawing>
      </w:r>
    </w:p>
    <w:p w14:paraId="189541E6" w14:textId="25CE65E9" w:rsidR="004347C4" w:rsidRDefault="0039764A" w:rsidP="0091793B">
      <w:pPr>
        <w:spacing w:line="360" w:lineRule="auto"/>
      </w:pPr>
      <w:bookmarkStart w:id="19" w:name="_Toc416993453"/>
      <w:r>
        <w:t xml:space="preserve">Figure </w:t>
      </w:r>
      <w:fldSimple w:instr=" SEQ Figure \* ARABIC ">
        <w:r w:rsidR="00F3244B">
          <w:rPr>
            <w:noProof/>
          </w:rPr>
          <w:t>14</w:t>
        </w:r>
      </w:fldSimple>
      <w:r>
        <w:t xml:space="preserve">: </w:t>
      </w:r>
      <w:r w:rsidR="005276F9">
        <w:t xml:space="preserve">Modern </w:t>
      </w:r>
      <w:r w:rsidR="005276F9">
        <w:rPr>
          <w:szCs w:val="24"/>
        </w:rPr>
        <w:t xml:space="preserve">10 </w:t>
      </w:r>
      <w:r w:rsidR="005276F9">
        <w:rPr>
          <w:rFonts w:eastAsia="Times New Roman" w:cs="Times New Roman"/>
          <w:snapToGrid w:val="0"/>
          <w:szCs w:val="24"/>
        </w:rPr>
        <w:t xml:space="preserve">× </w:t>
      </w:r>
      <w:r w:rsidR="005276F9">
        <w:rPr>
          <w:szCs w:val="24"/>
        </w:rPr>
        <w:t xml:space="preserve">10 </w:t>
      </w:r>
      <w:r w:rsidR="005276F9">
        <w:t>BWR lattice modeled with TRITON</w:t>
      </w:r>
      <w:r w:rsidR="00DF20CB">
        <w:t xml:space="preserve"> </w:t>
      </w:r>
      <w:r w:rsidR="00DF20CB">
        <w:rPr>
          <w:rFonts w:eastAsia="Times New Roman" w:cs="Times New Roman"/>
          <w:snapToGrid w:val="0"/>
          <w:szCs w:val="24"/>
        </w:rPr>
        <w:fldChar w:fldCharType="begin"/>
      </w:r>
      <w:r w:rsidR="00DF20CB">
        <w:rPr>
          <w:rFonts w:eastAsia="Times New Roman" w:cs="Times New Roman"/>
          <w:snapToGrid w:val="0"/>
          <w:szCs w:val="24"/>
        </w:rPr>
        <w:instrText xml:space="preserve"> ADDIN EN.CITE &lt;EndNote&gt;&lt;Cite&gt;&lt;Author&gt;Smith&lt;/Author&gt;&lt;Year&gt;2013&lt;/Year&gt;&lt;RecNum&gt;96&lt;/RecNum&gt;&lt;DisplayText&gt;[44]&lt;/DisplayText&gt;&lt;record&gt;&lt;rec-number&gt;96&lt;/rec-number&gt;&lt;foreign-keys&gt;&lt;key app="EN" db-id="trfxzx057wwv0qe0vz1vttttwf0522tvtwpt" timestamp="1422296057"&gt;96&lt;/key&gt;&lt;/foreign-keys&gt;&lt;ref-type name="Journal Article"&gt;17&lt;/ref-type&gt;&lt;contributors&gt;&lt;authors&gt;&lt;author&gt;H. J. Smith&lt;/author&gt;&lt;/authors&gt;&lt;/contributors&gt;&lt;titles&gt;&lt;title&gt;Analysis of Experimental Data for High Burnup BWR Spent Fuel Isotopic Validation - SVEA-96 and GE14 Assembly Designs&lt;/title&gt;&lt;secondary-title&gt;ORNL/TM-2013/18&lt;/secondary-title&gt;&lt;/titles&gt;&lt;periodical&gt;&lt;full-title&gt;ORNL/TM-2013/18&lt;/full-title&gt;&lt;/periodical&gt;&lt;dates&gt;&lt;year&gt;2013&lt;/year&gt;&lt;/dates&gt;&lt;orig-pub&gt;Oak Ridge National Laboratory&lt;/orig-pub&gt;&lt;urls&gt;&lt;/urls&gt;&lt;electronic-resource-num&gt;ORNL/TM-2013/18&lt;/electronic-resource-num&gt;&lt;/record&gt;&lt;/Cite&gt;&lt;/EndNote&gt;</w:instrText>
      </w:r>
      <w:r w:rsidR="00DF20CB">
        <w:rPr>
          <w:rFonts w:eastAsia="Times New Roman" w:cs="Times New Roman"/>
          <w:snapToGrid w:val="0"/>
          <w:szCs w:val="24"/>
        </w:rPr>
        <w:fldChar w:fldCharType="separate"/>
      </w:r>
      <w:r w:rsidR="00DF20CB">
        <w:rPr>
          <w:rFonts w:eastAsia="Times New Roman" w:cs="Times New Roman"/>
          <w:noProof/>
          <w:snapToGrid w:val="0"/>
          <w:szCs w:val="24"/>
        </w:rPr>
        <w:t>[</w:t>
      </w:r>
      <w:hyperlink w:anchor="_ENREF_44" w:tooltip="Smith, 2013 #96" w:history="1">
        <w:r w:rsidR="00DF20CB">
          <w:rPr>
            <w:rFonts w:eastAsia="Times New Roman" w:cs="Times New Roman"/>
            <w:noProof/>
            <w:snapToGrid w:val="0"/>
            <w:szCs w:val="24"/>
          </w:rPr>
          <w:t>44</w:t>
        </w:r>
      </w:hyperlink>
      <w:r w:rsidR="00DF20CB">
        <w:rPr>
          <w:rFonts w:eastAsia="Times New Roman" w:cs="Times New Roman"/>
          <w:noProof/>
          <w:snapToGrid w:val="0"/>
          <w:szCs w:val="24"/>
        </w:rPr>
        <w:t>]</w:t>
      </w:r>
      <w:bookmarkEnd w:id="19"/>
      <w:r w:rsidR="00DF20CB">
        <w:rPr>
          <w:rFonts w:eastAsia="Times New Roman" w:cs="Times New Roman"/>
          <w:snapToGrid w:val="0"/>
          <w:szCs w:val="24"/>
        </w:rPr>
        <w:fldChar w:fldCharType="end"/>
      </w:r>
    </w:p>
    <w:p w14:paraId="310DE089" w14:textId="3662894D" w:rsidR="0049346C" w:rsidRPr="00FD2EFD" w:rsidRDefault="009120DE" w:rsidP="0091793B">
      <w:pPr>
        <w:widowControl w:val="0"/>
        <w:spacing w:before="240" w:after="0" w:line="360" w:lineRule="auto"/>
        <w:jc w:val="both"/>
        <w:rPr>
          <w:rFonts w:eastAsia="Times New Roman" w:cs="Times New Roman"/>
          <w:snapToGrid w:val="0"/>
          <w:szCs w:val="24"/>
        </w:rPr>
      </w:pPr>
      <w:r>
        <w:rPr>
          <w:rFonts w:eastAsia="Times New Roman" w:cs="Times New Roman"/>
          <w:snapToGrid w:val="0"/>
          <w:szCs w:val="24"/>
        </w:rPr>
        <w:lastRenderedPageBreak/>
        <w:t>The lattice shown in Figure 14</w:t>
      </w:r>
      <w:r w:rsidR="0049346C" w:rsidRPr="00FD2EFD">
        <w:rPr>
          <w:rFonts w:eastAsia="Times New Roman" w:cs="Times New Roman"/>
          <w:snapToGrid w:val="0"/>
          <w:szCs w:val="24"/>
        </w:rPr>
        <w:t xml:space="preserve"> contains 92 UO</w:t>
      </w:r>
      <w:r w:rsidR="0049346C" w:rsidRPr="00FD2EFD">
        <w:rPr>
          <w:rFonts w:eastAsia="Times New Roman" w:cs="Times New Roman"/>
          <w:snapToGrid w:val="0"/>
          <w:szCs w:val="24"/>
          <w:vertAlign w:val="subscript"/>
        </w:rPr>
        <w:t>2</w:t>
      </w:r>
      <w:r w:rsidR="0049346C" w:rsidRPr="00FD2EFD">
        <w:rPr>
          <w:rFonts w:eastAsia="Times New Roman" w:cs="Times New Roman"/>
          <w:snapToGrid w:val="0"/>
          <w:szCs w:val="24"/>
        </w:rPr>
        <w:t xml:space="preserve"> fuel rods, 9 of which are loaded with gadolinium to </w:t>
      </w:r>
      <w:r w:rsidR="0049346C">
        <w:rPr>
          <w:rFonts w:eastAsia="Times New Roman" w:cs="Times New Roman"/>
          <w:snapToGrid w:val="0"/>
          <w:szCs w:val="24"/>
        </w:rPr>
        <w:t>hold down reactivity and help control</w:t>
      </w:r>
      <w:r w:rsidR="0049346C" w:rsidRPr="00FD2EFD">
        <w:rPr>
          <w:rFonts w:eastAsia="Times New Roman" w:cs="Times New Roman"/>
          <w:snapToGrid w:val="0"/>
          <w:szCs w:val="24"/>
        </w:rPr>
        <w:t xml:space="preserve"> power peaking. The two large circles in the center of the array represent water holes used for increased moderation. A </w:t>
      </w:r>
      <w:r w:rsidR="00F155F8" w:rsidRPr="00F155F8">
        <w:rPr>
          <w:rFonts w:eastAsia="Times New Roman" w:cs="Times New Roman"/>
          <w:snapToGrid w:val="0"/>
          <w:szCs w:val="24"/>
        </w:rPr>
        <w:t xml:space="preserve">channel box </w:t>
      </w:r>
      <w:r w:rsidR="0049346C" w:rsidRPr="00FD2EFD">
        <w:rPr>
          <w:rFonts w:eastAsia="Times New Roman" w:cs="Times New Roman"/>
          <w:snapToGrid w:val="0"/>
          <w:szCs w:val="24"/>
        </w:rPr>
        <w:t xml:space="preserve">surrounds the </w:t>
      </w:r>
      <w:r w:rsidR="00812D95">
        <w:rPr>
          <w:rFonts w:eastAsia="Times New Roman" w:cs="Times New Roman"/>
          <w:snapToGrid w:val="0"/>
          <w:szCs w:val="24"/>
        </w:rPr>
        <w:t>10 × 10</w:t>
      </w:r>
      <w:r w:rsidR="0049346C" w:rsidRPr="00FD2EFD">
        <w:rPr>
          <w:rFonts w:eastAsia="Times New Roman" w:cs="Times New Roman"/>
          <w:snapToGrid w:val="0"/>
          <w:szCs w:val="24"/>
        </w:rPr>
        <w:t xml:space="preserve"> array and allows for an isolated flow of coolant to that of the adjoining bundles. The temperature of the UO</w:t>
      </w:r>
      <w:r w:rsidR="0049346C" w:rsidRPr="00FD2EFD">
        <w:rPr>
          <w:rFonts w:eastAsia="Times New Roman" w:cs="Times New Roman"/>
          <w:snapToGrid w:val="0"/>
          <w:szCs w:val="24"/>
          <w:vertAlign w:val="subscript"/>
        </w:rPr>
        <w:t>2</w:t>
      </w:r>
      <w:r w:rsidR="0049346C" w:rsidRPr="00FD2EFD">
        <w:rPr>
          <w:rFonts w:eastAsia="Times New Roman" w:cs="Times New Roman"/>
          <w:snapToGrid w:val="0"/>
          <w:szCs w:val="24"/>
        </w:rPr>
        <w:t xml:space="preserve"> pellet was modeled at 950 K while the cladding and coolant was set to </w:t>
      </w:r>
      <w:r w:rsidR="0049346C">
        <w:rPr>
          <w:rFonts w:eastAsia="Times New Roman" w:cs="Times New Roman"/>
          <w:snapToGrid w:val="0"/>
          <w:szCs w:val="24"/>
        </w:rPr>
        <w:t>622</w:t>
      </w:r>
      <w:r w:rsidR="0049346C" w:rsidRPr="00FD2EFD">
        <w:rPr>
          <w:rFonts w:eastAsia="Times New Roman" w:cs="Times New Roman"/>
          <w:snapToGrid w:val="0"/>
          <w:szCs w:val="24"/>
        </w:rPr>
        <w:t xml:space="preserve"> K and 540 K, respectively. For the initial base case, the surrounding coolant was modeled with a 40% void. </w:t>
      </w:r>
      <w:r w:rsidR="00D525D2">
        <w:rPr>
          <w:rFonts w:eastAsia="Times New Roman" w:cs="Times New Roman"/>
          <w:snapToGrid w:val="0"/>
          <w:szCs w:val="24"/>
        </w:rPr>
        <w:t>R</w:t>
      </w:r>
      <w:r w:rsidR="0049346C" w:rsidRPr="00FD2EFD">
        <w:rPr>
          <w:rFonts w:eastAsia="Times New Roman" w:cs="Times New Roman"/>
          <w:snapToGrid w:val="0"/>
          <w:szCs w:val="24"/>
        </w:rPr>
        <w:t>eflective boundary conditions</w:t>
      </w:r>
      <w:r w:rsidR="00D525D2">
        <w:rPr>
          <w:rFonts w:eastAsia="Times New Roman" w:cs="Times New Roman"/>
          <w:snapToGrid w:val="0"/>
          <w:szCs w:val="24"/>
        </w:rPr>
        <w:t xml:space="preserve"> were modeled around the lattice</w:t>
      </w:r>
      <w:r w:rsidR="0049346C" w:rsidRPr="00FD2EFD">
        <w:rPr>
          <w:rFonts w:eastAsia="Times New Roman" w:cs="Times New Roman"/>
          <w:snapToGrid w:val="0"/>
          <w:szCs w:val="24"/>
        </w:rPr>
        <w:t xml:space="preserve">, essentially simulating an infinite array of fuel bundles. </w:t>
      </w:r>
    </w:p>
    <w:p w14:paraId="7C6BA249" w14:textId="77777777" w:rsidR="0049346C" w:rsidRPr="00FD2EFD" w:rsidRDefault="0049346C" w:rsidP="0091793B">
      <w:pPr>
        <w:widowControl w:val="0"/>
        <w:spacing w:before="240" w:after="0" w:line="360" w:lineRule="auto"/>
        <w:jc w:val="both"/>
        <w:rPr>
          <w:rFonts w:eastAsia="Times New Roman" w:cs="Times New Roman"/>
          <w:snapToGrid w:val="0"/>
          <w:szCs w:val="24"/>
        </w:rPr>
      </w:pPr>
      <w:r w:rsidRPr="00FD2EFD">
        <w:rPr>
          <w:rFonts w:eastAsia="Times New Roman" w:cs="Times New Roman"/>
          <w:snapToGrid w:val="0"/>
          <w:szCs w:val="24"/>
        </w:rPr>
        <w:t xml:space="preserve">Initially, Zircaloy was modeled in the cladding and </w:t>
      </w:r>
      <w:r w:rsidR="00F155F8" w:rsidRPr="00F155F8">
        <w:rPr>
          <w:rFonts w:eastAsia="Times New Roman" w:cs="Times New Roman"/>
          <w:snapToGrid w:val="0"/>
          <w:szCs w:val="24"/>
        </w:rPr>
        <w:t>channel box</w:t>
      </w:r>
      <w:r w:rsidRPr="00FD2EFD">
        <w:rPr>
          <w:rFonts w:eastAsia="Times New Roman" w:cs="Times New Roman"/>
          <w:snapToGrid w:val="0"/>
          <w:szCs w:val="24"/>
        </w:rPr>
        <w:t xml:space="preserve"> in order to establish a base case. Next, all forms of Zircaloy were replaced with </w:t>
      </w:r>
      <w:r>
        <w:rPr>
          <w:rFonts w:eastAsia="Times New Roman" w:cs="Times New Roman"/>
          <w:snapToGrid w:val="0"/>
          <w:szCs w:val="24"/>
        </w:rPr>
        <w:t xml:space="preserve">the </w:t>
      </w:r>
      <w:r w:rsidRPr="00FD2EFD">
        <w:rPr>
          <w:rFonts w:eastAsia="Times New Roman" w:cs="Times New Roman"/>
          <w:snapToGrid w:val="0"/>
          <w:szCs w:val="24"/>
        </w:rPr>
        <w:t xml:space="preserve">less oxidizing FeCrAl to assess the neutronic penalty. The base case cladding and </w:t>
      </w:r>
      <w:r w:rsidR="00F155F8" w:rsidRPr="00F155F8">
        <w:rPr>
          <w:rFonts w:eastAsia="Times New Roman" w:cs="Times New Roman"/>
          <w:snapToGrid w:val="0"/>
          <w:szCs w:val="24"/>
        </w:rPr>
        <w:t>channel box</w:t>
      </w:r>
      <w:r w:rsidRPr="00FD2EFD">
        <w:rPr>
          <w:rFonts w:eastAsia="Times New Roman" w:cs="Times New Roman"/>
          <w:snapToGrid w:val="0"/>
          <w:szCs w:val="24"/>
        </w:rPr>
        <w:t xml:space="preserve"> thickness for the Zircaloy model was set to 600 and 1600 μm, respectively. When replacing Zircaloy with the higher absorbing FeCrAl, the cladding and </w:t>
      </w:r>
      <w:r w:rsidR="00F155F8" w:rsidRPr="00F155F8">
        <w:rPr>
          <w:rFonts w:eastAsia="Times New Roman" w:cs="Times New Roman"/>
          <w:snapToGrid w:val="0"/>
          <w:szCs w:val="24"/>
        </w:rPr>
        <w:t>channel box</w:t>
      </w:r>
      <w:r w:rsidRPr="00FD2EFD">
        <w:rPr>
          <w:rFonts w:eastAsia="Times New Roman" w:cs="Times New Roman"/>
          <w:snapToGrid w:val="0"/>
          <w:szCs w:val="24"/>
        </w:rPr>
        <w:t xml:space="preserve"> thickness was redu</w:t>
      </w:r>
      <w:r>
        <w:rPr>
          <w:rFonts w:eastAsia="Times New Roman" w:cs="Times New Roman"/>
          <w:snapToGrid w:val="0"/>
          <w:szCs w:val="24"/>
        </w:rPr>
        <w:t xml:space="preserve">ced </w:t>
      </w:r>
      <w:r w:rsidRPr="00FD2EFD">
        <w:rPr>
          <w:rFonts w:eastAsia="Times New Roman" w:cs="Times New Roman"/>
          <w:snapToGrid w:val="0"/>
          <w:szCs w:val="24"/>
        </w:rPr>
        <w:t xml:space="preserve">in order to decrease absorption events and increase the heavy metal loading within each fuel pin. </w:t>
      </w:r>
    </w:p>
    <w:p w14:paraId="483DC567" w14:textId="77777777" w:rsidR="00215F37" w:rsidRDefault="009C2534" w:rsidP="007166EC">
      <w:pPr>
        <w:widowControl w:val="0"/>
        <w:spacing w:before="240" w:line="360" w:lineRule="auto"/>
        <w:jc w:val="both"/>
        <w:rPr>
          <w:rFonts w:eastAsia="Times New Roman" w:cs="Times New Roman"/>
          <w:snapToGrid w:val="0"/>
          <w:szCs w:val="24"/>
        </w:rPr>
      </w:pPr>
      <w:r>
        <w:rPr>
          <w:rFonts w:eastAsia="Times New Roman" w:cs="Times New Roman"/>
          <w:snapToGrid w:val="0"/>
          <w:szCs w:val="24"/>
        </w:rPr>
        <w:t xml:space="preserve">In addition to the Zircaloy and FeCrAl </w:t>
      </w:r>
      <w:r w:rsidR="00157282">
        <w:rPr>
          <w:rFonts w:eastAsia="Times New Roman" w:cs="Times New Roman"/>
          <w:snapToGrid w:val="0"/>
          <w:szCs w:val="24"/>
        </w:rPr>
        <w:t>fuel bundles</w:t>
      </w:r>
      <w:r>
        <w:rPr>
          <w:rFonts w:eastAsia="Times New Roman" w:cs="Times New Roman"/>
          <w:snapToGrid w:val="0"/>
          <w:szCs w:val="24"/>
        </w:rPr>
        <w:t>, a hybrid bundle was modeled with a SiC</w:t>
      </w:r>
      <w:r w:rsidR="00157282">
        <w:rPr>
          <w:rFonts w:eastAsia="Times New Roman" w:cs="Times New Roman"/>
          <w:snapToGrid w:val="0"/>
          <w:szCs w:val="24"/>
        </w:rPr>
        <w:t xml:space="preserve">/Ni/Cr </w:t>
      </w:r>
      <w:r w:rsidR="00F155F8" w:rsidRPr="00F155F8">
        <w:rPr>
          <w:rFonts w:eastAsia="Times New Roman" w:cs="Times New Roman"/>
          <w:snapToGrid w:val="0"/>
          <w:szCs w:val="24"/>
        </w:rPr>
        <w:t>channel box</w:t>
      </w:r>
      <w:r w:rsidR="00157282">
        <w:rPr>
          <w:rFonts w:eastAsia="Times New Roman" w:cs="Times New Roman"/>
          <w:snapToGrid w:val="0"/>
          <w:szCs w:val="24"/>
        </w:rPr>
        <w:t xml:space="preserve"> </w:t>
      </w:r>
      <w:r>
        <w:rPr>
          <w:rFonts w:eastAsia="Times New Roman" w:cs="Times New Roman"/>
          <w:snapToGrid w:val="0"/>
          <w:szCs w:val="24"/>
        </w:rPr>
        <w:t xml:space="preserve">and FeCrAl cladded fuel pins. Figure </w:t>
      </w:r>
      <w:r w:rsidR="001F035F">
        <w:rPr>
          <w:rFonts w:eastAsia="Times New Roman" w:cs="Times New Roman"/>
          <w:snapToGrid w:val="0"/>
          <w:szCs w:val="24"/>
        </w:rPr>
        <w:t>15</w:t>
      </w:r>
      <w:r>
        <w:rPr>
          <w:rFonts w:eastAsia="Times New Roman" w:cs="Times New Roman"/>
          <w:snapToGrid w:val="0"/>
          <w:szCs w:val="24"/>
        </w:rPr>
        <w:t xml:space="preserve"> presents a </w:t>
      </w:r>
      <w:r w:rsidR="00157282">
        <w:rPr>
          <w:rFonts w:eastAsia="Times New Roman" w:cs="Times New Roman"/>
          <w:snapToGrid w:val="0"/>
          <w:szCs w:val="24"/>
        </w:rPr>
        <w:t xml:space="preserve">portion of the </w:t>
      </w:r>
      <w:r w:rsidR="00B1159E">
        <w:rPr>
          <w:rFonts w:eastAsia="Times New Roman" w:cs="Times New Roman"/>
          <w:snapToGrid w:val="0"/>
          <w:szCs w:val="24"/>
        </w:rPr>
        <w:t>lattice displaying</w:t>
      </w:r>
      <w:r w:rsidR="00157282">
        <w:rPr>
          <w:rFonts w:eastAsia="Times New Roman" w:cs="Times New Roman"/>
          <w:snapToGrid w:val="0"/>
          <w:szCs w:val="24"/>
        </w:rPr>
        <w:t xml:space="preserve"> the thickness of each </w:t>
      </w:r>
      <w:r w:rsidR="00F155F8" w:rsidRPr="00F155F8">
        <w:rPr>
          <w:rFonts w:eastAsia="Times New Roman" w:cs="Times New Roman"/>
          <w:snapToGrid w:val="0"/>
          <w:szCs w:val="24"/>
        </w:rPr>
        <w:t>channel box</w:t>
      </w:r>
      <w:r w:rsidR="00157282">
        <w:rPr>
          <w:rFonts w:eastAsia="Times New Roman" w:cs="Times New Roman"/>
          <w:snapToGrid w:val="0"/>
          <w:szCs w:val="24"/>
        </w:rPr>
        <w:t xml:space="preserve"> layer. For this design, the </w:t>
      </w:r>
      <w:r w:rsidR="00B1159E">
        <w:rPr>
          <w:rFonts w:eastAsia="Times New Roman" w:cs="Times New Roman"/>
          <w:snapToGrid w:val="0"/>
          <w:szCs w:val="24"/>
        </w:rPr>
        <w:t xml:space="preserve">cladding </w:t>
      </w:r>
      <w:r w:rsidR="00157282">
        <w:rPr>
          <w:rFonts w:eastAsia="Times New Roman" w:cs="Times New Roman"/>
          <w:snapToGrid w:val="0"/>
          <w:szCs w:val="24"/>
        </w:rPr>
        <w:t xml:space="preserve">thickness of FeCrAl was set to 300 μm, while the SiC layer of the </w:t>
      </w:r>
      <w:r w:rsidR="00F155F8" w:rsidRPr="00F155F8">
        <w:rPr>
          <w:rFonts w:eastAsia="Times New Roman" w:cs="Times New Roman"/>
          <w:snapToGrid w:val="0"/>
          <w:szCs w:val="24"/>
        </w:rPr>
        <w:t>channel box</w:t>
      </w:r>
      <w:r w:rsidR="00157282">
        <w:rPr>
          <w:rFonts w:eastAsia="Times New Roman" w:cs="Times New Roman"/>
          <w:snapToGrid w:val="0"/>
          <w:szCs w:val="24"/>
        </w:rPr>
        <w:t xml:space="preserve"> was kept at the base case thickness of 1600 μm. </w:t>
      </w:r>
    </w:p>
    <w:p w14:paraId="741A2BB8" w14:textId="2AC1F58F" w:rsidR="007166EC" w:rsidRPr="00247E8F" w:rsidRDefault="007166EC" w:rsidP="007166EC">
      <w:pPr>
        <w:spacing w:line="360" w:lineRule="auto"/>
        <w:jc w:val="left"/>
        <w:rPr>
          <w:rFonts w:eastAsia="Times New Roman" w:cs="Times New Roman"/>
          <w:snapToGrid w:val="0"/>
          <w:szCs w:val="24"/>
        </w:rPr>
      </w:pPr>
      <w:r>
        <w:rPr>
          <w:rFonts w:eastAsia="Times New Roman" w:cs="Times New Roman"/>
          <w:snapToGrid w:val="0"/>
          <w:szCs w:val="24"/>
        </w:rPr>
        <w:t xml:space="preserve">The fuel design </w:t>
      </w:r>
      <w:r w:rsidR="007B5623">
        <w:rPr>
          <w:rFonts w:eastAsia="Times New Roman" w:cs="Times New Roman"/>
          <w:snapToGrid w:val="0"/>
          <w:szCs w:val="24"/>
        </w:rPr>
        <w:t>shown in Figure 15</w:t>
      </w:r>
      <w:r>
        <w:rPr>
          <w:rFonts w:eastAsia="Times New Roman" w:cs="Times New Roman"/>
          <w:snapToGrid w:val="0"/>
          <w:szCs w:val="24"/>
        </w:rPr>
        <w:t xml:space="preserve"> was modeled in CASMO by homogenizing the </w:t>
      </w:r>
      <w:r w:rsidRPr="00F155F8">
        <w:rPr>
          <w:rFonts w:eastAsia="Times New Roman" w:cs="Times New Roman"/>
          <w:snapToGrid w:val="0"/>
          <w:szCs w:val="24"/>
        </w:rPr>
        <w:t>channel box</w:t>
      </w:r>
      <w:r>
        <w:rPr>
          <w:rFonts w:eastAsia="Times New Roman" w:cs="Times New Roman"/>
          <w:snapToGrid w:val="0"/>
          <w:szCs w:val="24"/>
        </w:rPr>
        <w:t xml:space="preserve"> layers. Conserving the mass of each layer, the SiC, Ni and Cr densities were smeared into one composition surrounding the 10 × 10 array of UO</w:t>
      </w:r>
      <w:r>
        <w:rPr>
          <w:rFonts w:eastAsia="Times New Roman" w:cs="Times New Roman"/>
          <w:snapToGrid w:val="0"/>
          <w:szCs w:val="24"/>
          <w:vertAlign w:val="subscript"/>
        </w:rPr>
        <w:t>2</w:t>
      </w:r>
      <w:r>
        <w:rPr>
          <w:rFonts w:eastAsia="Times New Roman" w:cs="Times New Roman"/>
          <w:snapToGrid w:val="0"/>
          <w:szCs w:val="24"/>
        </w:rPr>
        <w:t xml:space="preserve">/FeCrAl fuel pins. This was permissible as the mean free path of a thermal neutron is significantly less than the thicknesses of the Ni and Cr layers. </w:t>
      </w:r>
    </w:p>
    <w:p w14:paraId="04CAD611" w14:textId="77777777" w:rsidR="005D1B36" w:rsidRPr="009C2534" w:rsidRDefault="005D1B36" w:rsidP="0091793B">
      <w:pPr>
        <w:widowControl w:val="0"/>
        <w:spacing w:before="240" w:after="0" w:line="360" w:lineRule="auto"/>
        <w:jc w:val="both"/>
        <w:rPr>
          <w:rFonts w:eastAsia="Times New Roman" w:cs="Times New Roman"/>
          <w:snapToGrid w:val="0"/>
          <w:szCs w:val="24"/>
        </w:rPr>
      </w:pPr>
    </w:p>
    <w:p w14:paraId="7482EEE3" w14:textId="77777777" w:rsidR="00247E8F" w:rsidRDefault="00B16090" w:rsidP="0091793B">
      <w:pPr>
        <w:widowControl w:val="0"/>
        <w:spacing w:before="240" w:after="0" w:line="360" w:lineRule="auto"/>
        <w:rPr>
          <w:rFonts w:eastAsia="Times New Roman" w:cs="Times New Roman"/>
          <w:b/>
          <w:snapToGrid w:val="0"/>
          <w:sz w:val="28"/>
          <w:szCs w:val="24"/>
        </w:rPr>
      </w:pPr>
      <w:r w:rsidRPr="00B16090">
        <w:rPr>
          <w:rFonts w:eastAsia="Times New Roman" w:cs="Times New Roman"/>
          <w:b/>
          <w:noProof/>
          <w:snapToGrid w:val="0"/>
          <w:sz w:val="28"/>
          <w:szCs w:val="24"/>
        </w:rPr>
        <w:lastRenderedPageBreak/>
        <w:drawing>
          <wp:inline distT="0" distB="0" distL="0" distR="0" wp14:anchorId="5F5157F4" wp14:editId="4EA81570">
            <wp:extent cx="3676650" cy="3238500"/>
            <wp:effectExtent l="0" t="0" r="0" b="0"/>
            <wp:docPr id="718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2"/>
                    <pic:cNvPicPr>
                      <a:picLocks noChangeAspect="1" noChangeArrowheads="1"/>
                    </pic:cNvPicPr>
                  </pic:nvPicPr>
                  <pic:blipFill rotWithShape="1">
                    <a:blip r:embed="rId28">
                      <a:extLst>
                        <a:ext uri="{28A0092B-C50C-407E-A947-70E740481C1C}">
                          <a14:useLocalDpi xmlns:a14="http://schemas.microsoft.com/office/drawing/2010/main" val="0"/>
                        </a:ext>
                      </a:extLst>
                    </a:blip>
                    <a:srcRect l="43485" t="22396" r="28258" b="33333"/>
                    <a:stretch/>
                  </pic:blipFill>
                  <pic:spPr bwMode="auto">
                    <a:xfrm>
                      <a:off x="0" y="0"/>
                      <a:ext cx="3676650" cy="3238500"/>
                    </a:xfrm>
                    <a:prstGeom prst="rect">
                      <a:avLst/>
                    </a:prstGeom>
                    <a:noFill/>
                    <a:ln>
                      <a:noFill/>
                    </a:ln>
                    <a:extLst>
                      <a:ext uri="{909E8E84-426E-40DD-AFC4-6F175D3DCCD1}">
                        <a14:hiddenFill xmlns:a14="http://schemas.microsoft.com/office/drawing/2010/main">
                          <a:solidFill>
                            <a:schemeClr val="accent1"/>
                          </a:solidFill>
                        </a14:hiddenFill>
                      </a:ext>
                      <a:ext uri="{91240B29-F687-4F45-9708-019B960494DF}">
                        <a14:hiddenLine xmlns:a14="http://schemas.microsoft.com/office/drawing/2010/main" w="9525">
                          <a:solidFill>
                            <a:schemeClr val="tx1"/>
                          </a:solidFill>
                          <a:miter lim="800000"/>
                          <a:headEnd/>
                          <a:tailEnd/>
                        </a14:hiddenLine>
                      </a:ext>
                    </a:extLst>
                  </pic:spPr>
                </pic:pic>
              </a:graphicData>
            </a:graphic>
          </wp:inline>
        </w:drawing>
      </w:r>
    </w:p>
    <w:p w14:paraId="5E137AD1" w14:textId="77777777" w:rsidR="00247E8F" w:rsidRDefault="00247E8F" w:rsidP="0091793B">
      <w:pPr>
        <w:spacing w:line="360" w:lineRule="auto"/>
      </w:pPr>
      <w:bookmarkStart w:id="20" w:name="_Toc416993454"/>
      <w:r>
        <w:t xml:space="preserve">Figure </w:t>
      </w:r>
      <w:fldSimple w:instr=" SEQ Figure \* ARABIC ">
        <w:r w:rsidR="00F3244B">
          <w:rPr>
            <w:noProof/>
          </w:rPr>
          <w:t>15</w:t>
        </w:r>
      </w:fldSimple>
      <w:r>
        <w:t xml:space="preserve">: Hybrid SiC </w:t>
      </w:r>
      <w:r w:rsidR="00F155F8" w:rsidRPr="00F155F8">
        <w:t>channel box</w:t>
      </w:r>
      <w:r>
        <w:t xml:space="preserve"> design</w:t>
      </w:r>
      <w:bookmarkEnd w:id="20"/>
    </w:p>
    <w:p w14:paraId="2C5B839C" w14:textId="77777777" w:rsidR="005D1B36" w:rsidRDefault="005D1B36" w:rsidP="0091793B">
      <w:pPr>
        <w:spacing w:line="360" w:lineRule="auto"/>
        <w:rPr>
          <w:rFonts w:eastAsia="Times New Roman" w:cs="Times New Roman"/>
          <w:b/>
          <w:snapToGrid w:val="0"/>
          <w:sz w:val="28"/>
          <w:szCs w:val="24"/>
        </w:rPr>
      </w:pPr>
    </w:p>
    <w:p w14:paraId="7834433C" w14:textId="2E0629C0" w:rsidR="00A83B3B" w:rsidRDefault="009E18F2" w:rsidP="00A83B3B">
      <w:pPr>
        <w:widowControl w:val="0"/>
        <w:spacing w:before="240" w:after="0" w:line="360" w:lineRule="auto"/>
        <w:contextualSpacing/>
        <w:jc w:val="both"/>
        <w:rPr>
          <w:rFonts w:eastAsia="Times New Roman" w:cs="Times New Roman"/>
          <w:b/>
          <w:snapToGrid w:val="0"/>
          <w:sz w:val="28"/>
          <w:szCs w:val="24"/>
        </w:rPr>
      </w:pPr>
      <w:r>
        <w:rPr>
          <w:rFonts w:eastAsia="Times New Roman" w:cs="Times New Roman"/>
          <w:b/>
          <w:snapToGrid w:val="0"/>
          <w:sz w:val="28"/>
          <w:szCs w:val="24"/>
        </w:rPr>
        <w:br/>
      </w:r>
      <w:r w:rsidR="00A83B3B" w:rsidRPr="00AF6B03">
        <w:rPr>
          <w:rFonts w:eastAsia="Times New Roman" w:cs="Times New Roman"/>
          <w:b/>
          <w:snapToGrid w:val="0"/>
          <w:sz w:val="28"/>
          <w:szCs w:val="24"/>
        </w:rPr>
        <w:t>I</w:t>
      </w:r>
      <w:r w:rsidR="00A83B3B">
        <w:rPr>
          <w:rFonts w:eastAsia="Times New Roman" w:cs="Times New Roman"/>
          <w:b/>
          <w:snapToGrid w:val="0"/>
          <w:sz w:val="28"/>
          <w:szCs w:val="24"/>
        </w:rPr>
        <w:t>V</w:t>
      </w:r>
      <w:r w:rsidR="00A83B3B" w:rsidRPr="00AF6B03">
        <w:rPr>
          <w:rFonts w:eastAsia="Times New Roman" w:cs="Times New Roman"/>
          <w:b/>
          <w:snapToGrid w:val="0"/>
          <w:sz w:val="28"/>
          <w:szCs w:val="24"/>
        </w:rPr>
        <w:t>.</w:t>
      </w:r>
      <w:r w:rsidR="00A83B3B">
        <w:rPr>
          <w:rFonts w:eastAsia="Times New Roman" w:cs="Times New Roman"/>
          <w:b/>
          <w:snapToGrid w:val="0"/>
          <w:sz w:val="28"/>
          <w:szCs w:val="24"/>
        </w:rPr>
        <w:t xml:space="preserve">B. </w:t>
      </w:r>
      <w:r w:rsidR="001D553C">
        <w:rPr>
          <w:rFonts w:eastAsia="Times New Roman" w:cs="Times New Roman"/>
          <w:b/>
          <w:snapToGrid w:val="0"/>
          <w:sz w:val="28"/>
          <w:szCs w:val="24"/>
        </w:rPr>
        <w:tab/>
      </w:r>
      <w:r w:rsidR="001D553C">
        <w:rPr>
          <w:rFonts w:eastAsia="Times New Roman" w:cs="Times New Roman"/>
          <w:b/>
          <w:snapToGrid w:val="0"/>
          <w:sz w:val="28"/>
          <w:szCs w:val="24"/>
        </w:rPr>
        <w:tab/>
      </w:r>
      <w:r w:rsidR="00A83B3B" w:rsidRPr="00AF6B03">
        <w:rPr>
          <w:rFonts w:eastAsia="Times New Roman" w:cs="Times New Roman"/>
          <w:b/>
          <w:snapToGrid w:val="0"/>
          <w:sz w:val="28"/>
          <w:szCs w:val="24"/>
        </w:rPr>
        <w:t xml:space="preserve">End </w:t>
      </w:r>
      <w:r w:rsidR="00A83B3B">
        <w:rPr>
          <w:rFonts w:eastAsia="Times New Roman" w:cs="Times New Roman"/>
          <w:b/>
          <w:snapToGrid w:val="0"/>
          <w:sz w:val="28"/>
          <w:szCs w:val="24"/>
        </w:rPr>
        <w:t>of Cycle Reactivity Calculations</w:t>
      </w:r>
    </w:p>
    <w:p w14:paraId="0804403F" w14:textId="7F5EAE76" w:rsidR="0049346C" w:rsidRPr="00A83B3B" w:rsidRDefault="00A83B3B" w:rsidP="00A83B3B">
      <w:pPr>
        <w:widowControl w:val="0"/>
        <w:spacing w:before="240" w:after="0" w:line="360" w:lineRule="auto"/>
        <w:jc w:val="both"/>
        <w:rPr>
          <w:rFonts w:eastAsia="Times New Roman" w:cs="Times New Roman"/>
          <w:snapToGrid w:val="0"/>
          <w:szCs w:val="24"/>
        </w:rPr>
      </w:pPr>
      <w:r>
        <w:rPr>
          <w:rFonts w:eastAsia="Times New Roman" w:cs="Times New Roman"/>
          <w:snapToGrid w:val="0"/>
          <w:szCs w:val="24"/>
        </w:rPr>
        <w:t>A</w:t>
      </w:r>
      <w:r w:rsidR="00A435B9">
        <w:rPr>
          <w:rFonts w:eastAsia="Times New Roman" w:cs="Times New Roman"/>
          <w:snapToGrid w:val="0"/>
          <w:szCs w:val="24"/>
        </w:rPr>
        <w:t xml:space="preserve"> me</w:t>
      </w:r>
      <w:r w:rsidR="00272DFD">
        <w:rPr>
          <w:rFonts w:eastAsia="Times New Roman" w:cs="Times New Roman"/>
          <w:snapToGrid w:val="0"/>
          <w:szCs w:val="24"/>
        </w:rPr>
        <w:t>thodology was established for BWR systems similar to t</w:t>
      </w:r>
      <w:r w:rsidR="00DF3D70">
        <w:rPr>
          <w:rFonts w:eastAsia="Times New Roman" w:cs="Times New Roman"/>
          <w:snapToGrid w:val="0"/>
          <w:szCs w:val="24"/>
        </w:rPr>
        <w:t xml:space="preserve">hat of the PWR reactivity method </w:t>
      </w:r>
      <w:r w:rsidR="00DF3D70">
        <w:rPr>
          <w:rFonts w:eastAsia="Times New Roman" w:cs="Times New Roman"/>
          <w:snapToGrid w:val="0"/>
          <w:szCs w:val="24"/>
        </w:rPr>
        <w:fldChar w:fldCharType="begin"/>
      </w:r>
      <w:r w:rsidR="00DF3D70">
        <w:rPr>
          <w:rFonts w:eastAsia="Times New Roman" w:cs="Times New Roman"/>
          <w:snapToGrid w:val="0"/>
          <w:szCs w:val="24"/>
        </w:rPr>
        <w:instrText xml:space="preserve"> ADDIN EN.CITE &lt;EndNote&gt;&lt;Cite&gt;&lt;Author&gt;George&lt;/Author&gt;&lt;Year&gt;2015&lt;/Year&gt;&lt;RecNum&gt;90&lt;/RecNum&gt;&lt;DisplayText&gt;[17]&lt;/DisplayText&gt;&lt;record&gt;&lt;rec-number&gt;90&lt;/rec-number&gt;&lt;foreign-keys&gt;&lt;key app="EN" db-id="trfxzx057wwv0qe0vz1vttttwf0522tvtwpt" timestamp="1422294244"&gt;90&lt;/key&gt;&lt;/foreign-keys&gt;&lt;ref-type name="Journal Article"&gt;17&lt;/ref-type&gt;&lt;contributors&gt;&lt;authors&gt;&lt;author&gt;George, Nathan Michael&lt;/author&gt;&lt;author&gt;Terrani, Kurt&lt;/author&gt;&lt;author&gt;Powers, Jeff&lt;/author&gt;&lt;author&gt;Worrall, Andrew&lt;/author&gt;&lt;author&gt;Maldonado, Ivan&lt;/author&gt;&lt;/authors&gt;&lt;/contributors&gt;&lt;titles&gt;&lt;title&gt;Neutronic analysis of candidate accident-tolerant cladding concepts in pressurized water reactors&lt;/title&gt;&lt;secondary-title&gt;Annals of Nuclear Energy&lt;/secondary-title&gt;&lt;/titles&gt;&lt;periodical&gt;&lt;full-title&gt;Annals of Nuclear Energy&lt;/full-title&gt;&lt;/periodical&gt;&lt;pages&gt;703-712&lt;/pages&gt;&lt;volume&gt;75&lt;/volume&gt;&lt;dates&gt;&lt;year&gt;2015&lt;/year&gt;&lt;/dates&gt;&lt;isbn&gt;0306-4549&lt;/isbn&gt;&lt;urls&gt;&lt;/urls&gt;&lt;/record&gt;&lt;/Cite&gt;&lt;/EndNote&gt;</w:instrText>
      </w:r>
      <w:r w:rsidR="00DF3D70">
        <w:rPr>
          <w:rFonts w:eastAsia="Times New Roman" w:cs="Times New Roman"/>
          <w:snapToGrid w:val="0"/>
          <w:szCs w:val="24"/>
        </w:rPr>
        <w:fldChar w:fldCharType="separate"/>
      </w:r>
      <w:r w:rsidR="00DF3D70">
        <w:rPr>
          <w:rFonts w:eastAsia="Times New Roman" w:cs="Times New Roman"/>
          <w:noProof/>
          <w:snapToGrid w:val="0"/>
          <w:szCs w:val="24"/>
        </w:rPr>
        <w:t>[</w:t>
      </w:r>
      <w:hyperlink w:anchor="_ENREF_17" w:tooltip="George, 2015 #90" w:history="1">
        <w:r w:rsidR="00DF20CB">
          <w:rPr>
            <w:rFonts w:eastAsia="Times New Roman" w:cs="Times New Roman"/>
            <w:noProof/>
            <w:snapToGrid w:val="0"/>
            <w:szCs w:val="24"/>
          </w:rPr>
          <w:t>17</w:t>
        </w:r>
      </w:hyperlink>
      <w:r w:rsidR="00DF3D70">
        <w:rPr>
          <w:rFonts w:eastAsia="Times New Roman" w:cs="Times New Roman"/>
          <w:noProof/>
          <w:snapToGrid w:val="0"/>
          <w:szCs w:val="24"/>
        </w:rPr>
        <w:t>]</w:t>
      </w:r>
      <w:r w:rsidR="00DF3D70">
        <w:rPr>
          <w:rFonts w:eastAsia="Times New Roman" w:cs="Times New Roman"/>
          <w:snapToGrid w:val="0"/>
          <w:szCs w:val="24"/>
        </w:rPr>
        <w:fldChar w:fldCharType="end"/>
      </w:r>
      <w:r w:rsidR="00A435B9">
        <w:rPr>
          <w:rFonts w:eastAsia="Times New Roman" w:cs="Times New Roman"/>
          <w:snapToGrid w:val="0"/>
          <w:szCs w:val="24"/>
        </w:rPr>
        <w:t>. Due to all of the standard heterogeneities found in a BWR</w:t>
      </w:r>
      <w:r w:rsidR="00FA454E">
        <w:rPr>
          <w:rFonts w:eastAsia="Times New Roman" w:cs="Times New Roman"/>
          <w:snapToGrid w:val="0"/>
          <w:szCs w:val="24"/>
        </w:rPr>
        <w:t xml:space="preserve">, it was important that modern commercialized assemblies were used. </w:t>
      </w:r>
      <w:r w:rsidR="003E7E01">
        <w:rPr>
          <w:szCs w:val="24"/>
        </w:rPr>
        <w:t>R</w:t>
      </w:r>
      <w:r w:rsidR="003E7E01" w:rsidRPr="00FD2EFD">
        <w:rPr>
          <w:rFonts w:eastAsia="Times New Roman" w:cs="Times New Roman"/>
          <w:snapToGrid w:val="0"/>
          <w:szCs w:val="24"/>
        </w:rPr>
        <w:t xml:space="preserve">epresentative enrichment and gadolinium layouts </w:t>
      </w:r>
      <w:r w:rsidR="003E7E01">
        <w:rPr>
          <w:rFonts w:eastAsia="Times New Roman" w:cs="Times New Roman"/>
          <w:snapToGrid w:val="0"/>
          <w:szCs w:val="24"/>
        </w:rPr>
        <w:t xml:space="preserve">for GE </w:t>
      </w:r>
      <w:r w:rsidR="00DC0A3C">
        <w:rPr>
          <w:rFonts w:eastAsia="Times New Roman" w:cs="Times New Roman"/>
          <w:snapToGrid w:val="0"/>
          <w:szCs w:val="24"/>
        </w:rPr>
        <w:t>10 × 10</w:t>
      </w:r>
      <w:r w:rsidR="003E7E01">
        <w:rPr>
          <w:rFonts w:eastAsia="Times New Roman" w:cs="Times New Roman"/>
          <w:snapToGrid w:val="0"/>
          <w:szCs w:val="24"/>
        </w:rPr>
        <w:t xml:space="preserve"> bundles </w:t>
      </w:r>
      <w:r w:rsidR="003E7E01" w:rsidRPr="00FD2EFD">
        <w:rPr>
          <w:rFonts w:eastAsia="Times New Roman" w:cs="Times New Roman"/>
          <w:snapToGrid w:val="0"/>
          <w:szCs w:val="24"/>
        </w:rPr>
        <w:t xml:space="preserve">were </w:t>
      </w:r>
      <w:r w:rsidR="003E7E01">
        <w:rPr>
          <w:rFonts w:eastAsia="Times New Roman" w:cs="Times New Roman"/>
          <w:snapToGrid w:val="0"/>
          <w:szCs w:val="24"/>
        </w:rPr>
        <w:t>developed on the basis of</w:t>
      </w:r>
      <w:r w:rsidR="003E7E01" w:rsidRPr="00FD2EFD">
        <w:rPr>
          <w:rFonts w:eastAsia="Times New Roman" w:cs="Times New Roman"/>
          <w:snapToGrid w:val="0"/>
          <w:szCs w:val="24"/>
        </w:rPr>
        <w:t xml:space="preserve"> a report </w:t>
      </w:r>
      <w:r w:rsidR="003E7E01">
        <w:rPr>
          <w:rFonts w:eastAsia="Times New Roman" w:cs="Times New Roman"/>
          <w:snapToGrid w:val="0"/>
          <w:szCs w:val="24"/>
        </w:rPr>
        <w:t>published</w:t>
      </w:r>
      <w:r w:rsidR="003E7E01" w:rsidRPr="00FD2EFD">
        <w:rPr>
          <w:rFonts w:eastAsia="Times New Roman" w:cs="Times New Roman"/>
          <w:snapToGrid w:val="0"/>
          <w:szCs w:val="24"/>
        </w:rPr>
        <w:t xml:space="preserve"> by Michael Fensin</w:t>
      </w:r>
      <w:r w:rsidR="003E7E01">
        <w:rPr>
          <w:rFonts w:eastAsia="Times New Roman" w:cs="Times New Roman"/>
          <w:snapToGrid w:val="0"/>
          <w:szCs w:val="24"/>
        </w:rPr>
        <w:t xml:space="preserve"> </w:t>
      </w:r>
      <w:r w:rsidR="00D00A8B">
        <w:rPr>
          <w:rFonts w:eastAsia="Times New Roman" w:cs="Times New Roman"/>
          <w:snapToGrid w:val="0"/>
          <w:szCs w:val="24"/>
        </w:rPr>
        <w:fldChar w:fldCharType="begin"/>
      </w:r>
      <w:r w:rsidR="00817846">
        <w:rPr>
          <w:rFonts w:eastAsia="Times New Roman" w:cs="Times New Roman"/>
          <w:snapToGrid w:val="0"/>
          <w:szCs w:val="24"/>
        </w:rPr>
        <w:instrText xml:space="preserve"> ADDIN EN.CITE &lt;EndNote&gt;&lt;Cite&gt;&lt;Author&gt;Fensin&lt;/Author&gt;&lt;Year&gt;2004&lt;/Year&gt;&lt;RecNum&gt;41&lt;/RecNum&gt;&lt;DisplayText&gt;[45]&lt;/DisplayText&gt;&lt;record&gt;&lt;rec-number&gt;41&lt;/rec-number&gt;&lt;foreign-keys&gt;&lt;key app="EN" db-id="trfxzx057wwv0qe0vz1vttttwf0522tvtwpt" timestamp="1422126103"&gt;41&lt;/key&gt;&lt;/foreign-keys&gt;&lt;ref-type name="Thesis"&gt;32&lt;/ref-type&gt;&lt;contributors&gt;&lt;authors&gt;&lt;author&gt;Fensin, Michael Lorne&lt;/author&gt;&lt;/authors&gt;&lt;/contributors&gt;&lt;titles&gt;&lt;title&gt;Optimum Boiling Water Reactor Fuel Design Strategies to Enhance Reactor Shutdown by the Standby Liquid Control System&lt;/title&gt;&lt;/titles&gt;&lt;volume&gt;M.S.&lt;/volume&gt;&lt;dates&gt;&lt;year&gt;2004&lt;/year&gt;&lt;/dates&gt;&lt;publisher&gt;M.S. Thesis, University of Florida&lt;/publisher&gt;&lt;urls&gt;&lt;/urls&gt;&lt;/record&gt;&lt;/Cite&gt;&lt;/EndNote&gt;</w:instrText>
      </w:r>
      <w:r w:rsidR="00D00A8B">
        <w:rPr>
          <w:rFonts w:eastAsia="Times New Roman" w:cs="Times New Roman"/>
          <w:snapToGrid w:val="0"/>
          <w:szCs w:val="24"/>
        </w:rPr>
        <w:fldChar w:fldCharType="separate"/>
      </w:r>
      <w:r w:rsidR="00817846">
        <w:rPr>
          <w:rFonts w:eastAsia="Times New Roman" w:cs="Times New Roman"/>
          <w:noProof/>
          <w:snapToGrid w:val="0"/>
          <w:szCs w:val="24"/>
        </w:rPr>
        <w:t>[</w:t>
      </w:r>
      <w:hyperlink w:anchor="_ENREF_45" w:tooltip="Fensin, 2004 #41" w:history="1">
        <w:r w:rsidR="00DF20CB">
          <w:rPr>
            <w:rFonts w:eastAsia="Times New Roman" w:cs="Times New Roman"/>
            <w:noProof/>
            <w:snapToGrid w:val="0"/>
            <w:szCs w:val="24"/>
          </w:rPr>
          <w:t>45</w:t>
        </w:r>
      </w:hyperlink>
      <w:r w:rsidR="00817846">
        <w:rPr>
          <w:rFonts w:eastAsia="Times New Roman" w:cs="Times New Roman"/>
          <w:noProof/>
          <w:snapToGrid w:val="0"/>
          <w:szCs w:val="24"/>
        </w:rPr>
        <w:t>]</w:t>
      </w:r>
      <w:r w:rsidR="00D00A8B">
        <w:rPr>
          <w:rFonts w:eastAsia="Times New Roman" w:cs="Times New Roman"/>
          <w:snapToGrid w:val="0"/>
          <w:szCs w:val="24"/>
        </w:rPr>
        <w:fldChar w:fldCharType="end"/>
      </w:r>
      <w:r w:rsidR="00272DFD">
        <w:rPr>
          <w:rFonts w:eastAsia="Times New Roman" w:cs="Times New Roman"/>
          <w:snapToGrid w:val="0"/>
          <w:szCs w:val="24"/>
        </w:rPr>
        <w:t xml:space="preserve">. </w:t>
      </w:r>
      <w:r w:rsidR="0049346C" w:rsidRPr="00FD2EFD">
        <w:rPr>
          <w:rFonts w:eastAsia="Times New Roman" w:cs="Times New Roman"/>
          <w:snapToGrid w:val="0"/>
          <w:szCs w:val="24"/>
        </w:rPr>
        <w:t>Three different enrichment/gadolinium arrays were used to for the EOC lattice physics method to represent the three major fuel zones found in modern BWR bundles</w:t>
      </w:r>
      <w:r w:rsidR="0049346C">
        <w:rPr>
          <w:rFonts w:eastAsia="Times New Roman" w:cs="Times New Roman"/>
          <w:snapToGrid w:val="0"/>
          <w:szCs w:val="24"/>
        </w:rPr>
        <w:t xml:space="preserve">; </w:t>
      </w:r>
      <w:r w:rsidR="0049346C">
        <w:rPr>
          <w:rFonts w:cs="Times New Roman"/>
          <w:szCs w:val="24"/>
        </w:rPr>
        <w:t>namely, t</w:t>
      </w:r>
      <w:r w:rsidR="0049346C" w:rsidRPr="00FD2EFD">
        <w:rPr>
          <w:rFonts w:cs="Times New Roman"/>
          <w:szCs w:val="24"/>
        </w:rPr>
        <w:t>he</w:t>
      </w:r>
      <w:r w:rsidR="0049346C">
        <w:rPr>
          <w:rFonts w:cs="Times New Roman"/>
          <w:szCs w:val="24"/>
        </w:rPr>
        <w:t xml:space="preserve"> Power Shaping Zone</w:t>
      </w:r>
      <w:r w:rsidR="0049346C" w:rsidRPr="00FD2EFD">
        <w:rPr>
          <w:rFonts w:cs="Times New Roman"/>
          <w:szCs w:val="24"/>
        </w:rPr>
        <w:t xml:space="preserve"> </w:t>
      </w:r>
      <w:r w:rsidR="0049346C">
        <w:rPr>
          <w:rFonts w:cs="Times New Roman"/>
          <w:szCs w:val="24"/>
        </w:rPr>
        <w:t>(</w:t>
      </w:r>
      <w:r w:rsidR="0049346C" w:rsidRPr="00FD2EFD">
        <w:rPr>
          <w:rFonts w:cs="Times New Roman"/>
          <w:szCs w:val="24"/>
        </w:rPr>
        <w:t>PSZ</w:t>
      </w:r>
      <w:r w:rsidR="0049346C">
        <w:rPr>
          <w:rFonts w:cs="Times New Roman"/>
          <w:szCs w:val="24"/>
        </w:rPr>
        <w:t>), t</w:t>
      </w:r>
      <w:r w:rsidR="0049346C" w:rsidRPr="00FD2EFD">
        <w:rPr>
          <w:rFonts w:cs="Times New Roman"/>
          <w:szCs w:val="24"/>
        </w:rPr>
        <w:t xml:space="preserve">he </w:t>
      </w:r>
      <w:r w:rsidR="0049346C">
        <w:rPr>
          <w:rFonts w:cs="Times New Roman"/>
          <w:szCs w:val="24"/>
        </w:rPr>
        <w:t>Dominant Zon (</w:t>
      </w:r>
      <w:r w:rsidR="0049346C" w:rsidRPr="00FD2EFD">
        <w:rPr>
          <w:rFonts w:cs="Times New Roman"/>
          <w:szCs w:val="24"/>
        </w:rPr>
        <w:t>DOM</w:t>
      </w:r>
      <w:r w:rsidR="0049346C">
        <w:rPr>
          <w:rFonts w:cs="Times New Roman"/>
          <w:szCs w:val="24"/>
        </w:rPr>
        <w:t>), and the Vanishing (VAN)</w:t>
      </w:r>
      <w:r w:rsidR="0049346C" w:rsidRPr="00FD2EFD">
        <w:rPr>
          <w:rFonts w:cs="Times New Roman"/>
          <w:szCs w:val="24"/>
        </w:rPr>
        <w:t xml:space="preserve"> regions</w:t>
      </w:r>
      <w:r w:rsidR="0049346C">
        <w:rPr>
          <w:rFonts w:cs="Times New Roman"/>
          <w:szCs w:val="24"/>
        </w:rPr>
        <w:t xml:space="preserve">, from bottom to top, respectively. The PSZ and DOM zones </w:t>
      </w:r>
      <w:r w:rsidR="0049346C" w:rsidRPr="00FD2EFD">
        <w:rPr>
          <w:rFonts w:cs="Times New Roman"/>
          <w:szCs w:val="24"/>
        </w:rPr>
        <w:t>contain 92 fuel pins with UO</w:t>
      </w:r>
      <w:r w:rsidR="0049346C" w:rsidRPr="00FD2EFD">
        <w:rPr>
          <w:rFonts w:cs="Times New Roman"/>
          <w:szCs w:val="24"/>
        </w:rPr>
        <w:softHyphen/>
      </w:r>
      <w:r w:rsidR="0049346C" w:rsidRPr="00FD2EFD">
        <w:rPr>
          <w:rFonts w:cs="Times New Roman"/>
          <w:szCs w:val="24"/>
          <w:vertAlign w:val="subscript"/>
        </w:rPr>
        <w:t>2</w:t>
      </w:r>
      <w:r w:rsidR="0049346C" w:rsidRPr="00FD2EFD">
        <w:rPr>
          <w:rFonts w:cs="Times New Roman"/>
          <w:szCs w:val="24"/>
        </w:rPr>
        <w:t xml:space="preserve"> enrichment ranging from 2.00% to 4.90% U-235</w:t>
      </w:r>
      <w:r w:rsidR="0049346C">
        <w:rPr>
          <w:rFonts w:cs="Times New Roman"/>
          <w:szCs w:val="24"/>
        </w:rPr>
        <w:t xml:space="preserve"> and </w:t>
      </w:r>
      <w:r w:rsidR="0049346C" w:rsidRPr="00FD2EFD">
        <w:rPr>
          <w:rFonts w:cs="Times New Roman"/>
          <w:szCs w:val="24"/>
        </w:rPr>
        <w:t xml:space="preserve">maintain a weighted average enrichment of 4.11%, which was used </w:t>
      </w:r>
      <w:r w:rsidR="0049346C">
        <w:rPr>
          <w:rFonts w:cs="Times New Roman"/>
          <w:szCs w:val="24"/>
        </w:rPr>
        <w:t xml:space="preserve">as a basis </w:t>
      </w:r>
      <w:r w:rsidR="0049346C" w:rsidRPr="00FD2EFD">
        <w:rPr>
          <w:rFonts w:cs="Times New Roman"/>
          <w:szCs w:val="24"/>
        </w:rPr>
        <w:t xml:space="preserve">to compare enrichment increases when replacing the Zircaloy cladding with that of FeCrAl. </w:t>
      </w:r>
    </w:p>
    <w:p w14:paraId="262176A6" w14:textId="77777777" w:rsidR="007048EA" w:rsidRDefault="00F473BF" w:rsidP="0091793B">
      <w:pPr>
        <w:widowControl w:val="0"/>
        <w:spacing w:before="240" w:after="0" w:line="360" w:lineRule="auto"/>
        <w:jc w:val="both"/>
        <w:rPr>
          <w:rFonts w:cs="Times New Roman"/>
          <w:szCs w:val="24"/>
        </w:rPr>
      </w:pPr>
      <w:r>
        <w:rPr>
          <w:rFonts w:cs="Times New Roman"/>
          <w:szCs w:val="24"/>
        </w:rPr>
        <w:lastRenderedPageBreak/>
        <w:t xml:space="preserve">The representative </w:t>
      </w:r>
      <w:r w:rsidR="00DC0A3C">
        <w:rPr>
          <w:rFonts w:cs="Times New Roman"/>
          <w:szCs w:val="24"/>
        </w:rPr>
        <w:t>10 × 10</w:t>
      </w:r>
      <w:r w:rsidR="00AD10F3">
        <w:rPr>
          <w:rFonts w:cs="Times New Roman"/>
          <w:szCs w:val="24"/>
        </w:rPr>
        <w:t xml:space="preserve"> bundles contain partial-</w:t>
      </w:r>
      <w:r>
        <w:rPr>
          <w:rFonts w:cs="Times New Roman"/>
          <w:szCs w:val="24"/>
        </w:rPr>
        <w:t>length rods represented</w:t>
      </w:r>
      <w:r w:rsidR="0020579B">
        <w:rPr>
          <w:rFonts w:cs="Times New Roman"/>
          <w:szCs w:val="24"/>
        </w:rPr>
        <w:t xml:space="preserve"> in the VAN region. Th</w:t>
      </w:r>
      <w:r w:rsidR="00AD10F3">
        <w:rPr>
          <w:rFonts w:cs="Times New Roman"/>
          <w:szCs w:val="24"/>
        </w:rPr>
        <w:t>e</w:t>
      </w:r>
      <w:r w:rsidR="0020579B">
        <w:rPr>
          <w:rFonts w:cs="Times New Roman"/>
          <w:szCs w:val="24"/>
        </w:rPr>
        <w:t xml:space="preserve"> VAN</w:t>
      </w:r>
      <w:r w:rsidR="00AD10F3">
        <w:rPr>
          <w:rFonts w:cs="Times New Roman"/>
          <w:szCs w:val="24"/>
        </w:rPr>
        <w:t>,</w:t>
      </w:r>
      <w:r w:rsidR="0020579B">
        <w:rPr>
          <w:rFonts w:cs="Times New Roman"/>
          <w:szCs w:val="24"/>
        </w:rPr>
        <w:t xml:space="preserve"> </w:t>
      </w:r>
      <w:r>
        <w:rPr>
          <w:rFonts w:cs="Times New Roman"/>
          <w:szCs w:val="24"/>
        </w:rPr>
        <w:t>containing 14 vanishing rods, has a total of 78 UO</w:t>
      </w:r>
      <w:r>
        <w:rPr>
          <w:rFonts w:cs="Times New Roman"/>
          <w:szCs w:val="24"/>
          <w:vertAlign w:val="subscript"/>
        </w:rPr>
        <w:t>2</w:t>
      </w:r>
      <w:r>
        <w:rPr>
          <w:rFonts w:cs="Times New Roman"/>
          <w:szCs w:val="24"/>
        </w:rPr>
        <w:t xml:space="preserve"> fuel rod locations. </w:t>
      </w:r>
      <w:r w:rsidR="00277E51">
        <w:rPr>
          <w:rFonts w:cs="Times New Roman"/>
          <w:szCs w:val="24"/>
        </w:rPr>
        <w:t>Figure 16</w:t>
      </w:r>
      <w:r w:rsidR="009F03F3">
        <w:rPr>
          <w:rFonts w:cs="Times New Roman"/>
          <w:szCs w:val="24"/>
        </w:rPr>
        <w:t xml:space="preserve"> </w:t>
      </w:r>
      <w:r w:rsidR="00277E51">
        <w:rPr>
          <w:rFonts w:cs="Times New Roman"/>
          <w:szCs w:val="24"/>
        </w:rPr>
        <w:t>displays</w:t>
      </w:r>
      <w:r w:rsidR="009F03F3">
        <w:rPr>
          <w:rFonts w:cs="Times New Roman"/>
          <w:szCs w:val="24"/>
        </w:rPr>
        <w:t xml:space="preserve"> where each of the three lattices that were described above is located axially within the fuel bundle. Although not drawn directly to scale, th</w:t>
      </w:r>
      <w:r w:rsidR="00AD10F3">
        <w:rPr>
          <w:rFonts w:cs="Times New Roman"/>
          <w:szCs w:val="24"/>
        </w:rPr>
        <w:t>e partial-</w:t>
      </w:r>
      <w:r w:rsidR="009F03F3">
        <w:rPr>
          <w:rFonts w:cs="Times New Roman"/>
          <w:szCs w:val="24"/>
        </w:rPr>
        <w:t xml:space="preserve">length rods are shown to disappear in the vanishing region. </w:t>
      </w:r>
    </w:p>
    <w:p w14:paraId="6CD175E6" w14:textId="77777777" w:rsidR="006F0C75" w:rsidRDefault="006F0C75" w:rsidP="0091793B">
      <w:pPr>
        <w:widowControl w:val="0"/>
        <w:spacing w:before="240" w:after="0" w:line="360" w:lineRule="auto"/>
        <w:jc w:val="both"/>
        <w:rPr>
          <w:rFonts w:cs="Times New Roman"/>
          <w:szCs w:val="24"/>
        </w:rPr>
      </w:pPr>
    </w:p>
    <w:p w14:paraId="3AA4F037" w14:textId="77777777" w:rsidR="006F0C75" w:rsidRPr="00220A8E" w:rsidRDefault="006F0C75" w:rsidP="0091793B">
      <w:pPr>
        <w:widowControl w:val="0"/>
        <w:spacing w:before="240" w:after="0" w:line="360" w:lineRule="auto"/>
        <w:jc w:val="both"/>
        <w:rPr>
          <w:rFonts w:cs="Times New Roman"/>
          <w:szCs w:val="24"/>
        </w:rPr>
      </w:pPr>
    </w:p>
    <w:p w14:paraId="64A04AF7" w14:textId="77777777" w:rsidR="00220A8E" w:rsidRDefault="00220A8E" w:rsidP="0091793B">
      <w:pPr>
        <w:spacing w:line="360" w:lineRule="auto"/>
        <w:rPr>
          <w:rFonts w:cs="Times New Roman"/>
          <w:b/>
          <w:sz w:val="32"/>
          <w:szCs w:val="24"/>
        </w:rPr>
      </w:pPr>
      <w:r>
        <w:rPr>
          <w:rFonts w:cs="Times New Roman"/>
          <w:b/>
          <w:noProof/>
          <w:szCs w:val="24"/>
        </w:rPr>
        <w:drawing>
          <wp:inline distT="0" distB="0" distL="0" distR="0" wp14:anchorId="214B55D0" wp14:editId="02135B56">
            <wp:extent cx="3115369" cy="2481822"/>
            <wp:effectExtent l="0" t="0" r="889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3109189" cy="2476899"/>
                    </a:xfrm>
                    <a:prstGeom prst="rect">
                      <a:avLst/>
                    </a:prstGeom>
                    <a:noFill/>
                  </pic:spPr>
                </pic:pic>
              </a:graphicData>
            </a:graphic>
          </wp:inline>
        </w:drawing>
      </w:r>
    </w:p>
    <w:p w14:paraId="7468CF87" w14:textId="77777777" w:rsidR="009F03F3" w:rsidRDefault="0039764A" w:rsidP="0091793B">
      <w:pPr>
        <w:spacing w:line="360" w:lineRule="auto"/>
        <w:rPr>
          <w:noProof/>
        </w:rPr>
      </w:pPr>
      <w:bookmarkStart w:id="21" w:name="_Toc416993455"/>
      <w:r>
        <w:t xml:space="preserve">Figure </w:t>
      </w:r>
      <w:fldSimple w:instr=" SEQ Figure \* ARABIC ">
        <w:r w:rsidR="00F3244B">
          <w:rPr>
            <w:noProof/>
          </w:rPr>
          <w:t>16</w:t>
        </w:r>
      </w:fldSimple>
      <w:r>
        <w:t>:</w:t>
      </w:r>
      <w:r>
        <w:rPr>
          <w:noProof/>
        </w:rPr>
        <w:t xml:space="preserve"> </w:t>
      </w:r>
      <w:r w:rsidRPr="004733B4">
        <w:rPr>
          <w:noProof/>
        </w:rPr>
        <w:t>Allocation of Lattices within BWR Fuel Bundle</w:t>
      </w:r>
      <w:bookmarkEnd w:id="21"/>
    </w:p>
    <w:p w14:paraId="73EE5A29" w14:textId="77777777" w:rsidR="006F0C75" w:rsidRDefault="006F0C75" w:rsidP="0091793B">
      <w:pPr>
        <w:spacing w:line="360" w:lineRule="auto"/>
        <w:rPr>
          <w:rFonts w:cs="Times New Roman"/>
          <w:szCs w:val="24"/>
        </w:rPr>
      </w:pPr>
    </w:p>
    <w:p w14:paraId="1A05DB4C" w14:textId="77777777" w:rsidR="009F03F3" w:rsidRDefault="00894D48" w:rsidP="0091793B">
      <w:pPr>
        <w:spacing w:line="360" w:lineRule="auto"/>
        <w:jc w:val="both"/>
        <w:rPr>
          <w:rFonts w:cs="Times New Roman"/>
          <w:szCs w:val="24"/>
        </w:rPr>
      </w:pPr>
      <w:r>
        <w:rPr>
          <w:rFonts w:cs="Times New Roman"/>
          <w:szCs w:val="24"/>
        </w:rPr>
        <w:t xml:space="preserve">Similar to the PWR EOC method, </w:t>
      </w:r>
      <w:r w:rsidR="00497109">
        <w:rPr>
          <w:rFonts w:cs="Times New Roman"/>
          <w:szCs w:val="24"/>
        </w:rPr>
        <w:t>numerous</w:t>
      </w:r>
      <w:r>
        <w:rPr>
          <w:rFonts w:cs="Times New Roman"/>
          <w:szCs w:val="24"/>
        </w:rPr>
        <w:t xml:space="preserve"> cases were run during the parametric study to </w:t>
      </w:r>
      <w:r w:rsidR="00497109">
        <w:rPr>
          <w:rFonts w:cs="Times New Roman"/>
          <w:szCs w:val="24"/>
        </w:rPr>
        <w:t>encompass the design space</w:t>
      </w:r>
      <w:r>
        <w:rPr>
          <w:rFonts w:cs="Times New Roman"/>
          <w:szCs w:val="24"/>
        </w:rPr>
        <w:t xml:space="preserve">. </w:t>
      </w:r>
      <w:r w:rsidR="00497109">
        <w:rPr>
          <w:rFonts w:cs="Times New Roman"/>
          <w:szCs w:val="24"/>
        </w:rPr>
        <w:t>To expedite the calculation time of full fuel lattices (as opposed to pin cell calculations),</w:t>
      </w:r>
      <w:r>
        <w:rPr>
          <w:rFonts w:cs="Times New Roman"/>
          <w:szCs w:val="24"/>
        </w:rPr>
        <w:t xml:space="preserve"> </w:t>
      </w:r>
      <w:r w:rsidR="0020579B">
        <w:rPr>
          <w:rFonts w:cs="Times New Roman"/>
          <w:szCs w:val="24"/>
        </w:rPr>
        <w:t>CASMO-4</w:t>
      </w:r>
      <w:r>
        <w:rPr>
          <w:rFonts w:cs="Times New Roman"/>
          <w:szCs w:val="24"/>
        </w:rPr>
        <w:t xml:space="preserve"> was utilized</w:t>
      </w:r>
      <w:r w:rsidR="00497109">
        <w:rPr>
          <w:rFonts w:cs="Times New Roman"/>
          <w:szCs w:val="24"/>
        </w:rPr>
        <w:t xml:space="preserve"> instead of TRITON</w:t>
      </w:r>
      <w:r>
        <w:rPr>
          <w:rFonts w:cs="Times New Roman"/>
          <w:szCs w:val="24"/>
        </w:rPr>
        <w:t xml:space="preserve">. </w:t>
      </w:r>
      <w:r w:rsidR="00497109">
        <w:rPr>
          <w:rFonts w:cs="Times New Roman"/>
          <w:szCs w:val="24"/>
        </w:rPr>
        <w:t>CASMO enabled</w:t>
      </w:r>
      <w:r>
        <w:rPr>
          <w:rFonts w:cs="Times New Roman"/>
          <w:szCs w:val="24"/>
        </w:rPr>
        <w:t xml:space="preserve"> the UO</w:t>
      </w:r>
      <w:r>
        <w:rPr>
          <w:rFonts w:cs="Times New Roman"/>
          <w:szCs w:val="24"/>
          <w:vertAlign w:val="subscript"/>
        </w:rPr>
        <w:t>2</w:t>
      </w:r>
      <w:r>
        <w:rPr>
          <w:rFonts w:cs="Times New Roman"/>
          <w:szCs w:val="24"/>
        </w:rPr>
        <w:t xml:space="preserve"> enrichment and clad/</w:t>
      </w:r>
      <w:r w:rsidR="00F155F8" w:rsidRPr="00F155F8">
        <w:rPr>
          <w:rFonts w:cs="Times New Roman"/>
          <w:szCs w:val="24"/>
        </w:rPr>
        <w:t xml:space="preserve">channel box </w:t>
      </w:r>
      <w:r>
        <w:rPr>
          <w:rFonts w:cs="Times New Roman"/>
          <w:szCs w:val="24"/>
        </w:rPr>
        <w:t xml:space="preserve">thickness of the fuel bundles could be manipulated and re-run within a reasonable timeframe. </w:t>
      </w:r>
    </w:p>
    <w:p w14:paraId="6DBAA496" w14:textId="749B26C5" w:rsidR="00092C2B" w:rsidRDefault="003E7E01" w:rsidP="00092C2B">
      <w:pPr>
        <w:spacing w:line="360" w:lineRule="auto"/>
        <w:jc w:val="both"/>
        <w:rPr>
          <w:rFonts w:cs="Times New Roman"/>
          <w:szCs w:val="24"/>
        </w:rPr>
      </w:pPr>
      <w:r w:rsidRPr="00FD2EFD">
        <w:rPr>
          <w:rFonts w:cs="Times New Roman"/>
          <w:szCs w:val="24"/>
        </w:rPr>
        <w:t xml:space="preserve">Next, an assembly </w:t>
      </w:r>
      <w:r w:rsidR="00D65CDA">
        <w:rPr>
          <w:rFonts w:cs="Times New Roman"/>
          <w:szCs w:val="24"/>
        </w:rPr>
        <w:t>LP</w:t>
      </w:r>
      <w:r w:rsidRPr="00FD2EFD">
        <w:rPr>
          <w:rFonts w:cs="Times New Roman"/>
          <w:szCs w:val="24"/>
        </w:rPr>
        <w:t xml:space="preserve"> of a realistic </w:t>
      </w:r>
      <w:r w:rsidR="000B269D">
        <w:rPr>
          <w:rFonts w:cs="Times New Roman"/>
          <w:szCs w:val="24"/>
        </w:rPr>
        <w:t xml:space="preserve">and representative </w:t>
      </w:r>
      <w:r w:rsidRPr="00FD2EFD">
        <w:rPr>
          <w:rFonts w:cs="Times New Roman"/>
          <w:szCs w:val="24"/>
        </w:rPr>
        <w:t xml:space="preserve">core would need to be established to determine the number of </w:t>
      </w:r>
      <w:r w:rsidR="00497109">
        <w:rPr>
          <w:rFonts w:cs="Times New Roman"/>
          <w:szCs w:val="24"/>
        </w:rPr>
        <w:t>EFPD</w:t>
      </w:r>
      <w:r w:rsidRPr="00FD2EFD">
        <w:rPr>
          <w:rFonts w:cs="Times New Roman"/>
          <w:szCs w:val="24"/>
        </w:rPr>
        <w:t xml:space="preserve"> each cycle would obtain. In keeping with modern BWR designs, </w:t>
      </w:r>
      <w:r>
        <w:rPr>
          <w:rFonts w:cs="Times New Roman"/>
          <w:szCs w:val="24"/>
        </w:rPr>
        <w:t xml:space="preserve">representative </w:t>
      </w:r>
      <w:r w:rsidRPr="00FD2EFD">
        <w:rPr>
          <w:rFonts w:cs="Times New Roman"/>
          <w:szCs w:val="24"/>
        </w:rPr>
        <w:t>exposure data was found from cycle 17 of Peach Bottom Unit 2</w:t>
      </w:r>
      <w:r>
        <w:rPr>
          <w:rFonts w:cs="Times New Roman"/>
          <w:szCs w:val="24"/>
        </w:rPr>
        <w:t xml:space="preserve"> (PB2C17)</w:t>
      </w:r>
      <w:r w:rsidR="00DF20CB" w:rsidRPr="00DF20CB">
        <w:rPr>
          <w:rFonts w:cs="Times New Roman"/>
          <w:szCs w:val="24"/>
        </w:rPr>
        <w:t xml:space="preserve"> </w:t>
      </w:r>
      <w:r w:rsidR="00DF20CB">
        <w:rPr>
          <w:rFonts w:cs="Times New Roman"/>
          <w:szCs w:val="24"/>
        </w:rPr>
        <w:fldChar w:fldCharType="begin"/>
      </w:r>
      <w:r w:rsidR="00DF20CB">
        <w:rPr>
          <w:rFonts w:cs="Times New Roman"/>
          <w:szCs w:val="24"/>
        </w:rPr>
        <w:instrText xml:space="preserve"> ADDIN EN.CITE &lt;EndNote&gt;&lt;Cite&gt;&lt;Author&gt;Asgari&lt;/Author&gt;&lt;Year&gt;2006&lt;/Year&gt;&lt;RecNum&gt;92&lt;/RecNum&gt;&lt;DisplayText&gt;[47]&lt;/DisplayText&gt;&lt;record&gt;&lt;rec-number&gt;92&lt;/rec-number&gt;&lt;foreign-keys&gt;&lt;key app="EN" db-id="trfxzx057wwv0qe0vz1vttttwf0522tvtwpt" timestamp="1422294672"&gt;92&lt;/key&gt;&lt;/foreign-keys&gt;&lt;ref-type name="Journal Article"&gt;17&lt;/ref-type&gt;&lt;contributors&gt;&lt;authors&gt;&lt;author&gt;Asgari, M&lt;/author&gt;&lt;author&gt;Kropaczek, DJ&lt;/author&gt;&lt;author&gt;Oyarzun, CC&lt;/author&gt;&lt;author&gt;Tusar, JJ&lt;/author&gt;&lt;author&gt;Heverly, MM&lt;/author&gt;&lt;/authors&gt;&lt;/contributors&gt;&lt;titles&gt;&lt;title&gt;Application of the N-Streaming SM concept to Peach Bottom 2 Cycle 17&lt;/title&gt;&lt;/titles&gt;&lt;dates&gt;&lt;year&gt;2006&lt;/year&gt;&lt;/dates&gt;&lt;urls&gt;&lt;/urls&gt;&lt;/record&gt;&lt;/Cite&gt;&lt;/EndNote&gt;</w:instrText>
      </w:r>
      <w:r w:rsidR="00DF20CB">
        <w:rPr>
          <w:rFonts w:cs="Times New Roman"/>
          <w:szCs w:val="24"/>
        </w:rPr>
        <w:fldChar w:fldCharType="separate"/>
      </w:r>
      <w:r w:rsidR="00DF20CB">
        <w:rPr>
          <w:rFonts w:cs="Times New Roman"/>
          <w:noProof/>
          <w:szCs w:val="24"/>
        </w:rPr>
        <w:t>[</w:t>
      </w:r>
      <w:hyperlink w:anchor="_ENREF_47" w:tooltip="Asgari, 2006 #92" w:history="1">
        <w:r w:rsidR="00DF20CB">
          <w:rPr>
            <w:rFonts w:cs="Times New Roman"/>
            <w:noProof/>
            <w:szCs w:val="24"/>
          </w:rPr>
          <w:t>47</w:t>
        </w:r>
      </w:hyperlink>
      <w:r w:rsidR="00DF20CB">
        <w:rPr>
          <w:rFonts w:cs="Times New Roman"/>
          <w:noProof/>
          <w:szCs w:val="24"/>
        </w:rPr>
        <w:t>]</w:t>
      </w:r>
      <w:r w:rsidR="00DF20CB">
        <w:rPr>
          <w:rFonts w:cs="Times New Roman"/>
          <w:szCs w:val="24"/>
        </w:rPr>
        <w:fldChar w:fldCharType="end"/>
      </w:r>
      <w:r w:rsidRPr="00FD2EFD">
        <w:rPr>
          <w:rFonts w:cs="Times New Roman"/>
          <w:szCs w:val="24"/>
        </w:rPr>
        <w:t xml:space="preserve">. </w:t>
      </w:r>
      <w:r w:rsidRPr="00FD2EFD">
        <w:rPr>
          <w:rFonts w:cs="Times New Roman"/>
          <w:szCs w:val="24"/>
        </w:rPr>
        <w:lastRenderedPageBreak/>
        <w:t xml:space="preserve">The core utilized a three-batch </w:t>
      </w:r>
      <w:r w:rsidR="00497109">
        <w:rPr>
          <w:rFonts w:cs="Times New Roman"/>
          <w:szCs w:val="24"/>
        </w:rPr>
        <w:t>scheme</w:t>
      </w:r>
      <w:r w:rsidR="00AD10F3">
        <w:rPr>
          <w:rFonts w:cs="Times New Roman"/>
          <w:szCs w:val="24"/>
        </w:rPr>
        <w:t xml:space="preserve"> and operated with GE</w:t>
      </w:r>
      <w:r w:rsidRPr="00FD2EFD">
        <w:rPr>
          <w:rFonts w:cs="Times New Roman"/>
          <w:szCs w:val="24"/>
        </w:rPr>
        <w:t xml:space="preserve">14 fuel bundles, making it </w:t>
      </w:r>
      <w:r>
        <w:rPr>
          <w:rFonts w:cs="Times New Roman"/>
          <w:szCs w:val="24"/>
        </w:rPr>
        <w:t xml:space="preserve">consistent with the EOC method. Figure </w:t>
      </w:r>
      <w:r w:rsidR="001F035F">
        <w:rPr>
          <w:rFonts w:cs="Times New Roman"/>
          <w:szCs w:val="24"/>
        </w:rPr>
        <w:t>17</w:t>
      </w:r>
      <w:r>
        <w:rPr>
          <w:rFonts w:cs="Times New Roman"/>
          <w:szCs w:val="24"/>
        </w:rPr>
        <w:t xml:space="preserve"> illustrates</w:t>
      </w:r>
      <w:r w:rsidRPr="00FD2EFD">
        <w:rPr>
          <w:rFonts w:cs="Times New Roman"/>
          <w:szCs w:val="24"/>
        </w:rPr>
        <w:t xml:space="preserve"> a</w:t>
      </w:r>
      <w:r>
        <w:rPr>
          <w:rFonts w:cs="Times New Roman"/>
          <w:szCs w:val="24"/>
        </w:rPr>
        <w:t>n</w:t>
      </w:r>
      <w:r w:rsidRPr="00FD2EFD">
        <w:rPr>
          <w:rFonts w:cs="Times New Roman"/>
          <w:szCs w:val="24"/>
        </w:rPr>
        <w:t xml:space="preserve"> exposure map from </w:t>
      </w:r>
      <w:r>
        <w:rPr>
          <w:rFonts w:cs="Times New Roman"/>
          <w:szCs w:val="24"/>
        </w:rPr>
        <w:t>PB2C</w:t>
      </w:r>
      <w:r w:rsidRPr="00FD2EFD">
        <w:rPr>
          <w:rFonts w:cs="Times New Roman"/>
          <w:szCs w:val="24"/>
        </w:rPr>
        <w:t xml:space="preserve">17 displaying BOC burnup for each bundle in units of </w:t>
      </w:r>
      <w:r w:rsidR="00043FE7">
        <w:rPr>
          <w:rFonts w:cs="Times New Roman"/>
          <w:szCs w:val="24"/>
        </w:rPr>
        <w:t>giga-watt days per metric ton of uranium (</w:t>
      </w:r>
      <w:r w:rsidR="00092C2B" w:rsidRPr="00FD2EFD">
        <w:rPr>
          <w:rFonts w:cs="Times New Roman"/>
          <w:szCs w:val="24"/>
        </w:rPr>
        <w:t>GWd/</w:t>
      </w:r>
      <w:r w:rsidR="00092C2B">
        <w:rPr>
          <w:rFonts w:cs="Times New Roman"/>
          <w:szCs w:val="24"/>
        </w:rPr>
        <w:t>MTU</w:t>
      </w:r>
      <w:r w:rsidR="00043FE7">
        <w:rPr>
          <w:rFonts w:cs="Times New Roman"/>
          <w:szCs w:val="24"/>
        </w:rPr>
        <w:t>)</w:t>
      </w:r>
      <w:r w:rsidR="00092C2B" w:rsidRPr="00FD2EFD">
        <w:rPr>
          <w:rFonts w:cs="Times New Roman"/>
          <w:szCs w:val="24"/>
        </w:rPr>
        <w:t xml:space="preserve">. </w:t>
      </w:r>
    </w:p>
    <w:p w14:paraId="2C48EE41" w14:textId="77777777" w:rsidR="00092C2B" w:rsidRDefault="00092C2B" w:rsidP="00092C2B">
      <w:pPr>
        <w:spacing w:line="240" w:lineRule="auto"/>
        <w:jc w:val="both"/>
        <w:rPr>
          <w:rFonts w:cs="Times New Roman"/>
          <w:szCs w:val="24"/>
        </w:rPr>
      </w:pPr>
    </w:p>
    <w:p w14:paraId="04E8EC7D" w14:textId="4D863E7E" w:rsidR="00F16F37" w:rsidRDefault="00092C2B" w:rsidP="00092C2B">
      <w:pPr>
        <w:spacing w:line="240" w:lineRule="auto"/>
        <w:rPr>
          <w:rFonts w:cs="Times New Roman"/>
          <w:szCs w:val="24"/>
        </w:rPr>
      </w:pPr>
      <w:r w:rsidRPr="00155593">
        <w:rPr>
          <w:noProof/>
        </w:rPr>
        <w:drawing>
          <wp:inline distT="0" distB="0" distL="0" distR="0" wp14:anchorId="2A9D2A32" wp14:editId="6A6876B6">
            <wp:extent cx="3154903" cy="2600696"/>
            <wp:effectExtent l="0" t="0" r="7620" b="9525"/>
            <wp:docPr id="7171" name="Picture 7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3155095" cy="2600854"/>
                    </a:xfrm>
                    <a:prstGeom prst="rect">
                      <a:avLst/>
                    </a:prstGeom>
                    <a:noFill/>
                    <a:ln>
                      <a:noFill/>
                    </a:ln>
                  </pic:spPr>
                </pic:pic>
              </a:graphicData>
            </a:graphic>
          </wp:inline>
        </w:drawing>
      </w:r>
      <w:r w:rsidR="00843B19">
        <w:rPr>
          <w:rFonts w:cs="Times New Roman"/>
          <w:szCs w:val="24"/>
        </w:rPr>
        <w:fldChar w:fldCharType="begin"/>
      </w:r>
      <w:r w:rsidR="00DF20CB">
        <w:rPr>
          <w:rFonts w:cs="Times New Roman"/>
          <w:szCs w:val="24"/>
        </w:rPr>
        <w:instrText xml:space="preserve"> ADDIN EN.CITE &lt;EndNote&gt;&lt;Cite&gt;&lt;Author&gt;Asgari&lt;/Author&gt;&lt;Year&gt;2006&lt;/Year&gt;&lt;RecNum&gt;92&lt;/RecNum&gt;&lt;DisplayText&gt;[47]&lt;/DisplayText&gt;&lt;record&gt;&lt;rec-number&gt;92&lt;/rec-number&gt;&lt;foreign-keys&gt;&lt;key app="EN" db-id="trfxzx057wwv0qe0vz1vttttwf0522tvtwpt" timestamp="1422294672"&gt;92&lt;/key&gt;&lt;/foreign-keys&gt;&lt;ref-type name="Journal Article"&gt;17&lt;/ref-type&gt;&lt;contributors&gt;&lt;authors&gt;&lt;author&gt;Asgari, M&lt;/author&gt;&lt;author&gt;Kropaczek, DJ&lt;/author&gt;&lt;author&gt;Oyarzun, CC&lt;/author&gt;&lt;author&gt;Tusar, JJ&lt;/author&gt;&lt;author&gt;Heverly, MM&lt;/author&gt;&lt;/authors&gt;&lt;/contributors&gt;&lt;titles&gt;&lt;title&gt;Application of the N-Streaming SM concept to Peach Bottom 2 Cycle 17&lt;/title&gt;&lt;/titles&gt;&lt;dates&gt;&lt;year&gt;2006&lt;/year&gt;&lt;/dates&gt;&lt;urls&gt;&lt;/urls&gt;&lt;/record&gt;&lt;/Cite&gt;&lt;/EndNote&gt;</w:instrText>
      </w:r>
      <w:r w:rsidR="00843B19">
        <w:rPr>
          <w:rFonts w:cs="Times New Roman"/>
          <w:szCs w:val="24"/>
        </w:rPr>
        <w:fldChar w:fldCharType="separate"/>
      </w:r>
      <w:r w:rsidR="00843B19">
        <w:rPr>
          <w:rFonts w:cs="Times New Roman"/>
          <w:szCs w:val="24"/>
        </w:rPr>
        <w:fldChar w:fldCharType="end"/>
      </w:r>
    </w:p>
    <w:p w14:paraId="76C525B6" w14:textId="009596B9" w:rsidR="00F16F37" w:rsidRDefault="0039764A" w:rsidP="0091793B">
      <w:pPr>
        <w:spacing w:line="360" w:lineRule="auto"/>
        <w:rPr>
          <w:rFonts w:cs="Times New Roman"/>
          <w:szCs w:val="24"/>
        </w:rPr>
      </w:pPr>
      <w:bookmarkStart w:id="22" w:name="_Toc416993456"/>
      <w:r>
        <w:t xml:space="preserve">Figure </w:t>
      </w:r>
      <w:fldSimple w:instr=" SEQ Figure \* ARABIC ">
        <w:r w:rsidR="00F3244B">
          <w:rPr>
            <w:noProof/>
          </w:rPr>
          <w:t>17</w:t>
        </w:r>
      </w:fldSimple>
      <w:r>
        <w:t xml:space="preserve">: </w:t>
      </w:r>
      <w:r w:rsidRPr="00F27827">
        <w:t>General Electric BWR Quarter Core Exposure Ma</w:t>
      </w:r>
      <w:r w:rsidR="00DF20CB">
        <w:t xml:space="preserve">p </w:t>
      </w:r>
      <w:r w:rsidR="00DF20CB">
        <w:fldChar w:fldCharType="begin"/>
      </w:r>
      <w:r w:rsidR="00DF20CB">
        <w:instrText xml:space="preserve"> ADDIN EN.CITE &lt;EndNote&gt;&lt;Cite&gt;&lt;Author&gt;Asgari&lt;/Author&gt;&lt;Year&gt;2006&lt;/Year&gt;&lt;RecNum&gt;92&lt;/RecNum&gt;&lt;DisplayText&gt;[47]&lt;/DisplayText&gt;&lt;record&gt;&lt;rec-number&gt;92&lt;/rec-number&gt;&lt;foreign-keys&gt;&lt;key app="EN" db-id="trfxzx057wwv0qe0vz1vttttwf0522tvtwpt" timestamp="1422294672"&gt;92&lt;/key&gt;&lt;/foreign-keys&gt;&lt;ref-type name="Journal Article"&gt;17&lt;/ref-type&gt;&lt;contributors&gt;&lt;authors&gt;&lt;author&gt;Asgari, M&lt;/author&gt;&lt;author&gt;Kropaczek, DJ&lt;/author&gt;&lt;author&gt;Oyarzun, CC&lt;/author&gt;&lt;author&gt;Tusar, JJ&lt;/author&gt;&lt;author&gt;Heverly, MM&lt;/author&gt;&lt;/authors&gt;&lt;/contributors&gt;&lt;titles&gt;&lt;title&gt;Application of the N-Streaming SM concept to Peach Bottom 2 Cycle 17&lt;/title&gt;&lt;/titles&gt;&lt;dates&gt;&lt;year&gt;2006&lt;/year&gt;&lt;/dates&gt;&lt;urls&gt;&lt;/urls&gt;&lt;/record&gt;&lt;/Cite&gt;&lt;/EndNote&gt;</w:instrText>
      </w:r>
      <w:r w:rsidR="00DF20CB">
        <w:fldChar w:fldCharType="separate"/>
      </w:r>
      <w:r w:rsidR="00DF20CB">
        <w:rPr>
          <w:noProof/>
        </w:rPr>
        <w:t>[</w:t>
      </w:r>
      <w:hyperlink w:anchor="_ENREF_47" w:tooltip="Asgari, 2006 #92" w:history="1">
        <w:r w:rsidR="00DF20CB">
          <w:rPr>
            <w:noProof/>
          </w:rPr>
          <w:t>47</w:t>
        </w:r>
      </w:hyperlink>
      <w:r w:rsidR="00DF20CB">
        <w:rPr>
          <w:noProof/>
        </w:rPr>
        <w:t>]</w:t>
      </w:r>
      <w:bookmarkEnd w:id="22"/>
      <w:r w:rsidR="00DF20CB">
        <w:fldChar w:fldCharType="end"/>
      </w:r>
      <w:r w:rsidR="00DF20CB">
        <w:rPr>
          <w:rFonts w:cs="Times New Roman"/>
          <w:szCs w:val="24"/>
        </w:rPr>
        <w:t xml:space="preserve"> </w:t>
      </w:r>
      <w:r w:rsidR="00B039B9">
        <w:rPr>
          <w:rFonts w:cs="Times New Roman"/>
          <w:szCs w:val="24"/>
        </w:rPr>
        <w:t xml:space="preserve"> </w:t>
      </w:r>
    </w:p>
    <w:p w14:paraId="0444C110" w14:textId="77777777" w:rsidR="006F0C75" w:rsidRDefault="006F0C75" w:rsidP="0091793B">
      <w:pPr>
        <w:spacing w:line="360" w:lineRule="auto"/>
        <w:rPr>
          <w:rFonts w:cs="Times New Roman"/>
          <w:szCs w:val="24"/>
        </w:rPr>
      </w:pPr>
    </w:p>
    <w:p w14:paraId="5CAF45B9" w14:textId="3025CEE1" w:rsidR="00594D5A" w:rsidRDefault="003E7E01" w:rsidP="0091793B">
      <w:pPr>
        <w:spacing w:line="360" w:lineRule="auto"/>
        <w:jc w:val="both"/>
        <w:rPr>
          <w:rFonts w:cs="Times New Roman"/>
          <w:szCs w:val="24"/>
        </w:rPr>
      </w:pPr>
      <w:r>
        <w:rPr>
          <w:rFonts w:cs="Times New Roman"/>
          <w:szCs w:val="24"/>
        </w:rPr>
        <w:t>Red locations indicated with</w:t>
      </w:r>
      <w:r w:rsidRPr="00FD2EFD">
        <w:rPr>
          <w:rFonts w:cs="Times New Roman"/>
          <w:szCs w:val="24"/>
        </w:rPr>
        <w:t xml:space="preserve"> a zero burnup represent fresh feed assemblies, while depleted cells in yellow and green represent once and twice </w:t>
      </w:r>
      <w:r>
        <w:rPr>
          <w:rFonts w:cs="Times New Roman"/>
          <w:szCs w:val="24"/>
        </w:rPr>
        <w:t>burnt assemblies, respectively.</w:t>
      </w:r>
      <w:r w:rsidR="009120DE">
        <w:rPr>
          <w:rFonts w:cs="Times New Roman"/>
          <w:szCs w:val="24"/>
        </w:rPr>
        <w:t xml:space="preserve"> Using the values shown in Figure 17,</w:t>
      </w:r>
      <w:r w:rsidR="00BE6B46">
        <w:rPr>
          <w:rFonts w:cs="Times New Roman"/>
          <w:szCs w:val="24"/>
        </w:rPr>
        <w:t xml:space="preserve"> </w:t>
      </w:r>
      <w:r w:rsidR="007B5623">
        <w:rPr>
          <w:rFonts w:cs="Times New Roman"/>
          <w:szCs w:val="24"/>
        </w:rPr>
        <w:t>Table V</w:t>
      </w:r>
      <w:r w:rsidR="00BE6B46">
        <w:rPr>
          <w:rFonts w:cs="Times New Roman"/>
          <w:szCs w:val="24"/>
        </w:rPr>
        <w:t xml:space="preserve"> was gathered to establish the </w:t>
      </w:r>
      <w:r w:rsidR="00AD10F3">
        <w:rPr>
          <w:rFonts w:cs="Times New Roman"/>
          <w:szCs w:val="24"/>
        </w:rPr>
        <w:t xml:space="preserve">achieved </w:t>
      </w:r>
      <w:r w:rsidR="00BE6B46">
        <w:rPr>
          <w:rFonts w:cs="Times New Roman"/>
          <w:szCs w:val="24"/>
        </w:rPr>
        <w:t xml:space="preserve">number of </w:t>
      </w:r>
      <w:r w:rsidR="00497109">
        <w:rPr>
          <w:rFonts w:cs="Times New Roman"/>
          <w:szCs w:val="24"/>
        </w:rPr>
        <w:t>EFPD</w:t>
      </w:r>
      <w:r w:rsidR="00BE6B46">
        <w:rPr>
          <w:rFonts w:cs="Times New Roman"/>
          <w:szCs w:val="24"/>
        </w:rPr>
        <w:t xml:space="preserve"> </w:t>
      </w:r>
      <w:r w:rsidR="00AD10F3">
        <w:rPr>
          <w:rFonts w:cs="Times New Roman"/>
          <w:szCs w:val="24"/>
        </w:rPr>
        <w:t xml:space="preserve">for </w:t>
      </w:r>
      <w:r w:rsidR="00BE6B46">
        <w:rPr>
          <w:rFonts w:cs="Times New Roman"/>
          <w:szCs w:val="24"/>
        </w:rPr>
        <w:t>each cy</w:t>
      </w:r>
      <w:r w:rsidR="00B039B9">
        <w:rPr>
          <w:rFonts w:cs="Times New Roman"/>
          <w:szCs w:val="24"/>
        </w:rPr>
        <w:t>cle</w:t>
      </w:r>
      <w:r w:rsidR="009120DE">
        <w:rPr>
          <w:rFonts w:cs="Times New Roman"/>
          <w:szCs w:val="24"/>
        </w:rPr>
        <w:t xml:space="preserve"> similar to that of the PWR methodology</w:t>
      </w:r>
      <w:r w:rsidR="00B039B9">
        <w:rPr>
          <w:rFonts w:cs="Times New Roman"/>
          <w:szCs w:val="24"/>
        </w:rPr>
        <w:t>.</w:t>
      </w:r>
    </w:p>
    <w:p w14:paraId="2B10F824" w14:textId="48FA3ECF" w:rsidR="007166EC" w:rsidRDefault="007166EC" w:rsidP="007166EC">
      <w:pPr>
        <w:spacing w:line="360" w:lineRule="auto"/>
        <w:jc w:val="both"/>
        <w:rPr>
          <w:rFonts w:eastAsiaTheme="minorEastAsia" w:cs="Times New Roman"/>
          <w:szCs w:val="24"/>
        </w:rPr>
      </w:pPr>
      <w:r w:rsidRPr="00FD2EFD">
        <w:rPr>
          <w:rFonts w:cs="Times New Roman"/>
          <w:szCs w:val="24"/>
        </w:rPr>
        <w:t xml:space="preserve">Using a python script, k-infinity was obtained at the exact </w:t>
      </w:r>
      <w:r>
        <w:rPr>
          <w:rFonts w:cs="Times New Roman"/>
          <w:szCs w:val="24"/>
        </w:rPr>
        <w:t>EFPD</w:t>
      </w:r>
      <w:r w:rsidR="007B5623">
        <w:rPr>
          <w:rFonts w:cs="Times New Roman"/>
          <w:szCs w:val="24"/>
        </w:rPr>
        <w:t xml:space="preserve"> shown</w:t>
      </w:r>
      <w:r w:rsidRPr="00FD2EFD">
        <w:rPr>
          <w:rFonts w:cs="Times New Roman"/>
          <w:szCs w:val="24"/>
        </w:rPr>
        <w:t xml:space="preserve"> </w:t>
      </w:r>
      <w:r w:rsidR="007B5623">
        <w:rPr>
          <w:rFonts w:cs="Times New Roman"/>
          <w:szCs w:val="24"/>
        </w:rPr>
        <w:t>in Table V</w:t>
      </w:r>
      <w:r w:rsidRPr="00FD2EFD">
        <w:rPr>
          <w:rFonts w:cs="Times New Roman"/>
          <w:szCs w:val="24"/>
        </w:rPr>
        <w:t xml:space="preserve"> by interpolating between the high-fidelity CASMO time</w:t>
      </w:r>
      <w:r>
        <w:rPr>
          <w:rFonts w:cs="Times New Roman"/>
          <w:szCs w:val="24"/>
        </w:rPr>
        <w:t xml:space="preserve"> </w:t>
      </w:r>
      <w:r w:rsidRPr="00FD2EFD">
        <w:rPr>
          <w:rFonts w:cs="Times New Roman"/>
          <w:szCs w:val="24"/>
        </w:rPr>
        <w:t xml:space="preserve">steps. These k-infinity values were then </w:t>
      </w:r>
      <w:r w:rsidRPr="00FD2EFD">
        <w:rPr>
          <w:szCs w:val="24"/>
        </w:rPr>
        <w:t xml:space="preserve">used </w:t>
      </w:r>
      <w:r>
        <w:rPr>
          <w:szCs w:val="24"/>
        </w:rPr>
        <w:t>in equation 3.1 to estimate the EOC</w:t>
      </w:r>
      <w:r w:rsidRPr="00FD2EFD">
        <w:rPr>
          <w:szCs w:val="24"/>
        </w:rPr>
        <w:t xml:space="preserve"> </w:t>
      </w:r>
      <m:oMath>
        <m:sSub>
          <m:sSubPr>
            <m:ctrlPr>
              <w:rPr>
                <w:rFonts w:ascii="Cambria Math" w:hAnsi="Cambria Math"/>
                <w:i/>
                <w:iCs/>
                <w:szCs w:val="24"/>
              </w:rPr>
            </m:ctrlPr>
          </m:sSubPr>
          <m:e>
            <m:acc>
              <m:accPr>
                <m:chr m:val="̅"/>
                <m:ctrlPr>
                  <w:rPr>
                    <w:rFonts w:ascii="Cambria Math" w:hAnsi="Cambria Math"/>
                    <w:i/>
                    <w:iCs/>
                    <w:szCs w:val="24"/>
                  </w:rPr>
                </m:ctrlPr>
              </m:accPr>
              <m:e>
                <m:r>
                  <w:rPr>
                    <w:rFonts w:ascii="Cambria Math" w:hAnsi="Cambria Math"/>
                    <w:szCs w:val="24"/>
                  </w:rPr>
                  <m:t>Δk</m:t>
                </m:r>
              </m:e>
            </m:acc>
          </m:e>
          <m:sub>
            <m:r>
              <w:rPr>
                <w:rFonts w:ascii="Cambria Math" w:hAnsi="Cambria Math"/>
                <w:szCs w:val="24"/>
              </w:rPr>
              <m:t>zone</m:t>
            </m:r>
          </m:sub>
        </m:sSub>
      </m:oMath>
      <w:r w:rsidRPr="00FD2EFD">
        <w:rPr>
          <w:rFonts w:eastAsiaTheme="minorEastAsia"/>
          <w:iCs/>
          <w:szCs w:val="24"/>
        </w:rPr>
        <w:t xml:space="preserve"> </w:t>
      </w:r>
      <w:r w:rsidRPr="00FD2EFD">
        <w:rPr>
          <w:szCs w:val="24"/>
        </w:rPr>
        <w:t>for each axial s</w:t>
      </w:r>
      <w:r>
        <w:rPr>
          <w:szCs w:val="24"/>
        </w:rPr>
        <w:t>lice of the fuel bundle</w:t>
      </w:r>
      <w:r w:rsidRPr="00FD2EFD">
        <w:rPr>
          <w:szCs w:val="24"/>
        </w:rPr>
        <w:t xml:space="preserve"> simulated. The EOC reactivity for each case was comp</w:t>
      </w:r>
      <w:r>
        <w:rPr>
          <w:szCs w:val="24"/>
        </w:rPr>
        <w:t xml:space="preserve">ared to that of the </w:t>
      </w:r>
      <w:r w:rsidRPr="00FD2EFD">
        <w:rPr>
          <w:szCs w:val="24"/>
        </w:rPr>
        <w:t xml:space="preserve">reference (standard Zircaloy lattice). </w:t>
      </w:r>
    </w:p>
    <w:p w14:paraId="5A59AD8D" w14:textId="303DFEE2" w:rsidR="007166EC" w:rsidRDefault="007166EC" w:rsidP="007166EC">
      <w:pPr>
        <w:spacing w:line="360" w:lineRule="auto"/>
        <w:jc w:val="both"/>
        <w:rPr>
          <w:rFonts w:cs="Times New Roman"/>
          <w:szCs w:val="24"/>
        </w:rPr>
      </w:pPr>
      <w:r w:rsidRPr="00FD2EFD">
        <w:rPr>
          <w:rFonts w:eastAsiaTheme="minorEastAsia" w:cs="Times New Roman"/>
          <w:szCs w:val="24"/>
        </w:rPr>
        <w:t xml:space="preserve">Once </w:t>
      </w:r>
      <m:oMath>
        <m:sSub>
          <m:sSubPr>
            <m:ctrlPr>
              <w:rPr>
                <w:rFonts w:ascii="Cambria Math" w:hAnsi="Cambria Math"/>
                <w:i/>
                <w:iCs/>
                <w:szCs w:val="24"/>
              </w:rPr>
            </m:ctrlPr>
          </m:sSubPr>
          <m:e>
            <m:acc>
              <m:accPr>
                <m:chr m:val="̅"/>
                <m:ctrlPr>
                  <w:rPr>
                    <w:rFonts w:ascii="Cambria Math" w:hAnsi="Cambria Math"/>
                    <w:i/>
                    <w:iCs/>
                    <w:szCs w:val="24"/>
                  </w:rPr>
                </m:ctrlPr>
              </m:accPr>
              <m:e>
                <m:r>
                  <w:rPr>
                    <w:rFonts w:ascii="Cambria Math" w:hAnsi="Cambria Math"/>
                    <w:szCs w:val="24"/>
                  </w:rPr>
                  <m:t>Δk</m:t>
                </m:r>
              </m:e>
            </m:acc>
          </m:e>
          <m:sub>
            <m:r>
              <w:rPr>
                <w:rFonts w:ascii="Cambria Math" w:hAnsi="Cambria Math"/>
                <w:szCs w:val="24"/>
              </w:rPr>
              <m:t>zone</m:t>
            </m:r>
          </m:sub>
        </m:sSub>
      </m:oMath>
      <w:r w:rsidRPr="00FD2EFD">
        <w:rPr>
          <w:rFonts w:eastAsiaTheme="minorEastAsia" w:cs="Times New Roman"/>
          <w:szCs w:val="24"/>
        </w:rPr>
        <w:t xml:space="preserve"> was calculated for each axial slice,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sidRPr="00FD2EFD">
        <w:rPr>
          <w:rFonts w:eastAsiaTheme="minorEastAsia" w:cs="Times New Roman"/>
          <w:szCs w:val="24"/>
        </w:rPr>
        <w:t xml:space="preserve"> could be found for the entire core by weighting each </w:t>
      </w:r>
      <m:oMath>
        <m:sSub>
          <m:sSubPr>
            <m:ctrlPr>
              <w:rPr>
                <w:rFonts w:ascii="Cambria Math" w:hAnsi="Cambria Math"/>
                <w:i/>
                <w:iCs/>
                <w:szCs w:val="24"/>
              </w:rPr>
            </m:ctrlPr>
          </m:sSubPr>
          <m:e>
            <m:acc>
              <m:accPr>
                <m:chr m:val="̅"/>
                <m:ctrlPr>
                  <w:rPr>
                    <w:rFonts w:ascii="Cambria Math" w:hAnsi="Cambria Math"/>
                    <w:i/>
                    <w:iCs/>
                    <w:szCs w:val="24"/>
                  </w:rPr>
                </m:ctrlPr>
              </m:accPr>
              <m:e>
                <m:r>
                  <w:rPr>
                    <w:rFonts w:ascii="Cambria Math" w:hAnsi="Cambria Math"/>
                    <w:szCs w:val="24"/>
                  </w:rPr>
                  <m:t>Δk</m:t>
                </m:r>
              </m:e>
            </m:acc>
          </m:e>
          <m:sub>
            <m:r>
              <w:rPr>
                <w:rFonts w:ascii="Cambria Math" w:hAnsi="Cambria Math"/>
                <w:szCs w:val="24"/>
              </w:rPr>
              <m:t>zone</m:t>
            </m:r>
          </m:sub>
        </m:sSub>
      </m:oMath>
      <w:r w:rsidRPr="00FD2EFD">
        <w:rPr>
          <w:rFonts w:eastAsiaTheme="minorEastAsia" w:cs="Times New Roman"/>
          <w:szCs w:val="24"/>
        </w:rPr>
        <w:t xml:space="preserve"> with two additional factors: axial height of each zone (</w:t>
      </w:r>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Z</m:t>
            </m:r>
          </m:sub>
        </m:sSub>
      </m:oMath>
      <w:r w:rsidRPr="00FD2EFD">
        <w:rPr>
          <w:rFonts w:eastAsiaTheme="minorEastAsia" w:cs="Times New Roman"/>
          <w:szCs w:val="24"/>
        </w:rPr>
        <w:t xml:space="preserve">) and power </w:t>
      </w:r>
      <w:r w:rsidRPr="00FD2EFD">
        <w:rPr>
          <w:rFonts w:eastAsiaTheme="minorEastAsia" w:cs="Times New Roman"/>
          <w:szCs w:val="24"/>
        </w:rPr>
        <w:lastRenderedPageBreak/>
        <w:t>factor of each zone (</w:t>
      </w: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Z</m:t>
            </m:r>
          </m:sub>
        </m:sSub>
      </m:oMath>
      <w:r w:rsidRPr="00FD2EFD">
        <w:rPr>
          <w:rFonts w:eastAsiaTheme="minorEastAsia" w:cs="Times New Roman"/>
          <w:szCs w:val="24"/>
        </w:rPr>
        <w:t xml:space="preserve">). Both </w:t>
      </w:r>
      <m:oMath>
        <m:sSub>
          <m:sSubPr>
            <m:ctrlPr>
              <w:rPr>
                <w:rFonts w:ascii="Cambria Math" w:hAnsi="Cambria Math" w:cs="Times New Roman"/>
                <w:i/>
                <w:szCs w:val="24"/>
              </w:rPr>
            </m:ctrlPr>
          </m:sSubPr>
          <m:e>
            <m:r>
              <w:rPr>
                <w:rFonts w:ascii="Cambria Math" w:hAnsi="Cambria Math" w:cs="Times New Roman"/>
                <w:szCs w:val="24"/>
              </w:rPr>
              <m:t>H</m:t>
            </m:r>
          </m:e>
          <m:sub>
            <m:r>
              <w:rPr>
                <w:rFonts w:ascii="Cambria Math" w:hAnsi="Cambria Math" w:cs="Times New Roman"/>
                <w:szCs w:val="24"/>
              </w:rPr>
              <m:t>Z</m:t>
            </m:r>
          </m:sub>
        </m:sSub>
        <m:r>
          <w:rPr>
            <w:rFonts w:ascii="Cambria Math" w:hAnsi="Cambria Math" w:cs="Times New Roman"/>
            <w:szCs w:val="24"/>
          </w:rPr>
          <m:t xml:space="preserve"> </m:t>
        </m:r>
      </m:oMath>
      <w:r w:rsidRPr="00FD2EFD">
        <w:rPr>
          <w:rFonts w:eastAsiaTheme="minorEastAsia" w:cs="Times New Roman"/>
          <w:szCs w:val="24"/>
        </w:rPr>
        <w:t xml:space="preserve">and </w:t>
      </w:r>
      <m:oMath>
        <m:sSub>
          <m:sSubPr>
            <m:ctrlPr>
              <w:rPr>
                <w:rFonts w:ascii="Cambria Math" w:hAnsi="Cambria Math" w:cs="Times New Roman"/>
                <w:i/>
                <w:szCs w:val="24"/>
              </w:rPr>
            </m:ctrlPr>
          </m:sSubPr>
          <m:e>
            <m:r>
              <w:rPr>
                <w:rFonts w:ascii="Cambria Math" w:hAnsi="Cambria Math" w:cs="Times New Roman"/>
                <w:szCs w:val="24"/>
              </w:rPr>
              <m:t>P</m:t>
            </m:r>
          </m:e>
          <m:sub>
            <m:r>
              <w:rPr>
                <w:rFonts w:ascii="Cambria Math" w:hAnsi="Cambria Math" w:cs="Times New Roman"/>
                <w:szCs w:val="24"/>
              </w:rPr>
              <m:t>Z</m:t>
            </m:r>
          </m:sub>
        </m:sSub>
      </m:oMath>
      <w:r w:rsidRPr="00FD2EFD">
        <w:rPr>
          <w:rFonts w:eastAsiaTheme="minorEastAsia" w:cs="Times New Roman"/>
          <w:szCs w:val="24"/>
        </w:rPr>
        <w:t xml:space="preserve"> are a function of the axial zones pertaining to (z). The current method contains three zones, (PSZ, DOM and VAN). </w:t>
      </w:r>
      <w:r w:rsidRPr="00FD2EFD">
        <w:rPr>
          <w:rFonts w:cs="Times New Roman"/>
          <w:szCs w:val="24"/>
        </w:rPr>
        <w:t>In determining the average power factors</w:t>
      </w:r>
      <w:r>
        <w:rPr>
          <w:rFonts w:cs="Times New Roman"/>
          <w:szCs w:val="24"/>
        </w:rPr>
        <w:t>,</w:t>
      </w:r>
      <w:r w:rsidRPr="00FD2EFD">
        <w:rPr>
          <w:rFonts w:cs="Times New Roman"/>
          <w:szCs w:val="24"/>
        </w:rPr>
        <w:t xml:space="preserve"> a generic BWR power shape was desired. Using </w:t>
      </w:r>
      <w:r>
        <w:rPr>
          <w:rFonts w:cs="Times New Roman"/>
          <w:szCs w:val="24"/>
        </w:rPr>
        <w:t>traversing</w:t>
      </w:r>
      <w:r w:rsidRPr="00FD2EFD">
        <w:rPr>
          <w:rFonts w:cs="Times New Roman"/>
          <w:szCs w:val="24"/>
        </w:rPr>
        <w:t xml:space="preserve"> in-core probe (TIP) data taken from the Peach Bottom Unit 2 Operations Report </w:t>
      </w:r>
      <w:r>
        <w:rPr>
          <w:rFonts w:cs="Times New Roman"/>
          <w:szCs w:val="24"/>
        </w:rPr>
        <w:fldChar w:fldCharType="begin"/>
      </w:r>
      <w:r w:rsidR="00817846">
        <w:rPr>
          <w:rFonts w:cs="Times New Roman"/>
          <w:szCs w:val="24"/>
        </w:rPr>
        <w:instrText xml:space="preserve"> ADDIN EN.CITE &lt;EndNote&gt;&lt;Cite&gt;&lt;Author&gt;Larsen&lt;/Author&gt;&lt;Year&gt;1978&lt;/Year&gt;&lt;RecNum&gt;94&lt;/RecNum&gt;&lt;DisplayText&gt;[48]&lt;/DisplayText&gt;&lt;record&gt;&lt;rec-number&gt;94&lt;/rec-number&gt;&lt;foreign-keys&gt;&lt;key app="EN" db-id="trfxzx057wwv0qe0vz1vttttwf0522tvtwpt" timestamp="1422295274"&gt;94&lt;/key&gt;&lt;/foreign-keys&gt;&lt;ref-type name="Report"&gt;27&lt;/ref-type&gt;&lt;contributors&gt;&lt;authors&gt;&lt;author&gt;Larsen, NH&lt;/author&gt;&lt;/authors&gt;&lt;/contributors&gt;&lt;titles&gt;&lt;title&gt;Core Design and Operating Data for Cycles 1 and 2 of Peach Bottom 2&lt;/title&gt;&lt;/titles&gt;&lt;dates&gt;&lt;year&gt;1978&lt;/year&gt;&lt;/dates&gt;&lt;publisher&gt;General Electric Co., San Jose, CA (USA). Nuclear Energy Engineering Div&lt;/publisher&gt;&lt;urls&gt;&lt;/urls&gt;&lt;/record&gt;&lt;/Cite&gt;&lt;/EndNote&gt;</w:instrText>
      </w:r>
      <w:r>
        <w:rPr>
          <w:rFonts w:cs="Times New Roman"/>
          <w:szCs w:val="24"/>
        </w:rPr>
        <w:fldChar w:fldCharType="separate"/>
      </w:r>
      <w:r w:rsidR="00817846">
        <w:rPr>
          <w:rFonts w:cs="Times New Roman"/>
          <w:noProof/>
          <w:szCs w:val="24"/>
        </w:rPr>
        <w:t>[</w:t>
      </w:r>
      <w:hyperlink w:anchor="_ENREF_48" w:tooltip="Larsen, 1978 #94" w:history="1">
        <w:r w:rsidR="00DF20CB">
          <w:rPr>
            <w:rFonts w:cs="Times New Roman"/>
            <w:noProof/>
            <w:szCs w:val="24"/>
          </w:rPr>
          <w:t>48</w:t>
        </w:r>
      </w:hyperlink>
      <w:r w:rsidR="00817846">
        <w:rPr>
          <w:rFonts w:cs="Times New Roman"/>
          <w:noProof/>
          <w:szCs w:val="24"/>
        </w:rPr>
        <w:t>]</w:t>
      </w:r>
      <w:r>
        <w:rPr>
          <w:rFonts w:cs="Times New Roman"/>
          <w:szCs w:val="24"/>
        </w:rPr>
        <w:fldChar w:fldCharType="end"/>
      </w:r>
      <w:r>
        <w:rPr>
          <w:rFonts w:cs="Times New Roman"/>
          <w:szCs w:val="24"/>
        </w:rPr>
        <w:t xml:space="preserve">, </w:t>
      </w:r>
      <w:r w:rsidRPr="00FD2EFD">
        <w:rPr>
          <w:rFonts w:cs="Times New Roman"/>
          <w:szCs w:val="24"/>
        </w:rPr>
        <w:t xml:space="preserve">the relative axial </w:t>
      </w:r>
      <w:r w:rsidR="009120DE">
        <w:rPr>
          <w:rFonts w:cs="Times New Roman"/>
          <w:szCs w:val="24"/>
        </w:rPr>
        <w:t>power factors were plotted in Figure 18</w:t>
      </w:r>
      <w:r w:rsidRPr="00FD2EFD">
        <w:rPr>
          <w:rFonts w:cs="Times New Roman"/>
          <w:szCs w:val="24"/>
        </w:rPr>
        <w:t xml:space="preserve">. The data points </w:t>
      </w:r>
      <w:r>
        <w:rPr>
          <w:rFonts w:cs="Times New Roman"/>
          <w:szCs w:val="24"/>
        </w:rPr>
        <w:t>relative to</w:t>
      </w:r>
      <w:r w:rsidRPr="00FD2EFD">
        <w:rPr>
          <w:rFonts w:cs="Times New Roman"/>
          <w:szCs w:val="24"/>
        </w:rPr>
        <w:t xml:space="preserve"> height were divided into three axial sections and the average relative power throughout that region was calculated at the bottom of each zone: (PSZ in blue, DOM in red, VAN in green).</w:t>
      </w:r>
    </w:p>
    <w:p w14:paraId="4B12ABEA" w14:textId="77777777" w:rsidR="00092C2B" w:rsidRDefault="00092C2B" w:rsidP="0091793B">
      <w:pPr>
        <w:spacing w:line="360" w:lineRule="auto"/>
        <w:jc w:val="both"/>
        <w:rPr>
          <w:rFonts w:cs="Times New Roman"/>
          <w:szCs w:val="24"/>
        </w:rPr>
      </w:pPr>
    </w:p>
    <w:p w14:paraId="265A0474" w14:textId="77777777" w:rsidR="00BF0758" w:rsidRPr="00A93605" w:rsidRDefault="00A3048B" w:rsidP="006F0C75">
      <w:pPr>
        <w:spacing w:line="360" w:lineRule="auto"/>
        <w:rPr>
          <w:rFonts w:eastAsia="Times New Roman" w:cs="Times New Roman"/>
          <w:b/>
          <w:snapToGrid w:val="0"/>
          <w:szCs w:val="24"/>
        </w:rPr>
      </w:pPr>
      <w:bookmarkStart w:id="23" w:name="_Toc416993427"/>
      <w:r>
        <w:t xml:space="preserve">Table </w:t>
      </w:r>
      <w:fldSimple w:instr=" SEQ Table \* ROMAN ">
        <w:r w:rsidR="00EC7A3E">
          <w:rPr>
            <w:noProof/>
          </w:rPr>
          <w:t>V</w:t>
        </w:r>
      </w:fldSimple>
      <w:r>
        <w:t xml:space="preserve">. </w:t>
      </w:r>
      <w:r w:rsidRPr="00353AB0">
        <w:t xml:space="preserve">Assumed Batch-dependent Assembly Counts, Core Volume Fractions, Relative Assembly Powers, and </w:t>
      </w:r>
      <w:r w:rsidR="00497109">
        <w:t>EFPD</w:t>
      </w:r>
      <w:r w:rsidRPr="00353AB0">
        <w:t xml:space="preserve"> for a Typical General Electric BWR</w:t>
      </w:r>
      <w:bookmarkEnd w:id="23"/>
    </w:p>
    <w:tbl>
      <w:tblPr>
        <w:tblW w:w="6775" w:type="dxa"/>
        <w:jc w:val="center"/>
        <w:tblInd w:w="93" w:type="dxa"/>
        <w:tblLook w:val="04A0" w:firstRow="1" w:lastRow="0" w:firstColumn="1" w:lastColumn="0" w:noHBand="0" w:noVBand="1"/>
      </w:tblPr>
      <w:tblGrid>
        <w:gridCol w:w="1048"/>
        <w:gridCol w:w="1794"/>
        <w:gridCol w:w="1225"/>
        <w:gridCol w:w="1182"/>
        <w:gridCol w:w="1526"/>
      </w:tblGrid>
      <w:tr w:rsidR="00594D5A" w:rsidRPr="00BE6B46" w14:paraId="0EABFE6F" w14:textId="77777777" w:rsidTr="007166EC">
        <w:trPr>
          <w:trHeight w:val="295"/>
          <w:jc w:val="center"/>
        </w:trPr>
        <w:tc>
          <w:tcPr>
            <w:tcW w:w="1048" w:type="dxa"/>
            <w:tcBorders>
              <w:top w:val="single" w:sz="4" w:space="0" w:color="auto"/>
              <w:bottom w:val="single" w:sz="4" w:space="0" w:color="auto"/>
            </w:tcBorders>
            <w:shd w:val="clear" w:color="auto" w:fill="F2F2F2" w:themeFill="background1" w:themeFillShade="F2"/>
            <w:noWrap/>
            <w:vAlign w:val="center"/>
            <w:hideMark/>
          </w:tcPr>
          <w:p w14:paraId="6669A4D0" w14:textId="77777777" w:rsidR="00594D5A" w:rsidRPr="00594D5A" w:rsidRDefault="00594D5A" w:rsidP="006F0C75">
            <w:pPr>
              <w:widowControl w:val="0"/>
              <w:spacing w:after="0"/>
              <w:rPr>
                <w:rFonts w:eastAsia="Times New Roman" w:cs="Times New Roman"/>
                <w:b/>
                <w:bCs/>
                <w:snapToGrid w:val="0"/>
                <w:color w:val="000000"/>
                <w:sz w:val="20"/>
                <w:szCs w:val="20"/>
              </w:rPr>
            </w:pPr>
            <w:r w:rsidRPr="00594D5A">
              <w:rPr>
                <w:rFonts w:eastAsia="Times New Roman" w:cs="Times New Roman"/>
                <w:b/>
                <w:bCs/>
                <w:snapToGrid w:val="0"/>
                <w:color w:val="000000"/>
                <w:sz w:val="20"/>
                <w:szCs w:val="20"/>
              </w:rPr>
              <w:t xml:space="preserve">Batch </w:t>
            </w:r>
          </w:p>
          <w:p w14:paraId="7DE4B51F" w14:textId="77777777" w:rsidR="00594D5A" w:rsidRPr="00594D5A" w:rsidRDefault="00594D5A" w:rsidP="006F0C75">
            <w:pPr>
              <w:widowControl w:val="0"/>
              <w:spacing w:after="0"/>
              <w:rPr>
                <w:rFonts w:eastAsia="Times New Roman" w:cs="Times New Roman"/>
                <w:b/>
                <w:bCs/>
                <w:snapToGrid w:val="0"/>
                <w:color w:val="000000"/>
                <w:sz w:val="20"/>
                <w:szCs w:val="20"/>
              </w:rPr>
            </w:pPr>
            <w:r w:rsidRPr="00594D5A">
              <w:rPr>
                <w:rFonts w:eastAsia="Times New Roman" w:cs="Times New Roman"/>
                <w:b/>
                <w:bCs/>
                <w:snapToGrid w:val="0"/>
                <w:color w:val="000000"/>
                <w:sz w:val="20"/>
                <w:szCs w:val="20"/>
              </w:rPr>
              <w:t>(</w:t>
            </w:r>
            <w:r w:rsidRPr="00594D5A">
              <w:rPr>
                <w:rFonts w:eastAsia="Times New Roman" w:cs="Times New Roman"/>
                <w:b/>
                <w:bCs/>
                <w:i/>
                <w:snapToGrid w:val="0"/>
                <w:color w:val="000000"/>
                <w:sz w:val="20"/>
                <w:szCs w:val="20"/>
              </w:rPr>
              <w:t>e</w:t>
            </w:r>
            <w:r w:rsidRPr="00594D5A">
              <w:rPr>
                <w:rFonts w:eastAsia="Times New Roman" w:cs="Times New Roman"/>
                <w:b/>
                <w:bCs/>
                <w:i/>
                <w:snapToGrid w:val="0"/>
                <w:color w:val="000000"/>
                <w:sz w:val="20"/>
                <w:szCs w:val="20"/>
                <w:vertAlign w:val="subscript"/>
              </w:rPr>
              <w:t>b</w:t>
            </w:r>
            <w:r w:rsidRPr="00594D5A">
              <w:rPr>
                <w:rFonts w:eastAsia="Times New Roman" w:cs="Times New Roman"/>
                <w:b/>
                <w:bCs/>
                <w:snapToGrid w:val="0"/>
                <w:color w:val="000000"/>
                <w:sz w:val="20"/>
                <w:szCs w:val="20"/>
              </w:rPr>
              <w:t>)</w:t>
            </w:r>
          </w:p>
        </w:tc>
        <w:tc>
          <w:tcPr>
            <w:tcW w:w="1794" w:type="dxa"/>
            <w:tcBorders>
              <w:top w:val="single" w:sz="4" w:space="0" w:color="auto"/>
              <w:bottom w:val="single" w:sz="4" w:space="0" w:color="auto"/>
            </w:tcBorders>
            <w:shd w:val="clear" w:color="auto" w:fill="F2F2F2" w:themeFill="background1" w:themeFillShade="F2"/>
            <w:noWrap/>
            <w:vAlign w:val="center"/>
            <w:hideMark/>
          </w:tcPr>
          <w:p w14:paraId="4A05663D" w14:textId="77777777" w:rsidR="00594D5A" w:rsidRPr="00594D5A" w:rsidRDefault="00594D5A" w:rsidP="006F0C75">
            <w:pPr>
              <w:widowControl w:val="0"/>
              <w:spacing w:after="0"/>
              <w:rPr>
                <w:rFonts w:eastAsia="Times New Roman" w:cs="Times New Roman"/>
                <w:b/>
                <w:snapToGrid w:val="0"/>
                <w:color w:val="000000"/>
                <w:sz w:val="20"/>
                <w:szCs w:val="20"/>
              </w:rPr>
            </w:pPr>
            <w:r w:rsidRPr="00594D5A">
              <w:rPr>
                <w:rFonts w:eastAsia="Times New Roman" w:cs="Times New Roman"/>
                <w:b/>
                <w:snapToGrid w:val="0"/>
                <w:color w:val="000000"/>
                <w:sz w:val="20"/>
                <w:szCs w:val="20"/>
              </w:rPr>
              <w:t xml:space="preserve">Number of </w:t>
            </w:r>
          </w:p>
          <w:p w14:paraId="4C30154A" w14:textId="77777777" w:rsidR="00594D5A" w:rsidRPr="00594D5A" w:rsidRDefault="00594D5A" w:rsidP="006F0C75">
            <w:pPr>
              <w:widowControl w:val="0"/>
              <w:spacing w:after="0"/>
              <w:rPr>
                <w:rFonts w:eastAsia="Times New Roman" w:cs="Times New Roman"/>
                <w:b/>
                <w:snapToGrid w:val="0"/>
                <w:color w:val="000000"/>
                <w:sz w:val="20"/>
                <w:szCs w:val="20"/>
              </w:rPr>
            </w:pPr>
            <w:r w:rsidRPr="00594D5A">
              <w:rPr>
                <w:rFonts w:eastAsia="Times New Roman" w:cs="Times New Roman"/>
                <w:b/>
                <w:snapToGrid w:val="0"/>
                <w:color w:val="000000"/>
                <w:sz w:val="20"/>
                <w:szCs w:val="20"/>
              </w:rPr>
              <w:t>Assemblies</w:t>
            </w:r>
          </w:p>
        </w:tc>
        <w:tc>
          <w:tcPr>
            <w:tcW w:w="1225" w:type="dxa"/>
            <w:tcBorders>
              <w:top w:val="single" w:sz="4" w:space="0" w:color="auto"/>
              <w:bottom w:val="single" w:sz="4" w:space="0" w:color="auto"/>
            </w:tcBorders>
            <w:shd w:val="clear" w:color="auto" w:fill="F2F2F2" w:themeFill="background1" w:themeFillShade="F2"/>
            <w:noWrap/>
            <w:vAlign w:val="center"/>
            <w:hideMark/>
          </w:tcPr>
          <w:p w14:paraId="6BAD9DA2" w14:textId="77777777" w:rsidR="00594D5A" w:rsidRPr="00594D5A" w:rsidRDefault="00594D5A" w:rsidP="006F0C75">
            <w:pPr>
              <w:widowControl w:val="0"/>
              <w:spacing w:after="0"/>
              <w:rPr>
                <w:rFonts w:eastAsia="Times New Roman" w:cs="Times New Roman"/>
                <w:b/>
                <w:snapToGrid w:val="0"/>
                <w:color w:val="000000"/>
                <w:sz w:val="20"/>
                <w:szCs w:val="20"/>
              </w:rPr>
            </w:pPr>
            <w:r w:rsidRPr="00594D5A">
              <w:rPr>
                <w:rFonts w:eastAsia="Times New Roman" w:cs="Times New Roman"/>
                <w:b/>
                <w:snapToGrid w:val="0"/>
                <w:color w:val="000000"/>
                <w:sz w:val="20"/>
                <w:szCs w:val="20"/>
              </w:rPr>
              <w:t xml:space="preserve">Core </w:t>
            </w:r>
          </w:p>
          <w:p w14:paraId="7E854350" w14:textId="77777777" w:rsidR="00594D5A" w:rsidRPr="00594D5A" w:rsidRDefault="00594D5A" w:rsidP="006F0C75">
            <w:pPr>
              <w:widowControl w:val="0"/>
              <w:spacing w:after="0"/>
              <w:rPr>
                <w:rFonts w:eastAsia="Times New Roman" w:cs="Times New Roman"/>
                <w:b/>
                <w:snapToGrid w:val="0"/>
                <w:color w:val="000000"/>
                <w:sz w:val="20"/>
                <w:szCs w:val="20"/>
              </w:rPr>
            </w:pPr>
            <w:r w:rsidRPr="00594D5A">
              <w:rPr>
                <w:rFonts w:eastAsia="Times New Roman" w:cs="Times New Roman"/>
                <w:b/>
                <w:snapToGrid w:val="0"/>
                <w:color w:val="000000"/>
                <w:sz w:val="20"/>
                <w:szCs w:val="20"/>
              </w:rPr>
              <w:t xml:space="preserve">Fraction </w:t>
            </w:r>
          </w:p>
          <w:p w14:paraId="597450D1" w14:textId="77777777" w:rsidR="00594D5A" w:rsidRPr="00594D5A" w:rsidRDefault="00594D5A" w:rsidP="006F0C75">
            <w:pPr>
              <w:widowControl w:val="0"/>
              <w:spacing w:after="0"/>
              <w:rPr>
                <w:rFonts w:eastAsia="Times New Roman" w:cs="Times New Roman"/>
                <w:b/>
                <w:snapToGrid w:val="0"/>
                <w:color w:val="000000"/>
                <w:sz w:val="20"/>
                <w:szCs w:val="20"/>
              </w:rPr>
            </w:pPr>
            <w:r w:rsidRPr="00594D5A">
              <w:rPr>
                <w:rFonts w:eastAsia="Times New Roman" w:cs="Times New Roman"/>
                <w:b/>
                <w:snapToGrid w:val="0"/>
                <w:color w:val="000000"/>
                <w:sz w:val="20"/>
                <w:szCs w:val="20"/>
              </w:rPr>
              <w:t>Vol % (</w:t>
            </w:r>
            <w:r w:rsidRPr="00594D5A">
              <w:rPr>
                <w:rFonts w:eastAsia="Times New Roman" w:cs="Times New Roman"/>
                <w:b/>
                <w:i/>
                <w:snapToGrid w:val="0"/>
                <w:color w:val="000000"/>
                <w:sz w:val="20"/>
                <w:szCs w:val="20"/>
              </w:rPr>
              <w:t>V</w:t>
            </w:r>
            <w:r w:rsidRPr="00594D5A">
              <w:rPr>
                <w:rFonts w:eastAsia="Times New Roman" w:cs="Times New Roman"/>
                <w:b/>
                <w:i/>
                <w:snapToGrid w:val="0"/>
                <w:color w:val="000000"/>
                <w:sz w:val="20"/>
                <w:szCs w:val="20"/>
                <w:vertAlign w:val="subscript"/>
              </w:rPr>
              <w:t>b</w:t>
            </w:r>
            <w:r w:rsidRPr="00594D5A">
              <w:rPr>
                <w:rFonts w:eastAsia="Times New Roman" w:cs="Times New Roman"/>
                <w:b/>
                <w:snapToGrid w:val="0"/>
                <w:color w:val="000000"/>
                <w:sz w:val="20"/>
                <w:szCs w:val="20"/>
              </w:rPr>
              <w:t>)</w:t>
            </w:r>
          </w:p>
        </w:tc>
        <w:tc>
          <w:tcPr>
            <w:tcW w:w="1182" w:type="dxa"/>
            <w:tcBorders>
              <w:top w:val="single" w:sz="4" w:space="0" w:color="auto"/>
              <w:bottom w:val="single" w:sz="4" w:space="0" w:color="auto"/>
            </w:tcBorders>
            <w:shd w:val="clear" w:color="auto" w:fill="F2F2F2" w:themeFill="background1" w:themeFillShade="F2"/>
            <w:noWrap/>
            <w:vAlign w:val="center"/>
            <w:hideMark/>
          </w:tcPr>
          <w:p w14:paraId="5E4D4C66" w14:textId="77777777" w:rsidR="00594D5A" w:rsidRPr="00594D5A" w:rsidRDefault="00594D5A" w:rsidP="006F0C75">
            <w:pPr>
              <w:widowControl w:val="0"/>
              <w:spacing w:after="0"/>
              <w:rPr>
                <w:rFonts w:eastAsia="Times New Roman" w:cs="Times New Roman"/>
                <w:b/>
                <w:bCs/>
                <w:snapToGrid w:val="0"/>
                <w:color w:val="000000"/>
                <w:sz w:val="20"/>
                <w:szCs w:val="20"/>
              </w:rPr>
            </w:pPr>
            <w:r w:rsidRPr="00594D5A">
              <w:rPr>
                <w:rFonts w:eastAsia="Times New Roman" w:cs="Times New Roman"/>
                <w:b/>
                <w:bCs/>
                <w:snapToGrid w:val="0"/>
                <w:color w:val="000000"/>
                <w:sz w:val="20"/>
                <w:szCs w:val="20"/>
              </w:rPr>
              <w:t xml:space="preserve">Relative </w:t>
            </w:r>
          </w:p>
          <w:p w14:paraId="5678C32A" w14:textId="77777777" w:rsidR="00594D5A" w:rsidRPr="00594D5A" w:rsidRDefault="00594D5A" w:rsidP="006F0C75">
            <w:pPr>
              <w:widowControl w:val="0"/>
              <w:spacing w:after="0"/>
              <w:rPr>
                <w:rFonts w:eastAsia="Times New Roman" w:cs="Times New Roman"/>
                <w:b/>
                <w:bCs/>
                <w:snapToGrid w:val="0"/>
                <w:color w:val="000000"/>
                <w:sz w:val="20"/>
                <w:szCs w:val="20"/>
              </w:rPr>
            </w:pPr>
            <w:r w:rsidRPr="00594D5A">
              <w:rPr>
                <w:rFonts w:eastAsia="Times New Roman" w:cs="Times New Roman"/>
                <w:b/>
                <w:bCs/>
                <w:snapToGrid w:val="0"/>
                <w:color w:val="000000"/>
                <w:sz w:val="20"/>
                <w:szCs w:val="20"/>
              </w:rPr>
              <w:t xml:space="preserve">Assembly </w:t>
            </w:r>
          </w:p>
          <w:p w14:paraId="71E4017D" w14:textId="77777777" w:rsidR="00594D5A" w:rsidRPr="00594D5A" w:rsidRDefault="00594D5A" w:rsidP="006F0C75">
            <w:pPr>
              <w:widowControl w:val="0"/>
              <w:spacing w:after="0"/>
              <w:rPr>
                <w:rFonts w:eastAsia="Times New Roman" w:cs="Times New Roman"/>
                <w:b/>
                <w:bCs/>
                <w:snapToGrid w:val="0"/>
                <w:color w:val="000000"/>
                <w:sz w:val="20"/>
                <w:szCs w:val="20"/>
              </w:rPr>
            </w:pPr>
            <w:r w:rsidRPr="00594D5A">
              <w:rPr>
                <w:rFonts w:eastAsia="Times New Roman" w:cs="Times New Roman"/>
                <w:b/>
                <w:bCs/>
                <w:snapToGrid w:val="0"/>
                <w:color w:val="000000"/>
                <w:sz w:val="20"/>
                <w:szCs w:val="20"/>
              </w:rPr>
              <w:t>Power (</w:t>
            </w:r>
            <w:r w:rsidRPr="00594D5A">
              <w:rPr>
                <w:rFonts w:eastAsia="Times New Roman" w:cs="Times New Roman"/>
                <w:b/>
                <w:bCs/>
                <w:i/>
                <w:snapToGrid w:val="0"/>
                <w:color w:val="000000"/>
                <w:sz w:val="20"/>
                <w:szCs w:val="20"/>
              </w:rPr>
              <w:t>P</w:t>
            </w:r>
            <w:r w:rsidRPr="00594D5A">
              <w:rPr>
                <w:rFonts w:eastAsia="Times New Roman" w:cs="Times New Roman"/>
                <w:b/>
                <w:bCs/>
                <w:i/>
                <w:snapToGrid w:val="0"/>
                <w:color w:val="000000"/>
                <w:sz w:val="20"/>
                <w:szCs w:val="20"/>
                <w:vertAlign w:val="subscript"/>
              </w:rPr>
              <w:t>b</w:t>
            </w:r>
            <w:r w:rsidRPr="00594D5A">
              <w:rPr>
                <w:rFonts w:eastAsia="Times New Roman" w:cs="Times New Roman"/>
                <w:b/>
                <w:bCs/>
                <w:snapToGrid w:val="0"/>
                <w:color w:val="000000"/>
                <w:sz w:val="20"/>
                <w:szCs w:val="20"/>
              </w:rPr>
              <w:t>)</w:t>
            </w:r>
          </w:p>
        </w:tc>
        <w:tc>
          <w:tcPr>
            <w:tcW w:w="1526" w:type="dxa"/>
            <w:tcBorders>
              <w:top w:val="single" w:sz="4" w:space="0" w:color="auto"/>
              <w:bottom w:val="single" w:sz="4" w:space="0" w:color="auto"/>
            </w:tcBorders>
            <w:shd w:val="clear" w:color="auto" w:fill="F2F2F2" w:themeFill="background1" w:themeFillShade="F2"/>
            <w:noWrap/>
            <w:vAlign w:val="center"/>
            <w:hideMark/>
          </w:tcPr>
          <w:p w14:paraId="531A1371" w14:textId="77777777" w:rsidR="00594D5A" w:rsidRPr="00594D5A" w:rsidRDefault="00497109" w:rsidP="006F0C75">
            <w:pPr>
              <w:widowControl w:val="0"/>
              <w:spacing w:after="0"/>
              <w:rPr>
                <w:rFonts w:eastAsia="Times New Roman" w:cs="Times New Roman"/>
                <w:b/>
                <w:bCs/>
                <w:snapToGrid w:val="0"/>
                <w:color w:val="000000"/>
                <w:sz w:val="20"/>
                <w:szCs w:val="20"/>
              </w:rPr>
            </w:pPr>
            <w:r>
              <w:rPr>
                <w:rFonts w:eastAsia="Times New Roman" w:cs="Times New Roman"/>
                <w:b/>
                <w:bCs/>
                <w:snapToGrid w:val="0"/>
                <w:color w:val="000000"/>
                <w:sz w:val="20"/>
                <w:szCs w:val="20"/>
              </w:rPr>
              <w:t>EFPD</w:t>
            </w:r>
            <w:r w:rsidR="00594D5A" w:rsidRPr="00594D5A">
              <w:rPr>
                <w:rFonts w:eastAsia="Times New Roman" w:cs="Times New Roman"/>
                <w:b/>
                <w:bCs/>
                <w:snapToGrid w:val="0"/>
                <w:color w:val="000000"/>
                <w:sz w:val="20"/>
                <w:szCs w:val="20"/>
              </w:rPr>
              <w:t xml:space="preserve"> </w:t>
            </w:r>
          </w:p>
          <w:p w14:paraId="2A68B9C8" w14:textId="77777777" w:rsidR="00594D5A" w:rsidRPr="00594D5A" w:rsidRDefault="00594D5A" w:rsidP="006224E8">
            <w:pPr>
              <w:widowControl w:val="0"/>
              <w:spacing w:after="0"/>
              <w:rPr>
                <w:rFonts w:eastAsia="Times New Roman" w:cs="Times New Roman"/>
                <w:b/>
                <w:bCs/>
                <w:snapToGrid w:val="0"/>
                <w:color w:val="000000"/>
                <w:sz w:val="20"/>
                <w:szCs w:val="20"/>
              </w:rPr>
            </w:pPr>
            <w:r w:rsidRPr="00594D5A">
              <w:rPr>
                <w:rFonts w:eastAsia="Times New Roman" w:cs="Times New Roman"/>
                <w:b/>
                <w:bCs/>
                <w:snapToGrid w:val="0"/>
                <w:color w:val="000000"/>
                <w:sz w:val="20"/>
                <w:szCs w:val="20"/>
              </w:rPr>
              <w:t xml:space="preserve">Achieved at </w:t>
            </w:r>
            <w:r w:rsidR="006224E8">
              <w:rPr>
                <w:rFonts w:eastAsia="Times New Roman" w:cs="Times New Roman"/>
                <w:b/>
                <w:bCs/>
                <w:snapToGrid w:val="0"/>
                <w:color w:val="000000"/>
                <w:sz w:val="20"/>
                <w:szCs w:val="20"/>
              </w:rPr>
              <w:t>EOC</w:t>
            </w:r>
          </w:p>
        </w:tc>
      </w:tr>
      <w:tr w:rsidR="00BE6B46" w:rsidRPr="00BE6B46" w14:paraId="4CE320F5" w14:textId="77777777" w:rsidTr="007166EC">
        <w:trPr>
          <w:trHeight w:val="295"/>
          <w:jc w:val="center"/>
        </w:trPr>
        <w:tc>
          <w:tcPr>
            <w:tcW w:w="1048" w:type="dxa"/>
            <w:tcBorders>
              <w:top w:val="single" w:sz="4" w:space="0" w:color="auto"/>
            </w:tcBorders>
            <w:shd w:val="clear" w:color="auto" w:fill="FFFFFF" w:themeFill="background1"/>
            <w:noWrap/>
            <w:vAlign w:val="center"/>
            <w:hideMark/>
          </w:tcPr>
          <w:p w14:paraId="774C9474"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1</w:t>
            </w:r>
          </w:p>
        </w:tc>
        <w:tc>
          <w:tcPr>
            <w:tcW w:w="1794" w:type="dxa"/>
            <w:tcBorders>
              <w:top w:val="single" w:sz="4" w:space="0" w:color="auto"/>
            </w:tcBorders>
            <w:shd w:val="clear" w:color="auto" w:fill="FFFFFF" w:themeFill="background1"/>
            <w:noWrap/>
            <w:vAlign w:val="bottom"/>
            <w:hideMark/>
          </w:tcPr>
          <w:p w14:paraId="4FE825D1"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272</w:t>
            </w:r>
          </w:p>
        </w:tc>
        <w:tc>
          <w:tcPr>
            <w:tcW w:w="1225" w:type="dxa"/>
            <w:tcBorders>
              <w:top w:val="single" w:sz="4" w:space="0" w:color="auto"/>
            </w:tcBorders>
            <w:shd w:val="clear" w:color="auto" w:fill="FFFFFF" w:themeFill="background1"/>
            <w:noWrap/>
            <w:vAlign w:val="center"/>
            <w:hideMark/>
          </w:tcPr>
          <w:p w14:paraId="17FFB08C"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36%</w:t>
            </w:r>
          </w:p>
        </w:tc>
        <w:tc>
          <w:tcPr>
            <w:tcW w:w="1182" w:type="dxa"/>
            <w:tcBorders>
              <w:top w:val="single" w:sz="4" w:space="0" w:color="auto"/>
            </w:tcBorders>
            <w:shd w:val="clear" w:color="auto" w:fill="FFFFFF" w:themeFill="background1"/>
            <w:noWrap/>
            <w:vAlign w:val="center"/>
            <w:hideMark/>
          </w:tcPr>
          <w:p w14:paraId="4724BABC"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1.36</w:t>
            </w:r>
          </w:p>
        </w:tc>
        <w:tc>
          <w:tcPr>
            <w:tcW w:w="1526" w:type="dxa"/>
            <w:tcBorders>
              <w:top w:val="single" w:sz="4" w:space="0" w:color="auto"/>
              <w:right w:val="nil"/>
            </w:tcBorders>
            <w:shd w:val="clear" w:color="auto" w:fill="FFFFFF" w:themeFill="background1"/>
            <w:noWrap/>
            <w:vAlign w:val="center"/>
            <w:hideMark/>
          </w:tcPr>
          <w:p w14:paraId="671C89E6" w14:textId="77777777" w:rsidR="00BE6B46" w:rsidRPr="00BE6B46" w:rsidRDefault="00BE6B46" w:rsidP="006F0C75">
            <w:pPr>
              <w:spacing w:after="0"/>
              <w:rPr>
                <w:rFonts w:eastAsia="Times New Roman" w:cs="Times New Roman"/>
                <w:b/>
                <w:bCs/>
                <w:color w:val="000000"/>
                <w:sz w:val="20"/>
                <w:szCs w:val="20"/>
              </w:rPr>
            </w:pPr>
            <w:r w:rsidRPr="00BE6B46">
              <w:rPr>
                <w:rFonts w:eastAsia="Times New Roman" w:cs="Times New Roman"/>
                <w:b/>
                <w:bCs/>
                <w:color w:val="000000"/>
                <w:sz w:val="20"/>
                <w:szCs w:val="20"/>
              </w:rPr>
              <w:t>883.1</w:t>
            </w:r>
          </w:p>
        </w:tc>
      </w:tr>
      <w:tr w:rsidR="00BE6B46" w:rsidRPr="00BE6B46" w14:paraId="19191DE4" w14:textId="77777777" w:rsidTr="007166EC">
        <w:trPr>
          <w:trHeight w:val="295"/>
          <w:jc w:val="center"/>
        </w:trPr>
        <w:tc>
          <w:tcPr>
            <w:tcW w:w="1048" w:type="dxa"/>
            <w:tcBorders>
              <w:top w:val="nil"/>
              <w:bottom w:val="nil"/>
            </w:tcBorders>
            <w:shd w:val="clear" w:color="auto" w:fill="FFFFFF" w:themeFill="background1"/>
            <w:noWrap/>
            <w:vAlign w:val="center"/>
            <w:hideMark/>
          </w:tcPr>
          <w:p w14:paraId="40744021"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2</w:t>
            </w:r>
          </w:p>
        </w:tc>
        <w:tc>
          <w:tcPr>
            <w:tcW w:w="1794" w:type="dxa"/>
            <w:tcBorders>
              <w:top w:val="nil"/>
              <w:bottom w:val="nil"/>
            </w:tcBorders>
            <w:shd w:val="clear" w:color="auto" w:fill="FFFFFF" w:themeFill="background1"/>
            <w:noWrap/>
            <w:vAlign w:val="bottom"/>
            <w:hideMark/>
          </w:tcPr>
          <w:p w14:paraId="46CD05C2"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276</w:t>
            </w:r>
          </w:p>
        </w:tc>
        <w:tc>
          <w:tcPr>
            <w:tcW w:w="1225" w:type="dxa"/>
            <w:tcBorders>
              <w:top w:val="nil"/>
              <w:bottom w:val="nil"/>
            </w:tcBorders>
            <w:shd w:val="clear" w:color="auto" w:fill="FFFFFF" w:themeFill="background1"/>
            <w:noWrap/>
            <w:vAlign w:val="center"/>
            <w:hideMark/>
          </w:tcPr>
          <w:p w14:paraId="4262C02A"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36%</w:t>
            </w:r>
          </w:p>
        </w:tc>
        <w:tc>
          <w:tcPr>
            <w:tcW w:w="1182" w:type="dxa"/>
            <w:tcBorders>
              <w:top w:val="nil"/>
              <w:bottom w:val="nil"/>
            </w:tcBorders>
            <w:shd w:val="clear" w:color="auto" w:fill="FFFFFF" w:themeFill="background1"/>
            <w:noWrap/>
            <w:vAlign w:val="center"/>
            <w:hideMark/>
          </w:tcPr>
          <w:p w14:paraId="6172D92E"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1.02</w:t>
            </w:r>
          </w:p>
        </w:tc>
        <w:tc>
          <w:tcPr>
            <w:tcW w:w="1526" w:type="dxa"/>
            <w:tcBorders>
              <w:top w:val="nil"/>
              <w:bottom w:val="nil"/>
              <w:right w:val="nil"/>
            </w:tcBorders>
            <w:shd w:val="clear" w:color="auto" w:fill="FFFFFF" w:themeFill="background1"/>
            <w:noWrap/>
            <w:vAlign w:val="center"/>
            <w:hideMark/>
          </w:tcPr>
          <w:p w14:paraId="0E02B652" w14:textId="77777777" w:rsidR="00BE6B46" w:rsidRPr="00BE6B46" w:rsidRDefault="00BE6B46" w:rsidP="006F0C75">
            <w:pPr>
              <w:spacing w:after="0"/>
              <w:rPr>
                <w:rFonts w:eastAsia="Times New Roman" w:cs="Times New Roman"/>
                <w:b/>
                <w:bCs/>
                <w:color w:val="000000"/>
                <w:sz w:val="20"/>
                <w:szCs w:val="20"/>
              </w:rPr>
            </w:pPr>
            <w:r w:rsidRPr="00BE6B46">
              <w:rPr>
                <w:rFonts w:eastAsia="Times New Roman" w:cs="Times New Roman"/>
                <w:b/>
                <w:bCs/>
                <w:color w:val="000000"/>
                <w:sz w:val="20"/>
                <w:szCs w:val="20"/>
              </w:rPr>
              <w:t>1547.1</w:t>
            </w:r>
          </w:p>
        </w:tc>
      </w:tr>
      <w:tr w:rsidR="00BE6B46" w:rsidRPr="00BE6B46" w14:paraId="3398374B" w14:textId="77777777" w:rsidTr="007166EC">
        <w:trPr>
          <w:trHeight w:val="295"/>
          <w:jc w:val="center"/>
        </w:trPr>
        <w:tc>
          <w:tcPr>
            <w:tcW w:w="1048" w:type="dxa"/>
            <w:tcBorders>
              <w:top w:val="nil"/>
              <w:left w:val="nil"/>
              <w:bottom w:val="nil"/>
              <w:right w:val="nil"/>
            </w:tcBorders>
            <w:shd w:val="clear" w:color="auto" w:fill="FFFFFF" w:themeFill="background1"/>
            <w:noWrap/>
            <w:vAlign w:val="center"/>
            <w:hideMark/>
          </w:tcPr>
          <w:p w14:paraId="739C6CD9"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3</w:t>
            </w:r>
          </w:p>
        </w:tc>
        <w:tc>
          <w:tcPr>
            <w:tcW w:w="1794" w:type="dxa"/>
            <w:tcBorders>
              <w:top w:val="nil"/>
              <w:left w:val="nil"/>
              <w:bottom w:val="nil"/>
              <w:right w:val="nil"/>
            </w:tcBorders>
            <w:shd w:val="clear" w:color="auto" w:fill="FFFFFF" w:themeFill="background1"/>
            <w:noWrap/>
            <w:vAlign w:val="bottom"/>
            <w:hideMark/>
          </w:tcPr>
          <w:p w14:paraId="5308A370"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216</w:t>
            </w:r>
          </w:p>
        </w:tc>
        <w:tc>
          <w:tcPr>
            <w:tcW w:w="1225" w:type="dxa"/>
            <w:tcBorders>
              <w:top w:val="nil"/>
              <w:left w:val="nil"/>
              <w:bottom w:val="nil"/>
              <w:right w:val="nil"/>
            </w:tcBorders>
            <w:shd w:val="clear" w:color="auto" w:fill="FFFFFF" w:themeFill="background1"/>
            <w:noWrap/>
            <w:vAlign w:val="center"/>
            <w:hideMark/>
          </w:tcPr>
          <w:p w14:paraId="0D72DB07"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28%</w:t>
            </w:r>
          </w:p>
        </w:tc>
        <w:tc>
          <w:tcPr>
            <w:tcW w:w="1182" w:type="dxa"/>
            <w:tcBorders>
              <w:top w:val="nil"/>
              <w:left w:val="nil"/>
              <w:bottom w:val="nil"/>
              <w:right w:val="nil"/>
            </w:tcBorders>
            <w:shd w:val="clear" w:color="auto" w:fill="FFFFFF" w:themeFill="background1"/>
            <w:noWrap/>
            <w:vAlign w:val="center"/>
            <w:hideMark/>
          </w:tcPr>
          <w:p w14:paraId="0A495F22" w14:textId="77777777" w:rsidR="00BE6B46" w:rsidRPr="00BE6B46" w:rsidRDefault="00BE6B46" w:rsidP="006F0C75">
            <w:pPr>
              <w:spacing w:after="0"/>
              <w:rPr>
                <w:rFonts w:eastAsia="Times New Roman" w:cs="Times New Roman"/>
                <w:color w:val="000000"/>
                <w:sz w:val="20"/>
                <w:szCs w:val="20"/>
              </w:rPr>
            </w:pPr>
            <w:r w:rsidRPr="00BE6B46">
              <w:rPr>
                <w:rFonts w:eastAsia="Times New Roman" w:cs="Times New Roman"/>
                <w:color w:val="000000"/>
                <w:sz w:val="20"/>
                <w:szCs w:val="20"/>
              </w:rPr>
              <w:t>0.53</w:t>
            </w:r>
          </w:p>
        </w:tc>
        <w:tc>
          <w:tcPr>
            <w:tcW w:w="1526" w:type="dxa"/>
            <w:tcBorders>
              <w:top w:val="nil"/>
              <w:left w:val="nil"/>
              <w:bottom w:val="nil"/>
              <w:right w:val="nil"/>
            </w:tcBorders>
            <w:shd w:val="clear" w:color="auto" w:fill="FFFFFF" w:themeFill="background1"/>
            <w:noWrap/>
            <w:vAlign w:val="center"/>
            <w:hideMark/>
          </w:tcPr>
          <w:p w14:paraId="3BD348AF" w14:textId="77777777" w:rsidR="00BE6B46" w:rsidRPr="00BE6B46" w:rsidRDefault="00BE6B46" w:rsidP="006F0C75">
            <w:pPr>
              <w:spacing w:after="0"/>
              <w:rPr>
                <w:rFonts w:eastAsia="Times New Roman" w:cs="Times New Roman"/>
                <w:b/>
                <w:bCs/>
                <w:color w:val="000000"/>
                <w:sz w:val="20"/>
                <w:szCs w:val="20"/>
              </w:rPr>
            </w:pPr>
            <w:r w:rsidRPr="00BE6B46">
              <w:rPr>
                <w:rFonts w:eastAsia="Times New Roman" w:cs="Times New Roman"/>
                <w:b/>
                <w:bCs/>
                <w:color w:val="000000"/>
                <w:sz w:val="20"/>
                <w:szCs w:val="20"/>
              </w:rPr>
              <w:t>1890.4</w:t>
            </w:r>
          </w:p>
        </w:tc>
      </w:tr>
      <w:tr w:rsidR="00BE6B46" w:rsidRPr="00BE6B46" w14:paraId="3F72C2E6" w14:textId="77777777" w:rsidTr="007166EC">
        <w:trPr>
          <w:trHeight w:val="295"/>
          <w:jc w:val="center"/>
        </w:trPr>
        <w:tc>
          <w:tcPr>
            <w:tcW w:w="1048" w:type="dxa"/>
            <w:tcBorders>
              <w:bottom w:val="single" w:sz="4" w:space="0" w:color="auto"/>
            </w:tcBorders>
            <w:shd w:val="clear" w:color="auto" w:fill="FFFFFF" w:themeFill="background1"/>
            <w:noWrap/>
            <w:vAlign w:val="center"/>
            <w:hideMark/>
          </w:tcPr>
          <w:p w14:paraId="718E0A4A" w14:textId="77777777" w:rsidR="00BE6B46" w:rsidRPr="00BE6B46" w:rsidRDefault="00BE6B46" w:rsidP="006F0C75">
            <w:pPr>
              <w:spacing w:after="0"/>
              <w:rPr>
                <w:rFonts w:eastAsia="Times New Roman" w:cs="Times New Roman"/>
                <w:b/>
                <w:bCs/>
                <w:color w:val="000000"/>
                <w:sz w:val="20"/>
                <w:szCs w:val="20"/>
              </w:rPr>
            </w:pPr>
            <w:r w:rsidRPr="00BE6B46">
              <w:rPr>
                <w:rFonts w:eastAsia="Times New Roman" w:cs="Times New Roman"/>
                <w:b/>
                <w:bCs/>
                <w:color w:val="000000"/>
                <w:sz w:val="20"/>
                <w:szCs w:val="20"/>
              </w:rPr>
              <w:t>Total</w:t>
            </w:r>
          </w:p>
        </w:tc>
        <w:tc>
          <w:tcPr>
            <w:tcW w:w="1794" w:type="dxa"/>
            <w:tcBorders>
              <w:bottom w:val="single" w:sz="4" w:space="0" w:color="auto"/>
            </w:tcBorders>
            <w:shd w:val="clear" w:color="auto" w:fill="FFFFFF" w:themeFill="background1"/>
            <w:noWrap/>
            <w:vAlign w:val="bottom"/>
            <w:hideMark/>
          </w:tcPr>
          <w:p w14:paraId="712DB51C" w14:textId="77777777" w:rsidR="00BE6B46" w:rsidRPr="00BE6B46" w:rsidRDefault="00BE6B46" w:rsidP="006F0C75">
            <w:pPr>
              <w:spacing w:after="0"/>
              <w:rPr>
                <w:rFonts w:eastAsia="Times New Roman" w:cs="Times New Roman"/>
                <w:b/>
                <w:color w:val="000000"/>
                <w:sz w:val="20"/>
                <w:szCs w:val="20"/>
              </w:rPr>
            </w:pPr>
            <w:r w:rsidRPr="00BE6B46">
              <w:rPr>
                <w:rFonts w:eastAsia="Times New Roman" w:cs="Times New Roman"/>
                <w:b/>
                <w:color w:val="000000"/>
                <w:sz w:val="20"/>
                <w:szCs w:val="20"/>
              </w:rPr>
              <w:t>764</w:t>
            </w:r>
          </w:p>
        </w:tc>
        <w:tc>
          <w:tcPr>
            <w:tcW w:w="1225" w:type="dxa"/>
            <w:tcBorders>
              <w:bottom w:val="single" w:sz="4" w:space="0" w:color="auto"/>
            </w:tcBorders>
            <w:shd w:val="clear" w:color="auto" w:fill="FFFFFF" w:themeFill="background1"/>
            <w:noWrap/>
            <w:vAlign w:val="center"/>
            <w:hideMark/>
          </w:tcPr>
          <w:p w14:paraId="0189F9AC" w14:textId="77777777" w:rsidR="00BE6B46" w:rsidRPr="00BE6B46" w:rsidRDefault="00BE6B46" w:rsidP="006F0C75">
            <w:pPr>
              <w:spacing w:after="0"/>
              <w:rPr>
                <w:rFonts w:eastAsia="Times New Roman" w:cs="Times New Roman"/>
                <w:b/>
                <w:bCs/>
                <w:color w:val="000000"/>
                <w:sz w:val="20"/>
                <w:szCs w:val="20"/>
              </w:rPr>
            </w:pPr>
            <w:r w:rsidRPr="00BE6B46">
              <w:rPr>
                <w:rFonts w:eastAsia="Times New Roman" w:cs="Times New Roman"/>
                <w:b/>
                <w:bCs/>
                <w:color w:val="000000"/>
                <w:sz w:val="20"/>
                <w:szCs w:val="20"/>
              </w:rPr>
              <w:t>100%</w:t>
            </w:r>
          </w:p>
        </w:tc>
        <w:tc>
          <w:tcPr>
            <w:tcW w:w="1182" w:type="dxa"/>
            <w:tcBorders>
              <w:bottom w:val="single" w:sz="4" w:space="0" w:color="auto"/>
            </w:tcBorders>
            <w:shd w:val="clear" w:color="auto" w:fill="FFFFFF" w:themeFill="background1"/>
            <w:noWrap/>
            <w:vAlign w:val="center"/>
            <w:hideMark/>
          </w:tcPr>
          <w:p w14:paraId="253BF0C3" w14:textId="77777777" w:rsidR="00BE6B46" w:rsidRPr="00BE6B46" w:rsidRDefault="00594D5A" w:rsidP="006F0C75">
            <w:pPr>
              <w:spacing w:after="0"/>
              <w:rPr>
                <w:rFonts w:eastAsia="Times New Roman" w:cs="Times New Roman"/>
                <w:b/>
                <w:bCs/>
                <w:color w:val="000000"/>
                <w:sz w:val="20"/>
                <w:szCs w:val="20"/>
              </w:rPr>
            </w:pPr>
            <w:r>
              <w:rPr>
                <w:rFonts w:eastAsia="Times New Roman" w:cs="Times New Roman"/>
                <w:b/>
                <w:bCs/>
                <w:color w:val="000000"/>
                <w:sz w:val="20"/>
                <w:szCs w:val="20"/>
              </w:rPr>
              <w:t>-</w:t>
            </w:r>
            <w:r w:rsidR="00BE6B46" w:rsidRPr="00BE6B46">
              <w:rPr>
                <w:rFonts w:eastAsia="Times New Roman" w:cs="Times New Roman"/>
                <w:b/>
                <w:bCs/>
                <w:color w:val="000000"/>
                <w:sz w:val="20"/>
                <w:szCs w:val="20"/>
              </w:rPr>
              <w:t> </w:t>
            </w:r>
          </w:p>
        </w:tc>
        <w:tc>
          <w:tcPr>
            <w:tcW w:w="1526" w:type="dxa"/>
            <w:tcBorders>
              <w:bottom w:val="single" w:sz="4" w:space="0" w:color="auto"/>
            </w:tcBorders>
            <w:shd w:val="clear" w:color="auto" w:fill="FFFFFF" w:themeFill="background1"/>
            <w:noWrap/>
            <w:vAlign w:val="center"/>
            <w:hideMark/>
          </w:tcPr>
          <w:p w14:paraId="079021F1" w14:textId="77777777" w:rsidR="00BE6B46" w:rsidRPr="00BE6B46" w:rsidRDefault="00594D5A" w:rsidP="006F0C75">
            <w:pPr>
              <w:spacing w:after="0"/>
              <w:rPr>
                <w:rFonts w:eastAsia="Times New Roman" w:cs="Times New Roman"/>
                <w:b/>
                <w:bCs/>
                <w:sz w:val="20"/>
                <w:szCs w:val="20"/>
              </w:rPr>
            </w:pPr>
            <w:r>
              <w:rPr>
                <w:rFonts w:eastAsia="Times New Roman" w:cs="Times New Roman"/>
                <w:b/>
                <w:bCs/>
                <w:sz w:val="20"/>
                <w:szCs w:val="20"/>
              </w:rPr>
              <w:t>-</w:t>
            </w:r>
          </w:p>
        </w:tc>
      </w:tr>
    </w:tbl>
    <w:p w14:paraId="30ABD76C" w14:textId="77777777" w:rsidR="00BE6B46" w:rsidRDefault="00BE6B46" w:rsidP="0091793B">
      <w:pPr>
        <w:spacing w:line="360" w:lineRule="auto"/>
        <w:jc w:val="both"/>
        <w:rPr>
          <w:rFonts w:cs="Times New Roman"/>
          <w:szCs w:val="24"/>
        </w:rPr>
      </w:pPr>
    </w:p>
    <w:p w14:paraId="32D96FC0" w14:textId="77777777" w:rsidR="007166EC" w:rsidRDefault="007166EC" w:rsidP="0091793B">
      <w:pPr>
        <w:spacing w:line="360" w:lineRule="auto"/>
        <w:jc w:val="both"/>
        <w:rPr>
          <w:rFonts w:cs="Times New Roman"/>
          <w:szCs w:val="24"/>
        </w:rPr>
      </w:pPr>
    </w:p>
    <w:p w14:paraId="3B39DE28" w14:textId="14B2A04E" w:rsidR="007166EC" w:rsidRDefault="007166EC" w:rsidP="007166EC">
      <w:pPr>
        <w:spacing w:line="360" w:lineRule="auto"/>
        <w:jc w:val="both"/>
        <w:rPr>
          <w:rFonts w:eastAsiaTheme="minorEastAsia" w:cs="Times New Roman"/>
          <w:szCs w:val="24"/>
        </w:rPr>
      </w:pPr>
      <w:r w:rsidRPr="00FD2EFD">
        <w:rPr>
          <w:rFonts w:cs="Times New Roman"/>
          <w:szCs w:val="24"/>
        </w:rPr>
        <w:t xml:space="preserve">It should be noted that for this EOC reactivity method, the natural enriched regions at the top and bottom of each assembly were neglected. The purpose of the EOC method was to allow for a high number of quick calculations when performing the parametric study. Additional regions of the bundles were </w:t>
      </w:r>
      <w:r>
        <w:rPr>
          <w:rFonts w:cs="Times New Roman"/>
          <w:szCs w:val="24"/>
        </w:rPr>
        <w:t>considered</w:t>
      </w:r>
      <w:r w:rsidRPr="00FD2EFD">
        <w:rPr>
          <w:rFonts w:cs="Times New Roman"/>
          <w:szCs w:val="24"/>
        </w:rPr>
        <w:t xml:space="preserve"> when creating the full-core models that will be described in later in the study. Using the</w:t>
      </w:r>
      <w:r>
        <w:rPr>
          <w:rFonts w:cs="Times New Roman"/>
          <w:szCs w:val="24"/>
        </w:rPr>
        <w:t xml:space="preserve"> weighting factors from Figure 18</w:t>
      </w:r>
      <w:r w:rsidRPr="00FD2EFD">
        <w:rPr>
          <w:rFonts w:cs="Times New Roman"/>
          <w:szCs w:val="24"/>
        </w:rPr>
        <w:t xml:space="preserve"> and the </w:t>
      </w:r>
      <m:oMath>
        <m:sSub>
          <m:sSubPr>
            <m:ctrlPr>
              <w:rPr>
                <w:rFonts w:ascii="Cambria Math" w:hAnsi="Cambria Math"/>
                <w:i/>
                <w:iCs/>
                <w:szCs w:val="24"/>
              </w:rPr>
            </m:ctrlPr>
          </m:sSubPr>
          <m:e>
            <m:acc>
              <m:accPr>
                <m:chr m:val="̅"/>
                <m:ctrlPr>
                  <w:rPr>
                    <w:rFonts w:ascii="Cambria Math" w:hAnsi="Cambria Math"/>
                    <w:i/>
                    <w:iCs/>
                    <w:szCs w:val="24"/>
                  </w:rPr>
                </m:ctrlPr>
              </m:accPr>
              <m:e>
                <m:r>
                  <w:rPr>
                    <w:rFonts w:ascii="Cambria Math" w:hAnsi="Cambria Math"/>
                    <w:szCs w:val="24"/>
                  </w:rPr>
                  <m:t>Δk</m:t>
                </m:r>
              </m:e>
            </m:acc>
          </m:e>
          <m:sub>
            <m:r>
              <w:rPr>
                <w:rFonts w:ascii="Cambria Math" w:hAnsi="Cambria Math"/>
                <w:szCs w:val="24"/>
              </w:rPr>
              <m:t>zone</m:t>
            </m:r>
          </m:sub>
        </m:sSub>
      </m:oMath>
      <w:r w:rsidRPr="00FD2EFD">
        <w:rPr>
          <w:rFonts w:eastAsiaTheme="minorEastAsia" w:cs="Times New Roman"/>
          <w:iCs/>
          <w:szCs w:val="24"/>
        </w:rPr>
        <w:t xml:space="preserve"> </w:t>
      </w:r>
      <w:r>
        <w:rPr>
          <w:rFonts w:cs="Times New Roman"/>
          <w:szCs w:val="24"/>
        </w:rPr>
        <w:t>calculated by equation 3</w:t>
      </w:r>
      <w:r w:rsidRPr="00FD2EFD">
        <w:rPr>
          <w:rFonts w:cs="Times New Roman"/>
          <w:szCs w:val="24"/>
        </w:rPr>
        <w:t xml:space="preserve">.1 for each slice, an overall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sidRPr="00FD2EFD">
        <w:rPr>
          <w:rFonts w:eastAsiaTheme="minorEastAsia" w:cs="Times New Roman"/>
          <w:szCs w:val="24"/>
        </w:rPr>
        <w:t xml:space="preserve"> was calculated for the entire representative core.</w:t>
      </w:r>
    </w:p>
    <w:p w14:paraId="56FA35A6" w14:textId="77777777" w:rsidR="007166EC" w:rsidRDefault="007166EC" w:rsidP="007166EC">
      <w:pPr>
        <w:spacing w:line="360" w:lineRule="auto"/>
        <w:jc w:val="right"/>
        <w:rPr>
          <w:rFonts w:eastAsiaTheme="minorEastAsia" w:cs="Times New Roman"/>
          <w:szCs w:val="24"/>
        </w:rPr>
      </w:pPr>
      <w:r w:rsidRPr="00020591">
        <w:rPr>
          <w:noProof/>
        </w:rPr>
        <w:drawing>
          <wp:inline distT="0" distB="0" distL="0" distR="0" wp14:anchorId="57E8FB84" wp14:editId="2005EB78">
            <wp:extent cx="1800225" cy="909544"/>
            <wp:effectExtent l="0" t="0" r="0" b="508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1835072" cy="927150"/>
                    </a:xfrm>
                    <a:prstGeom prst="rect">
                      <a:avLst/>
                    </a:prstGeom>
                    <a:noFill/>
                    <a:ln>
                      <a:noFill/>
                    </a:ln>
                  </pic:spPr>
                </pic:pic>
              </a:graphicData>
            </a:graphic>
          </wp:inline>
        </w:drawing>
      </w:r>
      <w:r>
        <w:rPr>
          <w:rFonts w:eastAsiaTheme="minorEastAsia" w:cs="Times New Roman"/>
          <w:sz w:val="32"/>
          <w:szCs w:val="24"/>
        </w:rPr>
        <w:t xml:space="preserve">            </w:t>
      </w:r>
      <w:r>
        <w:rPr>
          <w:rFonts w:eastAsiaTheme="minorEastAsia" w:cs="Times New Roman"/>
          <w:sz w:val="32"/>
          <w:szCs w:val="24"/>
        </w:rPr>
        <w:tab/>
      </w:r>
      <w:r>
        <w:rPr>
          <w:rFonts w:eastAsiaTheme="minorEastAsia" w:cs="Times New Roman"/>
          <w:sz w:val="32"/>
          <w:szCs w:val="24"/>
        </w:rPr>
        <w:tab/>
      </w:r>
      <w:r>
        <w:rPr>
          <w:rFonts w:eastAsiaTheme="minorEastAsia" w:cs="Times New Roman"/>
          <w:sz w:val="32"/>
          <w:szCs w:val="24"/>
        </w:rPr>
        <w:tab/>
        <w:t xml:space="preserve"> </w:t>
      </w:r>
      <w:r>
        <w:rPr>
          <w:rFonts w:eastAsiaTheme="minorEastAsia" w:cs="Times New Roman"/>
          <w:szCs w:val="24"/>
        </w:rPr>
        <w:t>(4.1)</w:t>
      </w:r>
    </w:p>
    <w:p w14:paraId="2E5F0CD2" w14:textId="1E271F61" w:rsidR="007166EC" w:rsidRDefault="007166EC" w:rsidP="0091793B">
      <w:pPr>
        <w:spacing w:line="360" w:lineRule="auto"/>
        <w:jc w:val="both"/>
        <w:rPr>
          <w:rFonts w:eastAsiaTheme="minorEastAsia" w:cs="Times New Roman"/>
          <w:szCs w:val="24"/>
        </w:rPr>
      </w:pPr>
      <w:r w:rsidRPr="00FD2EFD">
        <w:rPr>
          <w:rFonts w:eastAsiaTheme="minorEastAsia" w:cs="Times New Roman"/>
          <w:szCs w:val="24"/>
        </w:rPr>
        <w:lastRenderedPageBreak/>
        <w:t xml:space="preserve">Thus, if a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sidRPr="00FD2EFD">
        <w:rPr>
          <w:rFonts w:eastAsiaTheme="minorEastAsia" w:cs="Times New Roman"/>
          <w:szCs w:val="24"/>
        </w:rPr>
        <w:t xml:space="preserve"> value of 0.000 was calculated, the design parameters fit to the alternate cladding fuel bundle would meet reactivity lifetime requirements of the standard Zircaloy model. However if a sub-zero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sidRPr="00FD2EFD">
        <w:rPr>
          <w:rFonts w:eastAsiaTheme="minorEastAsia" w:cs="Times New Roman"/>
          <w:szCs w:val="24"/>
        </w:rPr>
        <w:t xml:space="preserve"> was calculated, then </w:t>
      </w:r>
      <w:r>
        <w:rPr>
          <w:rFonts w:eastAsiaTheme="minorEastAsia" w:cs="Times New Roman"/>
          <w:szCs w:val="24"/>
        </w:rPr>
        <w:t>a decreased cycle length would result</w:t>
      </w:r>
      <w:r w:rsidRPr="00FD2EFD">
        <w:rPr>
          <w:rFonts w:eastAsiaTheme="minorEastAsia" w:cs="Times New Roman"/>
          <w:szCs w:val="24"/>
        </w:rPr>
        <w:t>.</w:t>
      </w:r>
    </w:p>
    <w:p w14:paraId="5DEB9C56" w14:textId="77777777" w:rsidR="007166EC" w:rsidRPr="007166EC" w:rsidRDefault="007166EC" w:rsidP="0091793B">
      <w:pPr>
        <w:spacing w:line="360" w:lineRule="auto"/>
        <w:jc w:val="both"/>
        <w:rPr>
          <w:rFonts w:eastAsiaTheme="minorEastAsia" w:cs="Times New Roman"/>
          <w:szCs w:val="24"/>
        </w:rPr>
      </w:pPr>
    </w:p>
    <w:p w14:paraId="5A37F462" w14:textId="77777777" w:rsidR="00CF5F5E" w:rsidRDefault="00CF5F5E" w:rsidP="0091793B">
      <w:pPr>
        <w:spacing w:line="360" w:lineRule="auto"/>
        <w:rPr>
          <w:rFonts w:cs="Times New Roman"/>
          <w:szCs w:val="24"/>
        </w:rPr>
      </w:pPr>
      <w:r>
        <w:rPr>
          <w:rFonts w:cs="Times New Roman"/>
          <w:noProof/>
          <w:szCs w:val="24"/>
        </w:rPr>
        <w:drawing>
          <wp:inline distT="0" distB="0" distL="0" distR="0" wp14:anchorId="449F06F3" wp14:editId="23DA6229">
            <wp:extent cx="5973106" cy="3452884"/>
            <wp:effectExtent l="0" t="0" r="0" b="0"/>
            <wp:docPr id="7190" name="Picture 71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984201" cy="3459298"/>
                    </a:xfrm>
                    <a:prstGeom prst="rect">
                      <a:avLst/>
                    </a:prstGeom>
                    <a:noFill/>
                  </pic:spPr>
                </pic:pic>
              </a:graphicData>
            </a:graphic>
          </wp:inline>
        </w:drawing>
      </w:r>
    </w:p>
    <w:p w14:paraId="2FA72C65" w14:textId="77777777" w:rsidR="00144934" w:rsidRDefault="0039764A" w:rsidP="0091793B">
      <w:pPr>
        <w:spacing w:line="360" w:lineRule="auto"/>
      </w:pPr>
      <w:bookmarkStart w:id="24" w:name="_Toc416993457"/>
      <w:r>
        <w:t xml:space="preserve">Figure </w:t>
      </w:r>
      <w:fldSimple w:instr=" SEQ Figure \* ARABIC ">
        <w:r w:rsidR="00F3244B">
          <w:rPr>
            <w:noProof/>
          </w:rPr>
          <w:t>18</w:t>
        </w:r>
      </w:fldSimple>
      <w:r>
        <w:t xml:space="preserve">: </w:t>
      </w:r>
      <w:r w:rsidRPr="00AB12FF">
        <w:t>Relative Axial Power from Peach Bottom Tip Data</w:t>
      </w:r>
      <w:bookmarkEnd w:id="24"/>
    </w:p>
    <w:p w14:paraId="5EB65A00" w14:textId="77777777" w:rsidR="00215F37" w:rsidRPr="00D72311" w:rsidRDefault="00215F37" w:rsidP="0091793B">
      <w:pPr>
        <w:spacing w:line="360" w:lineRule="auto"/>
        <w:jc w:val="both"/>
        <w:rPr>
          <w:rFonts w:eastAsiaTheme="minorEastAsia" w:cs="Times New Roman"/>
          <w:szCs w:val="24"/>
        </w:rPr>
      </w:pPr>
    </w:p>
    <w:p w14:paraId="14A7A611" w14:textId="3D7C887C" w:rsidR="001F66A4" w:rsidRPr="00060B85" w:rsidRDefault="00C53548" w:rsidP="0091793B">
      <w:pPr>
        <w:widowControl w:val="0"/>
        <w:spacing w:before="240" w:after="0" w:line="360" w:lineRule="auto"/>
        <w:jc w:val="both"/>
        <w:rPr>
          <w:rFonts w:eastAsia="Times New Roman" w:cs="Times New Roman"/>
          <w:b/>
          <w:snapToGrid w:val="0"/>
          <w:sz w:val="28"/>
          <w:szCs w:val="24"/>
        </w:rPr>
      </w:pPr>
      <w:r w:rsidRPr="00060B85">
        <w:rPr>
          <w:rFonts w:eastAsia="Times New Roman" w:cs="Times New Roman"/>
          <w:b/>
          <w:snapToGrid w:val="0"/>
          <w:sz w:val="28"/>
          <w:szCs w:val="24"/>
        </w:rPr>
        <w:t>IV.</w:t>
      </w:r>
      <w:r w:rsidR="001701D9" w:rsidRPr="00060B85">
        <w:rPr>
          <w:rFonts w:eastAsia="Times New Roman" w:cs="Times New Roman"/>
          <w:b/>
          <w:snapToGrid w:val="0"/>
          <w:sz w:val="28"/>
          <w:szCs w:val="24"/>
        </w:rPr>
        <w:t xml:space="preserve">C. </w:t>
      </w:r>
      <w:r w:rsidR="001D553C">
        <w:rPr>
          <w:rFonts w:eastAsia="Times New Roman" w:cs="Times New Roman"/>
          <w:b/>
          <w:snapToGrid w:val="0"/>
          <w:sz w:val="28"/>
          <w:szCs w:val="24"/>
        </w:rPr>
        <w:tab/>
      </w:r>
      <w:r w:rsidRPr="00060B85">
        <w:rPr>
          <w:rFonts w:eastAsia="Times New Roman" w:cs="Times New Roman"/>
          <w:b/>
          <w:snapToGrid w:val="0"/>
          <w:sz w:val="28"/>
          <w:szCs w:val="24"/>
        </w:rPr>
        <w:t xml:space="preserve">Full-core </w:t>
      </w:r>
      <w:r w:rsidR="001701D9" w:rsidRPr="00060B85">
        <w:rPr>
          <w:rFonts w:eastAsia="Times New Roman" w:cs="Times New Roman"/>
          <w:b/>
          <w:snapToGrid w:val="0"/>
          <w:sz w:val="28"/>
          <w:szCs w:val="24"/>
        </w:rPr>
        <w:t xml:space="preserve">BWR </w:t>
      </w:r>
      <w:r w:rsidRPr="00060B85">
        <w:rPr>
          <w:rFonts w:eastAsia="Times New Roman" w:cs="Times New Roman"/>
          <w:b/>
          <w:snapToGrid w:val="0"/>
          <w:sz w:val="28"/>
          <w:szCs w:val="24"/>
        </w:rPr>
        <w:t>Model</w:t>
      </w:r>
    </w:p>
    <w:p w14:paraId="7E9A9B82" w14:textId="6D8CDFCD" w:rsidR="00903B03" w:rsidRDefault="000F63D8" w:rsidP="0091793B">
      <w:pPr>
        <w:spacing w:line="360" w:lineRule="auto"/>
        <w:jc w:val="both"/>
        <w:rPr>
          <w:rFonts w:cs="Times New Roman"/>
          <w:b/>
          <w:szCs w:val="24"/>
        </w:rPr>
      </w:pPr>
      <w:r w:rsidRPr="000F63D8">
        <w:rPr>
          <w:rFonts w:cs="Times New Roman"/>
          <w:b/>
          <w:szCs w:val="24"/>
        </w:rPr>
        <w:t>IV.</w:t>
      </w:r>
      <w:r w:rsidR="001701D9">
        <w:rPr>
          <w:rFonts w:cs="Times New Roman"/>
          <w:b/>
          <w:szCs w:val="24"/>
        </w:rPr>
        <w:t>C</w:t>
      </w:r>
      <w:r w:rsidRPr="000F63D8">
        <w:rPr>
          <w:rFonts w:cs="Times New Roman"/>
          <w:b/>
          <w:szCs w:val="24"/>
        </w:rPr>
        <w:t xml:space="preserve">.1. </w:t>
      </w:r>
      <w:r w:rsidR="001D553C">
        <w:rPr>
          <w:rFonts w:cs="Times New Roman"/>
          <w:b/>
          <w:szCs w:val="24"/>
        </w:rPr>
        <w:tab/>
      </w:r>
      <w:r w:rsidR="00903B03" w:rsidRPr="000F63D8">
        <w:rPr>
          <w:rFonts w:cs="Times New Roman"/>
          <w:b/>
          <w:szCs w:val="24"/>
        </w:rPr>
        <w:t xml:space="preserve">Lattice Physics </w:t>
      </w:r>
      <w:r>
        <w:rPr>
          <w:rFonts w:cs="Times New Roman"/>
          <w:b/>
          <w:szCs w:val="24"/>
        </w:rPr>
        <w:t>C</w:t>
      </w:r>
      <w:r w:rsidR="00903B03" w:rsidRPr="000F63D8">
        <w:rPr>
          <w:rFonts w:cs="Times New Roman"/>
          <w:b/>
          <w:szCs w:val="24"/>
        </w:rPr>
        <w:t xml:space="preserve">ross-section </w:t>
      </w:r>
      <w:r>
        <w:rPr>
          <w:rFonts w:cs="Times New Roman"/>
          <w:b/>
          <w:szCs w:val="24"/>
        </w:rPr>
        <w:t>G</w:t>
      </w:r>
      <w:r w:rsidR="00903B03" w:rsidRPr="000F63D8">
        <w:rPr>
          <w:rFonts w:cs="Times New Roman"/>
          <w:b/>
          <w:szCs w:val="24"/>
        </w:rPr>
        <w:t>eneration</w:t>
      </w:r>
    </w:p>
    <w:p w14:paraId="0C4CD96B" w14:textId="44C9EF9D" w:rsidR="00060B85" w:rsidRPr="00FD2EFD" w:rsidRDefault="00060B85" w:rsidP="0091793B">
      <w:pPr>
        <w:spacing w:line="360" w:lineRule="auto"/>
        <w:jc w:val="both"/>
        <w:rPr>
          <w:rFonts w:cs="Times New Roman"/>
          <w:szCs w:val="24"/>
        </w:rPr>
      </w:pPr>
      <w:r>
        <w:rPr>
          <w:rFonts w:cs="Times New Roman"/>
          <w:szCs w:val="24"/>
        </w:rPr>
        <w:t xml:space="preserve">The full-core 3D BWR simulations were carried out with the latest version of the NESTLE nodal diffusion simulator which is currently maintained at the </w:t>
      </w:r>
      <w:r w:rsidRPr="006769B7">
        <w:rPr>
          <w:rFonts w:cs="Times New Roman"/>
          <w:szCs w:val="24"/>
        </w:rPr>
        <w:t>University of Tennessee</w:t>
      </w:r>
      <w:r>
        <w:rPr>
          <w:rFonts w:cs="Times New Roman"/>
          <w:szCs w:val="24"/>
        </w:rPr>
        <w:t xml:space="preserve"> </w:t>
      </w:r>
      <w:r>
        <w:rPr>
          <w:rFonts w:cs="Times New Roman"/>
          <w:szCs w:val="24"/>
        </w:rPr>
        <w:fldChar w:fldCharType="begin">
          <w:fldData xml:space="preserve">PEVuZE5vdGU+PENpdGU+PEF1dGhvcj5UdXJpbnNreTwvQXV0aG9yPjxZZWFyPjE5OTQ8L1llYXI+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</w:fldData>
        </w:fldChar>
      </w:r>
      <w:r w:rsidR="00817846">
        <w:rPr>
          <w:rFonts w:cs="Times New Roman"/>
          <w:szCs w:val="24"/>
        </w:rPr>
        <w:instrText xml:space="preserve"> ADDIN EN.CITE </w:instrText>
      </w:r>
      <w:r w:rsidR="00817846">
        <w:rPr>
          <w:rFonts w:cs="Times New Roman"/>
          <w:szCs w:val="24"/>
        </w:rPr>
        <w:fldChar w:fldCharType="begin">
          <w:fldData xml:space="preserve">PEVuZE5vdGU+PENpdGU+PEF1dGhvcj5UdXJpbnNreTwvQXV0aG9yPjxZZWFyPjE5OTQ8L1llYXI+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</w:fldData>
        </w:fldChar>
      </w:r>
      <w:r w:rsidR="00817846">
        <w:rPr>
          <w:rFonts w:cs="Times New Roman"/>
          <w:szCs w:val="24"/>
        </w:rPr>
        <w:instrText xml:space="preserve"> ADDIN EN.CITE.DATA </w:instrText>
      </w:r>
      <w:r w:rsidR="00817846">
        <w:rPr>
          <w:rFonts w:cs="Times New Roman"/>
          <w:szCs w:val="24"/>
        </w:rPr>
      </w:r>
      <w:r w:rsidR="00817846">
        <w:rPr>
          <w:rFonts w:cs="Times New Roman"/>
          <w:szCs w:val="24"/>
        </w:rPr>
        <w:fldChar w:fldCharType="end"/>
      </w:r>
      <w:r>
        <w:rPr>
          <w:rFonts w:cs="Times New Roman"/>
          <w:szCs w:val="24"/>
        </w:rPr>
      </w:r>
      <w:r>
        <w:rPr>
          <w:rFonts w:cs="Times New Roman"/>
          <w:szCs w:val="24"/>
        </w:rPr>
        <w:fldChar w:fldCharType="separate"/>
      </w:r>
      <w:r w:rsidR="00817846">
        <w:rPr>
          <w:rFonts w:cs="Times New Roman"/>
          <w:noProof/>
          <w:szCs w:val="24"/>
        </w:rPr>
        <w:t>[</w:t>
      </w:r>
      <w:hyperlink w:anchor="_ENREF_49" w:tooltip="Turinsky, 1994 #93" w:history="1">
        <w:r w:rsidR="00DF20CB">
          <w:rPr>
            <w:rFonts w:cs="Times New Roman"/>
            <w:noProof/>
            <w:szCs w:val="24"/>
          </w:rPr>
          <w:t>49-51</w:t>
        </w:r>
      </w:hyperlink>
      <w:r w:rsidR="00817846">
        <w:rPr>
          <w:rFonts w:cs="Times New Roman"/>
          <w:noProof/>
          <w:szCs w:val="24"/>
        </w:rPr>
        <w:t>]</w:t>
      </w:r>
      <w:r>
        <w:rPr>
          <w:rFonts w:cs="Times New Roman"/>
          <w:szCs w:val="24"/>
        </w:rPr>
        <w:fldChar w:fldCharType="end"/>
      </w:r>
      <w:r>
        <w:rPr>
          <w:rFonts w:cs="Times New Roman"/>
          <w:szCs w:val="24"/>
        </w:rPr>
        <w:t xml:space="preserve">. In order </w:t>
      </w:r>
      <w:r w:rsidRPr="00FD2EFD">
        <w:rPr>
          <w:rFonts w:cs="Times New Roman"/>
          <w:szCs w:val="24"/>
        </w:rPr>
        <w:t xml:space="preserve">to run NESTLE models, few-group cross-sections needed to be obtained from a lattice physics code. During this study, the </w:t>
      </w:r>
      <w:r>
        <w:rPr>
          <w:rFonts w:cs="Times New Roman"/>
          <w:szCs w:val="24"/>
        </w:rPr>
        <w:t>lattice physics</w:t>
      </w:r>
      <w:r w:rsidRPr="00FD2EFD">
        <w:rPr>
          <w:rFonts w:cs="Times New Roman"/>
          <w:szCs w:val="24"/>
        </w:rPr>
        <w:t xml:space="preserve"> calculations were performed with the </w:t>
      </w:r>
      <w:r w:rsidRPr="00FD2EFD">
        <w:rPr>
          <w:rFonts w:cs="Times New Roman"/>
          <w:szCs w:val="24"/>
        </w:rPr>
        <w:lastRenderedPageBreak/>
        <w:t>Studsvik</w:t>
      </w:r>
      <w:r>
        <w:rPr>
          <w:rFonts w:cs="Times New Roman"/>
          <w:szCs w:val="24"/>
        </w:rPr>
        <w:t>’s</w:t>
      </w:r>
      <w:r w:rsidRPr="00FD2EFD">
        <w:rPr>
          <w:rFonts w:cs="Times New Roman"/>
          <w:szCs w:val="24"/>
        </w:rPr>
        <w:t xml:space="preserve"> code, </w:t>
      </w:r>
      <w:r w:rsidR="0020579B">
        <w:rPr>
          <w:rFonts w:cs="Times New Roman"/>
          <w:szCs w:val="24"/>
        </w:rPr>
        <w:t>CASMO-4</w:t>
      </w:r>
      <w:r>
        <w:rPr>
          <w:rFonts w:cs="Times New Roman"/>
          <w:szCs w:val="24"/>
        </w:rPr>
        <w:t>, which</w:t>
      </w:r>
      <w:r w:rsidRPr="00FD2EFD">
        <w:rPr>
          <w:rFonts w:cs="Times New Roman"/>
          <w:szCs w:val="24"/>
        </w:rPr>
        <w:t xml:space="preserve"> </w:t>
      </w:r>
      <w:r>
        <w:rPr>
          <w:rFonts w:cs="Times New Roman"/>
          <w:szCs w:val="24"/>
        </w:rPr>
        <w:t>uses the</w:t>
      </w:r>
      <w:r w:rsidRPr="00FD2EFD">
        <w:rPr>
          <w:rFonts w:cs="Times New Roman"/>
          <w:szCs w:val="24"/>
        </w:rPr>
        <w:t xml:space="preserve"> Method of Characteristics</w:t>
      </w:r>
      <w:r>
        <w:rPr>
          <w:rFonts w:cs="Times New Roman"/>
          <w:szCs w:val="24"/>
        </w:rPr>
        <w:t xml:space="preserve"> to solve</w:t>
      </w:r>
      <w:r w:rsidRPr="00FD2EFD">
        <w:rPr>
          <w:rFonts w:cs="Times New Roman"/>
          <w:szCs w:val="24"/>
        </w:rPr>
        <w:t xml:space="preserve"> the 2D neutron transport equation in 70 energy groups</w:t>
      </w:r>
      <w:r>
        <w:rPr>
          <w:rFonts w:cs="Times New Roman"/>
          <w:szCs w:val="24"/>
        </w:rPr>
        <w:t xml:space="preserve"> with</w:t>
      </w:r>
      <w:r w:rsidRPr="00FD2EFD">
        <w:rPr>
          <w:rFonts w:cs="Times New Roman"/>
          <w:szCs w:val="24"/>
        </w:rPr>
        <w:t xml:space="preserve"> ENDF/B</w:t>
      </w:r>
      <w:r>
        <w:rPr>
          <w:rFonts w:cs="Times New Roman"/>
          <w:szCs w:val="24"/>
        </w:rPr>
        <w:t>-</w:t>
      </w:r>
      <w:r w:rsidR="003D78A6">
        <w:rPr>
          <w:rFonts w:cs="Times New Roman"/>
          <w:szCs w:val="24"/>
        </w:rPr>
        <w:t>VI</w:t>
      </w:r>
      <w:r w:rsidRPr="00FD2EFD">
        <w:rPr>
          <w:rFonts w:cs="Times New Roman"/>
          <w:szCs w:val="24"/>
        </w:rPr>
        <w:t xml:space="preserve"> cross-section</w:t>
      </w:r>
      <w:r>
        <w:rPr>
          <w:rFonts w:cs="Times New Roman"/>
          <w:szCs w:val="24"/>
        </w:rPr>
        <w:t xml:space="preserve"> libraries.</w:t>
      </w:r>
      <w:r w:rsidRPr="00FD2EFD">
        <w:rPr>
          <w:rFonts w:cs="Times New Roman"/>
          <w:szCs w:val="24"/>
        </w:rPr>
        <w:t xml:space="preserve"> </w:t>
      </w:r>
    </w:p>
    <w:p w14:paraId="04AA4D40" w14:textId="5AA0F0CA" w:rsidR="006F0C75" w:rsidRDefault="001F66A4" w:rsidP="0091793B">
      <w:pPr>
        <w:spacing w:line="360" w:lineRule="auto"/>
        <w:jc w:val="both"/>
        <w:rPr>
          <w:rFonts w:cs="Times New Roman"/>
          <w:szCs w:val="24"/>
        </w:rPr>
      </w:pPr>
      <w:r>
        <w:rPr>
          <w:rFonts w:cs="Times New Roman"/>
          <w:szCs w:val="24"/>
        </w:rPr>
        <w:t xml:space="preserve">Although only three </w:t>
      </w:r>
      <w:r w:rsidR="00102400">
        <w:rPr>
          <w:rFonts w:cs="Times New Roman"/>
          <w:szCs w:val="24"/>
        </w:rPr>
        <w:t>axial slices were modeled for the EOC reactivity method, it was important to inc</w:t>
      </w:r>
      <w:r>
        <w:rPr>
          <w:rFonts w:cs="Times New Roman"/>
          <w:szCs w:val="24"/>
        </w:rPr>
        <w:t>rease the accurac</w:t>
      </w:r>
      <w:r w:rsidR="00102400">
        <w:rPr>
          <w:rFonts w:cs="Times New Roman"/>
          <w:szCs w:val="24"/>
        </w:rPr>
        <w:t xml:space="preserve">y when establishing a 3D full-core model. Therefore, the natural enriched regions that are located at the top and bottom of a standard BWR fuel assembly were modeled in CASMO. </w:t>
      </w:r>
      <w:r>
        <w:rPr>
          <w:rFonts w:cs="Times New Roman"/>
          <w:szCs w:val="24"/>
        </w:rPr>
        <w:t>Throughout the study, UO</w:t>
      </w:r>
      <w:r>
        <w:rPr>
          <w:rFonts w:cs="Times New Roman"/>
          <w:szCs w:val="24"/>
          <w:vertAlign w:val="subscript"/>
        </w:rPr>
        <w:t>2</w:t>
      </w:r>
      <w:r>
        <w:rPr>
          <w:rFonts w:cs="Times New Roman"/>
          <w:szCs w:val="24"/>
        </w:rPr>
        <w:t xml:space="preserve"> enrichment was perturbed in the three middle zones (PSZ, DOM and VAN). However the enrichment in the natural zone was always kept at 0.71% </w:t>
      </w:r>
      <w:r w:rsidR="00CB65D8">
        <w:rPr>
          <w:rFonts w:cs="Times New Roman"/>
          <w:szCs w:val="24"/>
          <w:vertAlign w:val="superscript"/>
        </w:rPr>
        <w:t>235</w:t>
      </w:r>
      <w:r>
        <w:rPr>
          <w:rFonts w:cs="Times New Roman"/>
          <w:szCs w:val="24"/>
        </w:rPr>
        <w:t>U. In acc</w:t>
      </w:r>
      <w:r w:rsidR="001F035F">
        <w:rPr>
          <w:rFonts w:cs="Times New Roman"/>
          <w:szCs w:val="24"/>
        </w:rPr>
        <w:t>ordance with the PSZ and VAN, respectively</w:t>
      </w:r>
      <w:r>
        <w:rPr>
          <w:rFonts w:cs="Times New Roman"/>
          <w:szCs w:val="24"/>
        </w:rPr>
        <w:t>, the lower NAT zone contains 92 UO</w:t>
      </w:r>
      <w:r>
        <w:rPr>
          <w:rFonts w:cs="Times New Roman"/>
          <w:szCs w:val="24"/>
          <w:vertAlign w:val="subscript"/>
        </w:rPr>
        <w:t>2</w:t>
      </w:r>
      <w:r>
        <w:rPr>
          <w:rFonts w:cs="Times New Roman"/>
          <w:szCs w:val="24"/>
        </w:rPr>
        <w:t xml:space="preserve"> fuel pins, while the top NAT zone contains 78 du</w:t>
      </w:r>
      <w:r w:rsidR="003D78A6">
        <w:rPr>
          <w:rFonts w:cs="Times New Roman"/>
          <w:szCs w:val="24"/>
        </w:rPr>
        <w:t>e to vanishing rods</w:t>
      </w:r>
      <w:r>
        <w:rPr>
          <w:rFonts w:cs="Times New Roman"/>
          <w:szCs w:val="24"/>
        </w:rPr>
        <w:t xml:space="preserve">. </w:t>
      </w:r>
      <w:r w:rsidR="00994011">
        <w:rPr>
          <w:rFonts w:cs="Times New Roman"/>
          <w:szCs w:val="24"/>
        </w:rPr>
        <w:t xml:space="preserve">Figure </w:t>
      </w:r>
      <w:r w:rsidR="001F035F">
        <w:rPr>
          <w:rFonts w:cs="Times New Roman"/>
          <w:szCs w:val="24"/>
        </w:rPr>
        <w:t>19</w:t>
      </w:r>
      <w:r w:rsidR="00994011">
        <w:rPr>
          <w:rFonts w:cs="Times New Roman"/>
          <w:szCs w:val="24"/>
        </w:rPr>
        <w:t xml:space="preserve"> represents the five layer BWR assembly which provided all of the axial layers necessary to </w:t>
      </w:r>
      <w:r w:rsidR="00A83B3B">
        <w:rPr>
          <w:rFonts w:cs="Times New Roman"/>
          <w:szCs w:val="24"/>
        </w:rPr>
        <w:t>model the representative</w:t>
      </w:r>
      <w:r w:rsidR="00994011">
        <w:rPr>
          <w:rFonts w:cs="Times New Roman"/>
          <w:szCs w:val="24"/>
        </w:rPr>
        <w:t xml:space="preserve"> core.</w:t>
      </w:r>
    </w:p>
    <w:p w14:paraId="6B425FA1" w14:textId="77777777" w:rsidR="007166EC" w:rsidRDefault="007166EC" w:rsidP="0091793B">
      <w:pPr>
        <w:spacing w:line="360" w:lineRule="auto"/>
        <w:jc w:val="both"/>
        <w:rPr>
          <w:rFonts w:cs="Times New Roman"/>
          <w:szCs w:val="24"/>
        </w:rPr>
      </w:pPr>
    </w:p>
    <w:p w14:paraId="14623258" w14:textId="77777777" w:rsidR="00295457" w:rsidRDefault="00295457" w:rsidP="0091793B">
      <w:pPr>
        <w:spacing w:line="360" w:lineRule="auto"/>
        <w:rPr>
          <w:rFonts w:cs="Times New Roman"/>
          <w:szCs w:val="24"/>
        </w:rPr>
      </w:pPr>
      <w:r>
        <w:rPr>
          <w:rFonts w:cs="Times New Roman"/>
          <w:noProof/>
          <w:szCs w:val="24"/>
        </w:rPr>
        <w:drawing>
          <wp:inline distT="0" distB="0" distL="0" distR="0" wp14:anchorId="6AD42AFF" wp14:editId="06A3CC12">
            <wp:extent cx="4073236" cy="4116844"/>
            <wp:effectExtent l="0" t="0" r="3810" b="0"/>
            <wp:docPr id="7175" name="Picture 7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4071791" cy="4115384"/>
                    </a:xfrm>
                    <a:prstGeom prst="rect">
                      <a:avLst/>
                    </a:prstGeom>
                    <a:noFill/>
                  </pic:spPr>
                </pic:pic>
              </a:graphicData>
            </a:graphic>
          </wp:inline>
        </w:drawing>
      </w:r>
    </w:p>
    <w:p w14:paraId="16322640" w14:textId="77777777" w:rsidR="00295457" w:rsidRDefault="0039764A" w:rsidP="0091793B">
      <w:pPr>
        <w:spacing w:line="360" w:lineRule="auto"/>
      </w:pPr>
      <w:bookmarkStart w:id="25" w:name="_Toc416993458"/>
      <w:r>
        <w:t xml:space="preserve">Figure </w:t>
      </w:r>
      <w:fldSimple w:instr=" SEQ Figure \* ARABIC ">
        <w:r w:rsidR="00F3244B">
          <w:rPr>
            <w:noProof/>
          </w:rPr>
          <w:t>19</w:t>
        </w:r>
      </w:fldSimple>
      <w:r>
        <w:t xml:space="preserve">: </w:t>
      </w:r>
      <w:r w:rsidR="005276F9">
        <w:t xml:space="preserve">Axial zone parameters of modern </w:t>
      </w:r>
      <w:r w:rsidR="00DC0A3C">
        <w:t>10 × 10</w:t>
      </w:r>
      <w:r w:rsidR="00A83B3B">
        <w:t xml:space="preserve"> </w:t>
      </w:r>
      <w:r w:rsidR="005276F9">
        <w:t>BWR b</w:t>
      </w:r>
      <w:r w:rsidRPr="00D34C99">
        <w:t>undle</w:t>
      </w:r>
      <w:bookmarkEnd w:id="25"/>
    </w:p>
    <w:p w14:paraId="0E272F32" w14:textId="6B4E5C4D" w:rsidR="00295457" w:rsidRDefault="00CB1925" w:rsidP="0091793B">
      <w:pPr>
        <w:spacing w:line="360" w:lineRule="auto"/>
        <w:jc w:val="both"/>
        <w:rPr>
          <w:rFonts w:cs="Times New Roman"/>
          <w:szCs w:val="24"/>
        </w:rPr>
      </w:pPr>
      <w:r>
        <w:rPr>
          <w:rFonts w:cs="Times New Roman"/>
          <w:szCs w:val="24"/>
        </w:rPr>
        <w:lastRenderedPageBreak/>
        <w:t xml:space="preserve">Before replacing the Zircaloy cladding and </w:t>
      </w:r>
      <w:r w:rsidR="00F155F8" w:rsidRPr="00F155F8">
        <w:rPr>
          <w:rFonts w:cs="Times New Roman"/>
          <w:szCs w:val="24"/>
        </w:rPr>
        <w:t>channel box</w:t>
      </w:r>
      <w:r>
        <w:rPr>
          <w:rFonts w:cs="Times New Roman"/>
          <w:szCs w:val="24"/>
        </w:rPr>
        <w:t xml:space="preserve">, it was important to establish a realistic </w:t>
      </w:r>
      <w:r w:rsidR="00C13A66">
        <w:rPr>
          <w:rFonts w:cs="Times New Roman"/>
          <w:szCs w:val="24"/>
        </w:rPr>
        <w:t>base case</w:t>
      </w:r>
      <w:r>
        <w:rPr>
          <w:rFonts w:cs="Times New Roman"/>
          <w:szCs w:val="24"/>
        </w:rPr>
        <w:t xml:space="preserve"> model. The enrichments shown in </w:t>
      </w:r>
      <w:r w:rsidR="007B5623">
        <w:rPr>
          <w:rFonts w:cs="Times New Roman"/>
          <w:szCs w:val="24"/>
        </w:rPr>
        <w:t>Figure 19</w:t>
      </w:r>
      <w:r>
        <w:rPr>
          <w:rFonts w:cs="Times New Roman"/>
          <w:szCs w:val="24"/>
        </w:rPr>
        <w:t xml:space="preserve"> represent the conditions used for Zircaloy </w:t>
      </w:r>
      <w:r w:rsidR="00C13A66">
        <w:rPr>
          <w:rFonts w:cs="Times New Roman"/>
          <w:szCs w:val="24"/>
        </w:rPr>
        <w:t>base case</w:t>
      </w:r>
      <w:r>
        <w:rPr>
          <w:rFonts w:cs="Times New Roman"/>
          <w:szCs w:val="24"/>
        </w:rPr>
        <w:t xml:space="preserve"> core, however fuel parameters (such as enrichment) were eventually perturbed when swapping out the cladding/</w:t>
      </w:r>
      <w:r w:rsidR="00F155F8" w:rsidRPr="00F155F8">
        <w:rPr>
          <w:rFonts w:cs="Times New Roman"/>
          <w:szCs w:val="24"/>
        </w:rPr>
        <w:t>channel box</w:t>
      </w:r>
      <w:r>
        <w:rPr>
          <w:rFonts w:cs="Times New Roman"/>
          <w:szCs w:val="24"/>
        </w:rPr>
        <w:t>. Since empty fuel locations took place of higher enriched fuel pellets, the weighted enrichme</w:t>
      </w:r>
      <w:r w:rsidR="003A01BC">
        <w:rPr>
          <w:rFonts w:cs="Times New Roman"/>
          <w:szCs w:val="24"/>
        </w:rPr>
        <w:t>nt average of the VAN region</w:t>
      </w:r>
      <w:r>
        <w:rPr>
          <w:rFonts w:cs="Times New Roman"/>
          <w:szCs w:val="24"/>
        </w:rPr>
        <w:t xml:space="preserve"> is slightly less than the DOM and PSZ regions. </w:t>
      </w:r>
    </w:p>
    <w:p w14:paraId="104A41F2" w14:textId="0FA66111" w:rsidR="00060B85" w:rsidRDefault="00060B85" w:rsidP="0091793B">
      <w:pPr>
        <w:spacing w:line="360" w:lineRule="auto"/>
        <w:jc w:val="both"/>
        <w:rPr>
          <w:rFonts w:cs="Times New Roman"/>
          <w:szCs w:val="24"/>
        </w:rPr>
      </w:pPr>
      <w:r w:rsidRPr="00FD2EFD">
        <w:rPr>
          <w:rFonts w:cs="Times New Roman"/>
          <w:szCs w:val="24"/>
        </w:rPr>
        <w:t xml:space="preserve">For each lattice run in CASMO, branch perturbations of fuel properties were also executed. Before the diffusion equation can be solved in NESTLE at a particular fuel temperature or coolant </w:t>
      </w:r>
      <w:r w:rsidR="00D63244">
        <w:rPr>
          <w:rFonts w:cs="Times New Roman"/>
          <w:szCs w:val="24"/>
        </w:rPr>
        <w:t>void fraction</w:t>
      </w:r>
      <w:r w:rsidRPr="00FD2EFD">
        <w:rPr>
          <w:rFonts w:cs="Times New Roman"/>
          <w:szCs w:val="24"/>
        </w:rPr>
        <w:t xml:space="preserve">, etc., cross-section data must first be established by the lattice physics code that encompasses the thermal hydraulic parameter ranges expected in the core. Therefore, each of the five axial slices </w:t>
      </w:r>
      <w:r>
        <w:rPr>
          <w:rFonts w:cs="Times New Roman"/>
          <w:szCs w:val="24"/>
        </w:rPr>
        <w:t xml:space="preserve">from Figure </w:t>
      </w:r>
      <w:r w:rsidR="001F035F">
        <w:rPr>
          <w:rFonts w:cs="Times New Roman"/>
          <w:szCs w:val="24"/>
        </w:rPr>
        <w:t>19</w:t>
      </w:r>
      <w:r>
        <w:rPr>
          <w:rFonts w:cs="Times New Roman"/>
          <w:szCs w:val="24"/>
        </w:rPr>
        <w:t xml:space="preserve"> </w:t>
      </w:r>
      <w:r w:rsidRPr="00FD2EFD">
        <w:rPr>
          <w:rFonts w:cs="Times New Roman"/>
          <w:szCs w:val="24"/>
        </w:rPr>
        <w:t>was run in CASMO at the base case conditions, but also with a</w:t>
      </w:r>
      <w:r>
        <w:rPr>
          <w:rFonts w:cs="Times New Roman"/>
          <w:szCs w:val="24"/>
        </w:rPr>
        <w:t xml:space="preserve"> high and low fuel temperature and </w:t>
      </w:r>
      <w:r w:rsidR="00D63244">
        <w:rPr>
          <w:rFonts w:cs="Times New Roman"/>
          <w:szCs w:val="24"/>
        </w:rPr>
        <w:t>void fraction</w:t>
      </w:r>
      <w:r>
        <w:rPr>
          <w:rFonts w:cs="Times New Roman"/>
          <w:szCs w:val="24"/>
        </w:rPr>
        <w:t xml:space="preserve"> </w:t>
      </w:r>
      <w:r w:rsidR="003D78A6">
        <w:rPr>
          <w:rFonts w:cs="Times New Roman"/>
          <w:szCs w:val="24"/>
        </w:rPr>
        <w:t>with and without</w:t>
      </w:r>
      <w:r w:rsidR="00A83B3B">
        <w:rPr>
          <w:rFonts w:cs="Times New Roman"/>
          <w:szCs w:val="24"/>
        </w:rPr>
        <w:t xml:space="preserve"> </w:t>
      </w:r>
      <w:r w:rsidR="006224E8">
        <w:rPr>
          <w:rFonts w:cs="Times New Roman"/>
          <w:szCs w:val="24"/>
        </w:rPr>
        <w:t>CB</w:t>
      </w:r>
      <w:r w:rsidR="00A83B3B">
        <w:rPr>
          <w:rFonts w:cs="Times New Roman"/>
          <w:szCs w:val="24"/>
        </w:rPr>
        <w:t xml:space="preserve"> insertion. </w:t>
      </w:r>
    </w:p>
    <w:p w14:paraId="0BD09DE9" w14:textId="344ADE7A" w:rsidR="00D06499" w:rsidRDefault="00D06499" w:rsidP="0091793B">
      <w:pPr>
        <w:spacing w:line="360" w:lineRule="auto"/>
        <w:jc w:val="both"/>
        <w:rPr>
          <w:rFonts w:cs="Times New Roman"/>
          <w:szCs w:val="24"/>
        </w:rPr>
      </w:pPr>
      <w:r>
        <w:rPr>
          <w:rFonts w:cs="Times New Roman"/>
          <w:szCs w:val="24"/>
        </w:rPr>
        <w:t xml:space="preserve">In a BWR, the </w:t>
      </w:r>
      <w:r w:rsidR="00D63244">
        <w:rPr>
          <w:rFonts w:cs="Times New Roman"/>
          <w:szCs w:val="24"/>
        </w:rPr>
        <w:t>void fraction</w:t>
      </w:r>
      <w:r>
        <w:rPr>
          <w:rFonts w:cs="Times New Roman"/>
          <w:szCs w:val="24"/>
        </w:rPr>
        <w:t xml:space="preserve"> of the coolant can range from liquid phase to almost a 100% void near the top of the core. Because of this, determining the </w:t>
      </w:r>
      <w:r w:rsidR="00C13A66">
        <w:rPr>
          <w:rFonts w:cs="Times New Roman"/>
          <w:szCs w:val="24"/>
        </w:rPr>
        <w:t>base case</w:t>
      </w:r>
      <w:r>
        <w:rPr>
          <w:rFonts w:cs="Times New Roman"/>
          <w:szCs w:val="24"/>
        </w:rPr>
        <w:t xml:space="preserve"> void level at</w:t>
      </w:r>
      <w:r w:rsidR="00CA69EF">
        <w:rPr>
          <w:rFonts w:cs="Times New Roman"/>
          <w:szCs w:val="24"/>
        </w:rPr>
        <w:t xml:space="preserve"> each axial zone became paramount</w:t>
      </w:r>
      <w:r>
        <w:rPr>
          <w:rFonts w:cs="Times New Roman"/>
          <w:szCs w:val="24"/>
        </w:rPr>
        <w:t xml:space="preserve">. If the initial void level at a given </w:t>
      </w:r>
      <w:r w:rsidR="00CA69EF">
        <w:rPr>
          <w:rFonts w:cs="Times New Roman"/>
          <w:szCs w:val="24"/>
        </w:rPr>
        <w:t>node</w:t>
      </w:r>
      <w:r>
        <w:rPr>
          <w:rFonts w:cs="Times New Roman"/>
          <w:szCs w:val="24"/>
        </w:rPr>
        <w:t xml:space="preserve"> did not correlate with what the thermal hydraulic model anticipated, the </w:t>
      </w:r>
      <w:r w:rsidR="00CA69EF">
        <w:rPr>
          <w:rFonts w:cs="Times New Roman"/>
          <w:szCs w:val="24"/>
        </w:rPr>
        <w:t xml:space="preserve">accuracy of the calculated </w:t>
      </w:r>
      <w:r>
        <w:rPr>
          <w:rFonts w:cs="Times New Roman"/>
          <w:szCs w:val="24"/>
        </w:rPr>
        <w:t xml:space="preserve">eigenvalue would be </w:t>
      </w:r>
      <w:r w:rsidR="00CA69EF">
        <w:rPr>
          <w:rFonts w:cs="Times New Roman"/>
          <w:szCs w:val="24"/>
        </w:rPr>
        <w:t>off</w:t>
      </w:r>
      <w:r>
        <w:rPr>
          <w:rFonts w:cs="Times New Roman"/>
          <w:szCs w:val="24"/>
        </w:rPr>
        <w:t>. Therefore numerous CASM</w:t>
      </w:r>
      <w:r w:rsidR="00CA69EF">
        <w:rPr>
          <w:rFonts w:cs="Times New Roman"/>
          <w:szCs w:val="24"/>
        </w:rPr>
        <w:t xml:space="preserve">O cases were run with varying nominal void conditions at each of the five zones. Then the outputted few-group cross-section data was re-run in NESTLE until reasonable axial void profiles were produced.  </w:t>
      </w:r>
    </w:p>
    <w:p w14:paraId="5D46A193" w14:textId="77777777" w:rsidR="0016399C" w:rsidRDefault="00060B85" w:rsidP="0091793B">
      <w:pPr>
        <w:spacing w:line="360" w:lineRule="auto"/>
        <w:jc w:val="both"/>
        <w:rPr>
          <w:rFonts w:cs="Times New Roman"/>
          <w:szCs w:val="24"/>
        </w:rPr>
      </w:pPr>
      <w:r w:rsidRPr="00FD2EFD">
        <w:rPr>
          <w:rFonts w:cs="Times New Roman"/>
          <w:szCs w:val="24"/>
        </w:rPr>
        <w:t xml:space="preserve">A </w:t>
      </w:r>
      <w:r w:rsidR="006224E8">
        <w:rPr>
          <w:rFonts w:cs="Times New Roman"/>
          <w:szCs w:val="24"/>
        </w:rPr>
        <w:t>CB</w:t>
      </w:r>
      <w:r w:rsidRPr="00FD2EFD">
        <w:rPr>
          <w:rFonts w:cs="Times New Roman"/>
          <w:szCs w:val="24"/>
        </w:rPr>
        <w:t xml:space="preserve"> is located in the northwest corner of each array. The cruciform blade thickness is 0.792 cm and consists of homogenized water and steel surrounding 0.50 cm B</w:t>
      </w:r>
      <w:r w:rsidRPr="00FD2EFD">
        <w:rPr>
          <w:rFonts w:cs="Times New Roman"/>
          <w:szCs w:val="24"/>
          <w:vertAlign w:val="subscript"/>
        </w:rPr>
        <w:t>4</w:t>
      </w:r>
      <w:r w:rsidRPr="00FD2EFD">
        <w:rPr>
          <w:rFonts w:cs="Times New Roman"/>
          <w:szCs w:val="24"/>
        </w:rPr>
        <w:t xml:space="preserve">C cylinders. The base case </w:t>
      </w:r>
      <w:r>
        <w:rPr>
          <w:rFonts w:cs="Times New Roman"/>
          <w:szCs w:val="24"/>
        </w:rPr>
        <w:t>and</w:t>
      </w:r>
      <w:r w:rsidRPr="00FD2EFD">
        <w:rPr>
          <w:rFonts w:cs="Times New Roman"/>
          <w:szCs w:val="24"/>
        </w:rPr>
        <w:t xml:space="preserve"> all branch perturbations were run with the </w:t>
      </w:r>
      <w:r w:rsidR="006224E8">
        <w:rPr>
          <w:rFonts w:cs="Times New Roman"/>
          <w:szCs w:val="24"/>
        </w:rPr>
        <w:t>CB</w:t>
      </w:r>
      <w:r w:rsidRPr="00FD2EFD">
        <w:rPr>
          <w:rFonts w:cs="Times New Roman"/>
          <w:szCs w:val="24"/>
        </w:rPr>
        <w:t xml:space="preserve"> fully withdrawn and fully inserted.</w:t>
      </w:r>
      <w:r>
        <w:rPr>
          <w:rFonts w:cs="Times New Roman"/>
          <w:szCs w:val="24"/>
        </w:rPr>
        <w:t xml:space="preserve"> </w:t>
      </w:r>
      <w:r w:rsidR="001F035F">
        <w:rPr>
          <w:rFonts w:cs="Times New Roman"/>
          <w:szCs w:val="24"/>
        </w:rPr>
        <w:t xml:space="preserve">Table </w:t>
      </w:r>
      <w:r w:rsidR="003D78A6">
        <w:rPr>
          <w:rFonts w:cs="Times New Roman"/>
          <w:szCs w:val="24"/>
        </w:rPr>
        <w:t>VI</w:t>
      </w:r>
      <w:r w:rsidR="001F035F">
        <w:rPr>
          <w:rFonts w:cs="Times New Roman"/>
          <w:szCs w:val="24"/>
        </w:rPr>
        <w:t xml:space="preserve"> </w:t>
      </w:r>
      <w:r w:rsidR="000D0701" w:rsidRPr="009E5ED6">
        <w:rPr>
          <w:rFonts w:cs="Times New Roman"/>
          <w:szCs w:val="24"/>
        </w:rPr>
        <w:t xml:space="preserve">represents </w:t>
      </w:r>
      <w:r w:rsidR="009E5ED6" w:rsidRPr="009E5ED6">
        <w:rPr>
          <w:rFonts w:cs="Times New Roman"/>
          <w:szCs w:val="24"/>
        </w:rPr>
        <w:t>10 total cases</w:t>
      </w:r>
      <w:r w:rsidR="000D0701" w:rsidRPr="009E5ED6">
        <w:rPr>
          <w:rFonts w:cs="Times New Roman"/>
          <w:szCs w:val="24"/>
        </w:rPr>
        <w:t xml:space="preserve"> </w:t>
      </w:r>
      <w:r w:rsidR="00CA69EF">
        <w:rPr>
          <w:rFonts w:cs="Times New Roman"/>
          <w:szCs w:val="24"/>
        </w:rPr>
        <w:t>performed in CASMO in order to obtain the necessary few-group cross-section data.</w:t>
      </w:r>
      <w:r w:rsidR="000D0701" w:rsidRPr="009E5ED6">
        <w:rPr>
          <w:rFonts w:cs="Times New Roman"/>
          <w:szCs w:val="24"/>
        </w:rPr>
        <w:t xml:space="preserve"> </w:t>
      </w:r>
    </w:p>
    <w:p w14:paraId="5717AC4B" w14:textId="43D53E5D" w:rsidR="007166EC" w:rsidRDefault="007B5623" w:rsidP="0091793B">
      <w:pPr>
        <w:spacing w:line="360" w:lineRule="auto"/>
        <w:jc w:val="both"/>
        <w:rPr>
          <w:rFonts w:cs="Times New Roman"/>
          <w:szCs w:val="24"/>
        </w:rPr>
      </w:pPr>
      <w:r>
        <w:rPr>
          <w:rFonts w:cs="Times New Roman"/>
          <w:szCs w:val="24"/>
        </w:rPr>
        <w:t>By depleting the10 cases</w:t>
      </w:r>
      <w:r w:rsidR="007166EC">
        <w:rPr>
          <w:rFonts w:cs="Times New Roman"/>
          <w:szCs w:val="24"/>
        </w:rPr>
        <w:t xml:space="preserve"> in CASMO to 65 GWd/MTU, all of the required cross-section data was available for a full-core model in NESTLE. The CASMO output presents the data in the form of macroscopic cross-sections. NESTLE on the other hand reads the data in the form of polynomial coefficients as a function of each perturbation. </w:t>
      </w:r>
      <w:r w:rsidR="007166EC" w:rsidRPr="00FD2EFD">
        <w:rPr>
          <w:rFonts w:cs="Times New Roman"/>
          <w:szCs w:val="24"/>
        </w:rPr>
        <w:t xml:space="preserve">Therefore, a python script was written to parse the </w:t>
      </w:r>
      <w:r w:rsidR="007166EC" w:rsidRPr="00FD2EFD">
        <w:rPr>
          <w:rFonts w:cs="Times New Roman"/>
          <w:szCs w:val="24"/>
        </w:rPr>
        <w:lastRenderedPageBreak/>
        <w:t xml:space="preserve">cross-section data from CASMO. As the python script is essentially bridging the gap between the lattice physics calculations and the 3D nodal code, the module was named CASMO to NESTLE (C2N). </w:t>
      </w:r>
      <w:r w:rsidR="007166EC">
        <w:rPr>
          <w:rFonts w:cs="Times New Roman"/>
          <w:szCs w:val="24"/>
        </w:rPr>
        <w:t xml:space="preserve"> </w:t>
      </w:r>
    </w:p>
    <w:p w14:paraId="75A30BE0" w14:textId="77777777" w:rsidR="007166EC" w:rsidRDefault="007166EC" w:rsidP="0091793B">
      <w:pPr>
        <w:spacing w:line="360" w:lineRule="auto"/>
        <w:jc w:val="both"/>
        <w:rPr>
          <w:rFonts w:cs="Times New Roman"/>
          <w:szCs w:val="24"/>
        </w:rPr>
      </w:pPr>
    </w:p>
    <w:p w14:paraId="26760B4E" w14:textId="77777777" w:rsidR="00CA69EF" w:rsidRPr="009E5ED6" w:rsidRDefault="00A3048B" w:rsidP="00A83B3B">
      <w:pPr>
        <w:rPr>
          <w:rFonts w:cs="Times New Roman"/>
          <w:szCs w:val="24"/>
        </w:rPr>
      </w:pPr>
      <w:bookmarkStart w:id="26" w:name="_Toc416993428"/>
      <w:r>
        <w:t xml:space="preserve">Table </w:t>
      </w:r>
      <w:fldSimple w:instr=" SEQ Table \* ROMAN ">
        <w:r w:rsidR="00EC7A3E">
          <w:rPr>
            <w:noProof/>
          </w:rPr>
          <w:t>VI</w:t>
        </w:r>
      </w:fldSimple>
      <w:r>
        <w:t xml:space="preserve">. </w:t>
      </w:r>
      <w:r w:rsidRPr="005B00D9">
        <w:t xml:space="preserve">Branch Perturbation Specifications used in </w:t>
      </w:r>
      <w:r w:rsidR="0020579B">
        <w:t>CASMO-4</w:t>
      </w:r>
      <w:bookmarkEnd w:id="26"/>
    </w:p>
    <w:tbl>
      <w:tblPr>
        <w:tblW w:w="9249" w:type="dxa"/>
        <w:jc w:val="center"/>
        <w:tblInd w:w="93" w:type="dxa"/>
        <w:tblLayout w:type="fixed"/>
        <w:tblLook w:val="04A0" w:firstRow="1" w:lastRow="0" w:firstColumn="1" w:lastColumn="0" w:noHBand="0" w:noVBand="1"/>
      </w:tblPr>
      <w:tblGrid>
        <w:gridCol w:w="755"/>
        <w:gridCol w:w="1146"/>
        <w:gridCol w:w="1605"/>
        <w:gridCol w:w="1200"/>
        <w:gridCol w:w="639"/>
        <w:gridCol w:w="720"/>
        <w:gridCol w:w="720"/>
        <w:gridCol w:w="1039"/>
        <w:gridCol w:w="1425"/>
      </w:tblGrid>
      <w:tr w:rsidR="001152C6" w:rsidRPr="001152C6" w14:paraId="36F8FBCA" w14:textId="77777777" w:rsidTr="000519E4">
        <w:trPr>
          <w:trHeight w:val="312"/>
          <w:jc w:val="center"/>
        </w:trPr>
        <w:tc>
          <w:tcPr>
            <w:tcW w:w="755" w:type="dxa"/>
            <w:tcBorders>
              <w:top w:val="nil"/>
              <w:left w:val="nil"/>
              <w:bottom w:val="single" w:sz="4" w:space="0" w:color="auto"/>
              <w:right w:val="nil"/>
            </w:tcBorders>
            <w:shd w:val="clear" w:color="auto" w:fill="auto"/>
            <w:noWrap/>
            <w:vAlign w:val="center"/>
            <w:hideMark/>
          </w:tcPr>
          <w:p w14:paraId="199C8847" w14:textId="261A6259" w:rsidR="001152C6" w:rsidRPr="001152C6" w:rsidRDefault="001152C6" w:rsidP="000519E4">
            <w:pPr>
              <w:spacing w:after="0"/>
              <w:rPr>
                <w:rFonts w:eastAsia="Times New Roman" w:cs="Times New Roman"/>
                <w:color w:val="000000"/>
                <w:sz w:val="20"/>
                <w:szCs w:val="20"/>
              </w:rPr>
            </w:pPr>
          </w:p>
        </w:tc>
        <w:tc>
          <w:tcPr>
            <w:tcW w:w="1146" w:type="dxa"/>
            <w:tcBorders>
              <w:top w:val="nil"/>
              <w:left w:val="nil"/>
              <w:bottom w:val="single" w:sz="4" w:space="0" w:color="auto"/>
              <w:right w:val="single" w:sz="4" w:space="0" w:color="auto"/>
            </w:tcBorders>
            <w:shd w:val="clear" w:color="auto" w:fill="auto"/>
            <w:noWrap/>
            <w:vAlign w:val="center"/>
            <w:hideMark/>
          </w:tcPr>
          <w:p w14:paraId="2524D693" w14:textId="5D3BB291" w:rsidR="001152C6" w:rsidRPr="001152C6" w:rsidRDefault="001152C6" w:rsidP="000519E4">
            <w:pPr>
              <w:spacing w:after="0"/>
              <w:rPr>
                <w:rFonts w:eastAsia="Times New Roman" w:cs="Times New Roman"/>
                <w:color w:val="000000"/>
                <w:sz w:val="20"/>
                <w:szCs w:val="20"/>
              </w:rPr>
            </w:pPr>
          </w:p>
        </w:tc>
        <w:tc>
          <w:tcPr>
            <w:tcW w:w="1605" w:type="dxa"/>
            <w:vMerge w:val="restart"/>
            <w:tcBorders>
              <w:top w:val="single" w:sz="4" w:space="0" w:color="auto"/>
              <w:left w:val="nil"/>
              <w:bottom w:val="single" w:sz="4" w:space="0" w:color="000000"/>
              <w:right w:val="single" w:sz="4" w:space="0" w:color="auto"/>
            </w:tcBorders>
            <w:shd w:val="clear" w:color="auto" w:fill="auto"/>
            <w:vAlign w:val="center"/>
            <w:hideMark/>
          </w:tcPr>
          <w:p w14:paraId="11488385" w14:textId="563E5465" w:rsidR="00181DE0"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Fuel</w:t>
            </w:r>
          </w:p>
          <w:p w14:paraId="25EA4F0C" w14:textId="77777777" w:rsidR="001152C6" w:rsidRPr="001152C6"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Temperature (K)</w:t>
            </w:r>
          </w:p>
        </w:tc>
        <w:tc>
          <w:tcPr>
            <w:tcW w:w="4318" w:type="dxa"/>
            <w:gridSpan w:val="5"/>
            <w:tcBorders>
              <w:top w:val="single" w:sz="4" w:space="0" w:color="auto"/>
              <w:left w:val="nil"/>
              <w:bottom w:val="single" w:sz="4" w:space="0" w:color="auto"/>
              <w:right w:val="single" w:sz="4" w:space="0" w:color="auto"/>
            </w:tcBorders>
            <w:shd w:val="clear" w:color="auto" w:fill="auto"/>
            <w:noWrap/>
            <w:vAlign w:val="center"/>
            <w:hideMark/>
          </w:tcPr>
          <w:p w14:paraId="28E74F03" w14:textId="6FB961B9" w:rsidR="001152C6" w:rsidRPr="001152C6" w:rsidRDefault="003A01BC" w:rsidP="000519E4">
            <w:pPr>
              <w:spacing w:after="0"/>
              <w:rPr>
                <w:rFonts w:eastAsia="Times New Roman" w:cs="Times New Roman"/>
                <w:b/>
                <w:bCs/>
                <w:color w:val="000000"/>
                <w:sz w:val="20"/>
                <w:szCs w:val="20"/>
              </w:rPr>
            </w:pPr>
            <w:r>
              <w:rPr>
                <w:rFonts w:eastAsia="Times New Roman" w:cs="Times New Roman"/>
                <w:b/>
                <w:bCs/>
                <w:color w:val="000000"/>
                <w:sz w:val="20"/>
                <w:szCs w:val="20"/>
              </w:rPr>
              <w:t>Coolant Void Fraction</w:t>
            </w:r>
            <w:r w:rsidR="00E0481A">
              <w:rPr>
                <w:rFonts w:eastAsia="Times New Roman" w:cs="Times New Roman"/>
                <w:b/>
                <w:bCs/>
                <w:color w:val="000000"/>
                <w:sz w:val="20"/>
                <w:szCs w:val="20"/>
              </w:rPr>
              <w:t xml:space="preserve"> (by axial zone)</w:t>
            </w:r>
          </w:p>
        </w:tc>
        <w:tc>
          <w:tcPr>
            <w:tcW w:w="1425"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4CCEDCC9" w14:textId="77777777" w:rsidR="001152C6" w:rsidRPr="001152C6"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Control Blade</w:t>
            </w:r>
          </w:p>
        </w:tc>
      </w:tr>
      <w:tr w:rsidR="000519E4" w:rsidRPr="001152C6" w14:paraId="2F42B128"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center"/>
            <w:hideMark/>
          </w:tcPr>
          <w:p w14:paraId="08E03606" w14:textId="77777777" w:rsidR="001152C6" w:rsidRPr="001152C6"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Cases</w:t>
            </w:r>
          </w:p>
        </w:tc>
        <w:tc>
          <w:tcPr>
            <w:tcW w:w="1146" w:type="dxa"/>
            <w:tcBorders>
              <w:top w:val="nil"/>
              <w:left w:val="nil"/>
              <w:bottom w:val="single" w:sz="4" w:space="0" w:color="auto"/>
              <w:right w:val="single" w:sz="4" w:space="0" w:color="auto"/>
            </w:tcBorders>
            <w:shd w:val="clear" w:color="auto" w:fill="auto"/>
            <w:noWrap/>
            <w:vAlign w:val="center"/>
            <w:hideMark/>
          </w:tcPr>
          <w:p w14:paraId="1C853C27" w14:textId="77777777" w:rsidR="001152C6" w:rsidRPr="001152C6"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Branch</w:t>
            </w:r>
          </w:p>
        </w:tc>
        <w:tc>
          <w:tcPr>
            <w:tcW w:w="1605" w:type="dxa"/>
            <w:vMerge/>
            <w:tcBorders>
              <w:top w:val="single" w:sz="4" w:space="0" w:color="auto"/>
              <w:left w:val="nil"/>
              <w:bottom w:val="single" w:sz="4" w:space="0" w:color="000000"/>
              <w:right w:val="single" w:sz="4" w:space="0" w:color="auto"/>
            </w:tcBorders>
            <w:vAlign w:val="center"/>
            <w:hideMark/>
          </w:tcPr>
          <w:p w14:paraId="3E6171F2" w14:textId="77777777" w:rsidR="001152C6" w:rsidRPr="001152C6" w:rsidRDefault="001152C6" w:rsidP="000519E4">
            <w:pPr>
              <w:spacing w:after="0"/>
              <w:rPr>
                <w:rFonts w:eastAsia="Times New Roman" w:cs="Times New Roman"/>
                <w:b/>
                <w:bCs/>
                <w:color w:val="000000"/>
                <w:sz w:val="20"/>
                <w:szCs w:val="20"/>
              </w:rPr>
            </w:pPr>
          </w:p>
        </w:tc>
        <w:tc>
          <w:tcPr>
            <w:tcW w:w="1200" w:type="dxa"/>
            <w:tcBorders>
              <w:top w:val="nil"/>
              <w:left w:val="nil"/>
              <w:bottom w:val="single" w:sz="4" w:space="0" w:color="auto"/>
              <w:right w:val="single" w:sz="4" w:space="0" w:color="auto"/>
            </w:tcBorders>
            <w:shd w:val="clear" w:color="auto" w:fill="auto"/>
            <w:noWrap/>
            <w:vAlign w:val="center"/>
            <w:hideMark/>
          </w:tcPr>
          <w:p w14:paraId="3B5D1938" w14:textId="77777777" w:rsidR="001152C6" w:rsidRPr="001152C6"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Lower NAT</w:t>
            </w:r>
          </w:p>
        </w:tc>
        <w:tc>
          <w:tcPr>
            <w:tcW w:w="639" w:type="dxa"/>
            <w:tcBorders>
              <w:top w:val="nil"/>
              <w:left w:val="nil"/>
              <w:bottom w:val="single" w:sz="4" w:space="0" w:color="auto"/>
              <w:right w:val="single" w:sz="4" w:space="0" w:color="auto"/>
            </w:tcBorders>
            <w:shd w:val="clear" w:color="auto" w:fill="auto"/>
            <w:noWrap/>
            <w:vAlign w:val="center"/>
            <w:hideMark/>
          </w:tcPr>
          <w:p w14:paraId="7D9D5E0B" w14:textId="77777777" w:rsidR="001152C6" w:rsidRPr="001152C6"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PSZ</w:t>
            </w:r>
          </w:p>
        </w:tc>
        <w:tc>
          <w:tcPr>
            <w:tcW w:w="720" w:type="dxa"/>
            <w:tcBorders>
              <w:top w:val="nil"/>
              <w:left w:val="nil"/>
              <w:bottom w:val="single" w:sz="4" w:space="0" w:color="auto"/>
              <w:right w:val="single" w:sz="4" w:space="0" w:color="auto"/>
            </w:tcBorders>
            <w:shd w:val="clear" w:color="auto" w:fill="auto"/>
            <w:noWrap/>
            <w:vAlign w:val="center"/>
            <w:hideMark/>
          </w:tcPr>
          <w:p w14:paraId="192DD0FF" w14:textId="77777777" w:rsidR="001152C6" w:rsidRPr="001152C6"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DOM</w:t>
            </w:r>
          </w:p>
        </w:tc>
        <w:tc>
          <w:tcPr>
            <w:tcW w:w="720" w:type="dxa"/>
            <w:tcBorders>
              <w:top w:val="nil"/>
              <w:left w:val="nil"/>
              <w:bottom w:val="single" w:sz="4" w:space="0" w:color="auto"/>
              <w:right w:val="single" w:sz="4" w:space="0" w:color="auto"/>
            </w:tcBorders>
            <w:shd w:val="clear" w:color="auto" w:fill="auto"/>
            <w:noWrap/>
            <w:vAlign w:val="center"/>
            <w:hideMark/>
          </w:tcPr>
          <w:p w14:paraId="0DB78A00" w14:textId="77777777" w:rsidR="001152C6" w:rsidRPr="001152C6"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VAN</w:t>
            </w:r>
          </w:p>
        </w:tc>
        <w:tc>
          <w:tcPr>
            <w:tcW w:w="1039" w:type="dxa"/>
            <w:tcBorders>
              <w:top w:val="nil"/>
              <w:left w:val="nil"/>
              <w:bottom w:val="single" w:sz="4" w:space="0" w:color="auto"/>
              <w:right w:val="single" w:sz="4" w:space="0" w:color="auto"/>
            </w:tcBorders>
            <w:shd w:val="clear" w:color="auto" w:fill="auto"/>
            <w:noWrap/>
            <w:vAlign w:val="center"/>
            <w:hideMark/>
          </w:tcPr>
          <w:p w14:paraId="5535E0CA" w14:textId="77777777" w:rsidR="001152C6" w:rsidRPr="001152C6" w:rsidRDefault="001152C6" w:rsidP="000519E4">
            <w:pPr>
              <w:spacing w:after="0"/>
              <w:rPr>
                <w:rFonts w:eastAsia="Times New Roman" w:cs="Times New Roman"/>
                <w:b/>
                <w:bCs/>
                <w:color w:val="000000"/>
                <w:sz w:val="20"/>
                <w:szCs w:val="20"/>
              </w:rPr>
            </w:pPr>
            <w:r w:rsidRPr="001152C6">
              <w:rPr>
                <w:rFonts w:eastAsia="Times New Roman" w:cs="Times New Roman"/>
                <w:b/>
                <w:bCs/>
                <w:color w:val="000000"/>
                <w:sz w:val="20"/>
                <w:szCs w:val="20"/>
              </w:rPr>
              <w:t>Upper NAT</w:t>
            </w:r>
          </w:p>
        </w:tc>
        <w:tc>
          <w:tcPr>
            <w:tcW w:w="1425" w:type="dxa"/>
            <w:vMerge/>
            <w:tcBorders>
              <w:top w:val="single" w:sz="4" w:space="0" w:color="auto"/>
              <w:left w:val="single" w:sz="4" w:space="0" w:color="auto"/>
              <w:bottom w:val="single" w:sz="4" w:space="0" w:color="000000"/>
              <w:right w:val="single" w:sz="4" w:space="0" w:color="auto"/>
            </w:tcBorders>
            <w:vAlign w:val="center"/>
            <w:hideMark/>
          </w:tcPr>
          <w:p w14:paraId="0EFD8778" w14:textId="77777777" w:rsidR="001152C6" w:rsidRPr="001152C6" w:rsidRDefault="001152C6" w:rsidP="000519E4">
            <w:pPr>
              <w:spacing w:after="0"/>
              <w:rPr>
                <w:rFonts w:eastAsia="Times New Roman" w:cs="Times New Roman"/>
                <w:b/>
                <w:bCs/>
                <w:color w:val="000000"/>
                <w:sz w:val="20"/>
                <w:szCs w:val="20"/>
              </w:rPr>
            </w:pPr>
          </w:p>
        </w:tc>
      </w:tr>
      <w:tr w:rsidR="000519E4" w:rsidRPr="001152C6" w14:paraId="24287335"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2C93059A"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1</w:t>
            </w:r>
          </w:p>
        </w:tc>
        <w:tc>
          <w:tcPr>
            <w:tcW w:w="1146"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F4AB605" w14:textId="77777777" w:rsidR="001152C6" w:rsidRPr="001152C6" w:rsidRDefault="00C13A66" w:rsidP="00A83B3B">
            <w:pPr>
              <w:spacing w:after="0"/>
              <w:rPr>
                <w:rFonts w:eastAsia="Times New Roman" w:cs="Times New Roman"/>
                <w:b/>
                <w:bCs/>
                <w:color w:val="000000"/>
                <w:sz w:val="20"/>
                <w:szCs w:val="20"/>
              </w:rPr>
            </w:pPr>
            <w:r>
              <w:rPr>
                <w:rFonts w:eastAsia="Times New Roman" w:cs="Times New Roman"/>
                <w:b/>
                <w:bCs/>
                <w:color w:val="000000"/>
                <w:sz w:val="20"/>
                <w:szCs w:val="20"/>
              </w:rPr>
              <w:t>Base Case</w:t>
            </w:r>
          </w:p>
        </w:tc>
        <w:tc>
          <w:tcPr>
            <w:tcW w:w="16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1035A5D3"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950</w:t>
            </w:r>
          </w:p>
        </w:tc>
        <w:tc>
          <w:tcPr>
            <w:tcW w:w="120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527587B"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5%</w:t>
            </w:r>
          </w:p>
        </w:tc>
        <w:tc>
          <w:tcPr>
            <w:tcW w:w="6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17A55CE"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20%</w:t>
            </w:r>
          </w:p>
        </w:tc>
        <w:tc>
          <w:tcPr>
            <w:tcW w:w="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3A81B3"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40%</w:t>
            </w:r>
          </w:p>
        </w:tc>
        <w:tc>
          <w:tcPr>
            <w:tcW w:w="720"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88E7CE7"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80%</w:t>
            </w:r>
          </w:p>
        </w:tc>
        <w:tc>
          <w:tcPr>
            <w:tcW w:w="1039"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D5A9D28"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80%</w:t>
            </w:r>
          </w:p>
        </w:tc>
        <w:tc>
          <w:tcPr>
            <w:tcW w:w="1425" w:type="dxa"/>
            <w:tcBorders>
              <w:top w:val="nil"/>
              <w:left w:val="nil"/>
              <w:bottom w:val="single" w:sz="4" w:space="0" w:color="auto"/>
              <w:right w:val="single" w:sz="4" w:space="0" w:color="auto"/>
            </w:tcBorders>
            <w:shd w:val="clear" w:color="auto" w:fill="auto"/>
            <w:noWrap/>
            <w:vAlign w:val="center"/>
            <w:hideMark/>
          </w:tcPr>
          <w:p w14:paraId="484BEF4F"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withdrawn</w:t>
            </w:r>
          </w:p>
        </w:tc>
      </w:tr>
      <w:tr w:rsidR="000519E4" w:rsidRPr="001152C6" w14:paraId="0453711A"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3ED87300"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2</w:t>
            </w:r>
          </w:p>
        </w:tc>
        <w:tc>
          <w:tcPr>
            <w:tcW w:w="1146" w:type="dxa"/>
            <w:vMerge/>
            <w:tcBorders>
              <w:top w:val="nil"/>
              <w:left w:val="single" w:sz="4" w:space="0" w:color="auto"/>
              <w:bottom w:val="single" w:sz="4" w:space="0" w:color="auto"/>
              <w:right w:val="single" w:sz="4" w:space="0" w:color="auto"/>
            </w:tcBorders>
            <w:vAlign w:val="center"/>
            <w:hideMark/>
          </w:tcPr>
          <w:p w14:paraId="10C08A10" w14:textId="77777777" w:rsidR="001152C6" w:rsidRPr="001152C6" w:rsidRDefault="001152C6" w:rsidP="00A83B3B">
            <w:pPr>
              <w:spacing w:after="0"/>
              <w:rPr>
                <w:rFonts w:eastAsia="Times New Roman" w:cs="Times New Roman"/>
                <w:b/>
                <w:bCs/>
                <w:color w:val="000000"/>
                <w:sz w:val="20"/>
                <w:szCs w:val="20"/>
              </w:rPr>
            </w:pPr>
          </w:p>
        </w:tc>
        <w:tc>
          <w:tcPr>
            <w:tcW w:w="1605" w:type="dxa"/>
            <w:vMerge/>
            <w:tcBorders>
              <w:top w:val="nil"/>
              <w:left w:val="single" w:sz="4" w:space="0" w:color="auto"/>
              <w:bottom w:val="single" w:sz="4" w:space="0" w:color="auto"/>
              <w:right w:val="single" w:sz="4" w:space="0" w:color="auto"/>
            </w:tcBorders>
            <w:vAlign w:val="center"/>
            <w:hideMark/>
          </w:tcPr>
          <w:p w14:paraId="457D5118" w14:textId="77777777" w:rsidR="001152C6" w:rsidRPr="001152C6" w:rsidRDefault="001152C6" w:rsidP="00A83B3B">
            <w:pPr>
              <w:spacing w:after="0"/>
              <w:rPr>
                <w:rFonts w:eastAsia="Times New Roman" w:cs="Times New Roman"/>
                <w:color w:val="000000"/>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739CD1EB" w14:textId="77777777" w:rsidR="001152C6" w:rsidRPr="001152C6" w:rsidRDefault="001152C6" w:rsidP="00A83B3B">
            <w:pPr>
              <w:spacing w:after="0"/>
              <w:rPr>
                <w:rFonts w:eastAsia="Times New Roman" w:cs="Times New Roman"/>
                <w:color w:val="000000"/>
                <w:sz w:val="20"/>
                <w:szCs w:val="20"/>
              </w:rPr>
            </w:pPr>
          </w:p>
        </w:tc>
        <w:tc>
          <w:tcPr>
            <w:tcW w:w="639" w:type="dxa"/>
            <w:vMerge/>
            <w:tcBorders>
              <w:top w:val="nil"/>
              <w:left w:val="single" w:sz="4" w:space="0" w:color="auto"/>
              <w:bottom w:val="single" w:sz="4" w:space="0" w:color="000000"/>
              <w:right w:val="single" w:sz="4" w:space="0" w:color="auto"/>
            </w:tcBorders>
            <w:vAlign w:val="center"/>
            <w:hideMark/>
          </w:tcPr>
          <w:p w14:paraId="622E1A28"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1DAE5F0E"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45814C7D" w14:textId="77777777" w:rsidR="001152C6" w:rsidRPr="001152C6" w:rsidRDefault="001152C6" w:rsidP="00A83B3B">
            <w:pPr>
              <w:spacing w:after="0"/>
              <w:rPr>
                <w:rFonts w:eastAsia="Times New Roman" w:cs="Times New Roman"/>
                <w:color w:val="000000"/>
                <w:sz w:val="20"/>
                <w:szCs w:val="20"/>
              </w:rPr>
            </w:pPr>
          </w:p>
        </w:tc>
        <w:tc>
          <w:tcPr>
            <w:tcW w:w="1039" w:type="dxa"/>
            <w:vMerge/>
            <w:tcBorders>
              <w:top w:val="nil"/>
              <w:left w:val="single" w:sz="4" w:space="0" w:color="auto"/>
              <w:bottom w:val="single" w:sz="4" w:space="0" w:color="000000"/>
              <w:right w:val="single" w:sz="4" w:space="0" w:color="auto"/>
            </w:tcBorders>
            <w:vAlign w:val="center"/>
            <w:hideMark/>
          </w:tcPr>
          <w:p w14:paraId="0C603E4A" w14:textId="77777777" w:rsidR="001152C6" w:rsidRPr="001152C6" w:rsidRDefault="001152C6" w:rsidP="00A83B3B">
            <w:pPr>
              <w:spacing w:after="0"/>
              <w:rPr>
                <w:rFonts w:eastAsia="Times New Roman" w:cs="Times New Roman"/>
                <w:color w:val="000000"/>
                <w:sz w:val="20"/>
                <w:szCs w:val="20"/>
              </w:rPr>
            </w:pPr>
          </w:p>
        </w:tc>
        <w:tc>
          <w:tcPr>
            <w:tcW w:w="1425" w:type="dxa"/>
            <w:tcBorders>
              <w:top w:val="nil"/>
              <w:left w:val="nil"/>
              <w:bottom w:val="single" w:sz="4" w:space="0" w:color="auto"/>
              <w:right w:val="single" w:sz="4" w:space="0" w:color="auto"/>
            </w:tcBorders>
            <w:shd w:val="clear" w:color="auto" w:fill="auto"/>
            <w:noWrap/>
            <w:vAlign w:val="center"/>
            <w:hideMark/>
          </w:tcPr>
          <w:p w14:paraId="63425F6B"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inserted</w:t>
            </w:r>
          </w:p>
        </w:tc>
      </w:tr>
      <w:tr w:rsidR="000519E4" w:rsidRPr="001152C6" w14:paraId="143CEDA0"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1026B522"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3</w:t>
            </w:r>
          </w:p>
        </w:tc>
        <w:tc>
          <w:tcPr>
            <w:tcW w:w="1146" w:type="dxa"/>
            <w:vMerge w:val="restart"/>
            <w:tcBorders>
              <w:top w:val="nil"/>
              <w:left w:val="single" w:sz="4" w:space="0" w:color="auto"/>
              <w:bottom w:val="single" w:sz="4" w:space="0" w:color="000000"/>
              <w:right w:val="single" w:sz="4" w:space="0" w:color="auto"/>
            </w:tcBorders>
            <w:shd w:val="clear" w:color="auto" w:fill="auto"/>
            <w:vAlign w:val="center"/>
            <w:hideMark/>
          </w:tcPr>
          <w:p w14:paraId="37FFA627"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Fuel Temperature</w:t>
            </w:r>
          </w:p>
        </w:tc>
        <w:tc>
          <w:tcPr>
            <w:tcW w:w="16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59606F9"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1200</w:t>
            </w:r>
          </w:p>
        </w:tc>
        <w:tc>
          <w:tcPr>
            <w:tcW w:w="1200" w:type="dxa"/>
            <w:vMerge/>
            <w:tcBorders>
              <w:top w:val="nil"/>
              <w:left w:val="single" w:sz="4" w:space="0" w:color="auto"/>
              <w:bottom w:val="single" w:sz="4" w:space="0" w:color="000000"/>
              <w:right w:val="single" w:sz="4" w:space="0" w:color="auto"/>
            </w:tcBorders>
            <w:vAlign w:val="center"/>
            <w:hideMark/>
          </w:tcPr>
          <w:p w14:paraId="4796725F" w14:textId="77777777" w:rsidR="001152C6" w:rsidRPr="001152C6" w:rsidRDefault="001152C6" w:rsidP="00A83B3B">
            <w:pPr>
              <w:spacing w:after="0"/>
              <w:rPr>
                <w:rFonts w:eastAsia="Times New Roman" w:cs="Times New Roman"/>
                <w:color w:val="000000"/>
                <w:sz w:val="20"/>
                <w:szCs w:val="20"/>
              </w:rPr>
            </w:pPr>
          </w:p>
        </w:tc>
        <w:tc>
          <w:tcPr>
            <w:tcW w:w="639" w:type="dxa"/>
            <w:vMerge/>
            <w:tcBorders>
              <w:top w:val="nil"/>
              <w:left w:val="single" w:sz="4" w:space="0" w:color="auto"/>
              <w:bottom w:val="single" w:sz="4" w:space="0" w:color="000000"/>
              <w:right w:val="single" w:sz="4" w:space="0" w:color="auto"/>
            </w:tcBorders>
            <w:vAlign w:val="center"/>
            <w:hideMark/>
          </w:tcPr>
          <w:p w14:paraId="71AE8046"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4E7BEE7F"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03795BBA" w14:textId="77777777" w:rsidR="001152C6" w:rsidRPr="001152C6" w:rsidRDefault="001152C6" w:rsidP="00A83B3B">
            <w:pPr>
              <w:spacing w:after="0"/>
              <w:rPr>
                <w:rFonts w:eastAsia="Times New Roman" w:cs="Times New Roman"/>
                <w:color w:val="000000"/>
                <w:sz w:val="20"/>
                <w:szCs w:val="20"/>
              </w:rPr>
            </w:pPr>
          </w:p>
        </w:tc>
        <w:tc>
          <w:tcPr>
            <w:tcW w:w="1039" w:type="dxa"/>
            <w:vMerge/>
            <w:tcBorders>
              <w:top w:val="nil"/>
              <w:left w:val="single" w:sz="4" w:space="0" w:color="auto"/>
              <w:bottom w:val="single" w:sz="4" w:space="0" w:color="000000"/>
              <w:right w:val="single" w:sz="4" w:space="0" w:color="auto"/>
            </w:tcBorders>
            <w:vAlign w:val="center"/>
            <w:hideMark/>
          </w:tcPr>
          <w:p w14:paraId="61C09D06" w14:textId="77777777" w:rsidR="001152C6" w:rsidRPr="001152C6" w:rsidRDefault="001152C6" w:rsidP="00A83B3B">
            <w:pPr>
              <w:spacing w:after="0"/>
              <w:rPr>
                <w:rFonts w:eastAsia="Times New Roman" w:cs="Times New Roman"/>
                <w:color w:val="000000"/>
                <w:sz w:val="20"/>
                <w:szCs w:val="20"/>
              </w:rPr>
            </w:pPr>
          </w:p>
        </w:tc>
        <w:tc>
          <w:tcPr>
            <w:tcW w:w="1425" w:type="dxa"/>
            <w:tcBorders>
              <w:top w:val="nil"/>
              <w:left w:val="nil"/>
              <w:bottom w:val="single" w:sz="4" w:space="0" w:color="auto"/>
              <w:right w:val="single" w:sz="4" w:space="0" w:color="auto"/>
            </w:tcBorders>
            <w:shd w:val="clear" w:color="auto" w:fill="auto"/>
            <w:noWrap/>
            <w:vAlign w:val="center"/>
            <w:hideMark/>
          </w:tcPr>
          <w:p w14:paraId="3554E0B2"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withdrawn</w:t>
            </w:r>
          </w:p>
        </w:tc>
      </w:tr>
      <w:tr w:rsidR="000519E4" w:rsidRPr="001152C6" w14:paraId="56985D9D"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0074C841"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4</w:t>
            </w:r>
          </w:p>
        </w:tc>
        <w:tc>
          <w:tcPr>
            <w:tcW w:w="1146" w:type="dxa"/>
            <w:vMerge/>
            <w:tcBorders>
              <w:top w:val="nil"/>
              <w:left w:val="single" w:sz="4" w:space="0" w:color="auto"/>
              <w:bottom w:val="single" w:sz="4" w:space="0" w:color="000000"/>
              <w:right w:val="single" w:sz="4" w:space="0" w:color="auto"/>
            </w:tcBorders>
            <w:vAlign w:val="center"/>
            <w:hideMark/>
          </w:tcPr>
          <w:p w14:paraId="1B3310C6" w14:textId="77777777" w:rsidR="001152C6" w:rsidRPr="001152C6" w:rsidRDefault="001152C6" w:rsidP="00A83B3B">
            <w:pPr>
              <w:spacing w:after="0"/>
              <w:rPr>
                <w:rFonts w:eastAsia="Times New Roman" w:cs="Times New Roman"/>
                <w:b/>
                <w:bCs/>
                <w:color w:val="000000"/>
                <w:sz w:val="20"/>
                <w:szCs w:val="20"/>
              </w:rPr>
            </w:pPr>
          </w:p>
        </w:tc>
        <w:tc>
          <w:tcPr>
            <w:tcW w:w="1605" w:type="dxa"/>
            <w:vMerge/>
            <w:tcBorders>
              <w:top w:val="nil"/>
              <w:left w:val="single" w:sz="4" w:space="0" w:color="auto"/>
              <w:bottom w:val="single" w:sz="4" w:space="0" w:color="000000"/>
              <w:right w:val="single" w:sz="4" w:space="0" w:color="auto"/>
            </w:tcBorders>
            <w:vAlign w:val="center"/>
            <w:hideMark/>
          </w:tcPr>
          <w:p w14:paraId="11174763" w14:textId="77777777" w:rsidR="001152C6" w:rsidRPr="001152C6" w:rsidRDefault="001152C6" w:rsidP="00A83B3B">
            <w:pPr>
              <w:spacing w:after="0"/>
              <w:rPr>
                <w:rFonts w:eastAsia="Times New Roman" w:cs="Times New Roman"/>
                <w:color w:val="000000"/>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451A5C92" w14:textId="77777777" w:rsidR="001152C6" w:rsidRPr="001152C6" w:rsidRDefault="001152C6" w:rsidP="00A83B3B">
            <w:pPr>
              <w:spacing w:after="0"/>
              <w:rPr>
                <w:rFonts w:eastAsia="Times New Roman" w:cs="Times New Roman"/>
                <w:color w:val="000000"/>
                <w:sz w:val="20"/>
                <w:szCs w:val="20"/>
              </w:rPr>
            </w:pPr>
          </w:p>
        </w:tc>
        <w:tc>
          <w:tcPr>
            <w:tcW w:w="639" w:type="dxa"/>
            <w:vMerge/>
            <w:tcBorders>
              <w:top w:val="nil"/>
              <w:left w:val="single" w:sz="4" w:space="0" w:color="auto"/>
              <w:bottom w:val="single" w:sz="4" w:space="0" w:color="000000"/>
              <w:right w:val="single" w:sz="4" w:space="0" w:color="auto"/>
            </w:tcBorders>
            <w:vAlign w:val="center"/>
            <w:hideMark/>
          </w:tcPr>
          <w:p w14:paraId="1F5E26B1"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79FF27C5"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4CA597BE" w14:textId="77777777" w:rsidR="001152C6" w:rsidRPr="001152C6" w:rsidRDefault="001152C6" w:rsidP="00A83B3B">
            <w:pPr>
              <w:spacing w:after="0"/>
              <w:rPr>
                <w:rFonts w:eastAsia="Times New Roman" w:cs="Times New Roman"/>
                <w:color w:val="000000"/>
                <w:sz w:val="20"/>
                <w:szCs w:val="20"/>
              </w:rPr>
            </w:pPr>
          </w:p>
        </w:tc>
        <w:tc>
          <w:tcPr>
            <w:tcW w:w="1039" w:type="dxa"/>
            <w:vMerge/>
            <w:tcBorders>
              <w:top w:val="nil"/>
              <w:left w:val="single" w:sz="4" w:space="0" w:color="auto"/>
              <w:bottom w:val="single" w:sz="4" w:space="0" w:color="000000"/>
              <w:right w:val="single" w:sz="4" w:space="0" w:color="auto"/>
            </w:tcBorders>
            <w:vAlign w:val="center"/>
            <w:hideMark/>
          </w:tcPr>
          <w:p w14:paraId="07BB3283" w14:textId="77777777" w:rsidR="001152C6" w:rsidRPr="001152C6" w:rsidRDefault="001152C6" w:rsidP="00A83B3B">
            <w:pPr>
              <w:spacing w:after="0"/>
              <w:rPr>
                <w:rFonts w:eastAsia="Times New Roman" w:cs="Times New Roman"/>
                <w:color w:val="000000"/>
                <w:sz w:val="20"/>
                <w:szCs w:val="20"/>
              </w:rPr>
            </w:pPr>
          </w:p>
        </w:tc>
        <w:tc>
          <w:tcPr>
            <w:tcW w:w="1425" w:type="dxa"/>
            <w:tcBorders>
              <w:top w:val="nil"/>
              <w:left w:val="nil"/>
              <w:bottom w:val="single" w:sz="4" w:space="0" w:color="auto"/>
              <w:right w:val="single" w:sz="4" w:space="0" w:color="auto"/>
            </w:tcBorders>
            <w:shd w:val="clear" w:color="auto" w:fill="auto"/>
            <w:noWrap/>
            <w:vAlign w:val="center"/>
            <w:hideMark/>
          </w:tcPr>
          <w:p w14:paraId="338D80F1"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inserted</w:t>
            </w:r>
          </w:p>
        </w:tc>
      </w:tr>
      <w:tr w:rsidR="000519E4" w:rsidRPr="001152C6" w14:paraId="4CE094BD"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2E4C357D"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5</w:t>
            </w:r>
          </w:p>
        </w:tc>
        <w:tc>
          <w:tcPr>
            <w:tcW w:w="1146" w:type="dxa"/>
            <w:vMerge/>
            <w:tcBorders>
              <w:top w:val="nil"/>
              <w:left w:val="single" w:sz="4" w:space="0" w:color="auto"/>
              <w:bottom w:val="single" w:sz="4" w:space="0" w:color="000000"/>
              <w:right w:val="single" w:sz="4" w:space="0" w:color="auto"/>
            </w:tcBorders>
            <w:vAlign w:val="center"/>
            <w:hideMark/>
          </w:tcPr>
          <w:p w14:paraId="3CACD400" w14:textId="77777777" w:rsidR="001152C6" w:rsidRPr="001152C6" w:rsidRDefault="001152C6" w:rsidP="00A83B3B">
            <w:pPr>
              <w:spacing w:after="0"/>
              <w:rPr>
                <w:rFonts w:eastAsia="Times New Roman" w:cs="Times New Roman"/>
                <w:b/>
                <w:bCs/>
                <w:color w:val="000000"/>
                <w:sz w:val="20"/>
                <w:szCs w:val="20"/>
              </w:rPr>
            </w:pPr>
          </w:p>
        </w:tc>
        <w:tc>
          <w:tcPr>
            <w:tcW w:w="160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4DEACD"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600</w:t>
            </w:r>
          </w:p>
        </w:tc>
        <w:tc>
          <w:tcPr>
            <w:tcW w:w="1200" w:type="dxa"/>
            <w:vMerge/>
            <w:tcBorders>
              <w:top w:val="nil"/>
              <w:left w:val="single" w:sz="4" w:space="0" w:color="auto"/>
              <w:bottom w:val="single" w:sz="4" w:space="0" w:color="000000"/>
              <w:right w:val="single" w:sz="4" w:space="0" w:color="auto"/>
            </w:tcBorders>
            <w:vAlign w:val="center"/>
            <w:hideMark/>
          </w:tcPr>
          <w:p w14:paraId="41359C67" w14:textId="77777777" w:rsidR="001152C6" w:rsidRPr="001152C6" w:rsidRDefault="001152C6" w:rsidP="00A83B3B">
            <w:pPr>
              <w:spacing w:after="0"/>
              <w:rPr>
                <w:rFonts w:eastAsia="Times New Roman" w:cs="Times New Roman"/>
                <w:color w:val="000000"/>
                <w:sz w:val="20"/>
                <w:szCs w:val="20"/>
              </w:rPr>
            </w:pPr>
          </w:p>
        </w:tc>
        <w:tc>
          <w:tcPr>
            <w:tcW w:w="639" w:type="dxa"/>
            <w:vMerge/>
            <w:tcBorders>
              <w:top w:val="nil"/>
              <w:left w:val="single" w:sz="4" w:space="0" w:color="auto"/>
              <w:bottom w:val="single" w:sz="4" w:space="0" w:color="000000"/>
              <w:right w:val="single" w:sz="4" w:space="0" w:color="auto"/>
            </w:tcBorders>
            <w:vAlign w:val="center"/>
            <w:hideMark/>
          </w:tcPr>
          <w:p w14:paraId="40BE04C4"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54C9BBE1"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5A39770F" w14:textId="77777777" w:rsidR="001152C6" w:rsidRPr="001152C6" w:rsidRDefault="001152C6" w:rsidP="00A83B3B">
            <w:pPr>
              <w:spacing w:after="0"/>
              <w:rPr>
                <w:rFonts w:eastAsia="Times New Roman" w:cs="Times New Roman"/>
                <w:color w:val="000000"/>
                <w:sz w:val="20"/>
                <w:szCs w:val="20"/>
              </w:rPr>
            </w:pPr>
          </w:p>
        </w:tc>
        <w:tc>
          <w:tcPr>
            <w:tcW w:w="1039" w:type="dxa"/>
            <w:vMerge/>
            <w:tcBorders>
              <w:top w:val="nil"/>
              <w:left w:val="single" w:sz="4" w:space="0" w:color="auto"/>
              <w:bottom w:val="single" w:sz="4" w:space="0" w:color="000000"/>
              <w:right w:val="single" w:sz="4" w:space="0" w:color="auto"/>
            </w:tcBorders>
            <w:vAlign w:val="center"/>
            <w:hideMark/>
          </w:tcPr>
          <w:p w14:paraId="69996FDC" w14:textId="77777777" w:rsidR="001152C6" w:rsidRPr="001152C6" w:rsidRDefault="001152C6" w:rsidP="00A83B3B">
            <w:pPr>
              <w:spacing w:after="0"/>
              <w:rPr>
                <w:rFonts w:eastAsia="Times New Roman" w:cs="Times New Roman"/>
                <w:color w:val="000000"/>
                <w:sz w:val="20"/>
                <w:szCs w:val="20"/>
              </w:rPr>
            </w:pPr>
          </w:p>
        </w:tc>
        <w:tc>
          <w:tcPr>
            <w:tcW w:w="1425" w:type="dxa"/>
            <w:tcBorders>
              <w:top w:val="nil"/>
              <w:left w:val="nil"/>
              <w:bottom w:val="single" w:sz="4" w:space="0" w:color="auto"/>
              <w:right w:val="single" w:sz="4" w:space="0" w:color="auto"/>
            </w:tcBorders>
            <w:shd w:val="clear" w:color="auto" w:fill="auto"/>
            <w:noWrap/>
            <w:vAlign w:val="center"/>
            <w:hideMark/>
          </w:tcPr>
          <w:p w14:paraId="3E653CF7"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withdrawn</w:t>
            </w:r>
          </w:p>
        </w:tc>
      </w:tr>
      <w:tr w:rsidR="000519E4" w:rsidRPr="001152C6" w14:paraId="7D3899CB"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5EB6FBA9"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6</w:t>
            </w:r>
          </w:p>
        </w:tc>
        <w:tc>
          <w:tcPr>
            <w:tcW w:w="1146" w:type="dxa"/>
            <w:vMerge/>
            <w:tcBorders>
              <w:top w:val="nil"/>
              <w:left w:val="single" w:sz="4" w:space="0" w:color="auto"/>
              <w:bottom w:val="single" w:sz="4" w:space="0" w:color="000000"/>
              <w:right w:val="single" w:sz="4" w:space="0" w:color="auto"/>
            </w:tcBorders>
            <w:vAlign w:val="center"/>
            <w:hideMark/>
          </w:tcPr>
          <w:p w14:paraId="2CE17CE7" w14:textId="77777777" w:rsidR="001152C6" w:rsidRPr="001152C6" w:rsidRDefault="001152C6" w:rsidP="00A83B3B">
            <w:pPr>
              <w:spacing w:after="0"/>
              <w:rPr>
                <w:rFonts w:eastAsia="Times New Roman" w:cs="Times New Roman"/>
                <w:b/>
                <w:bCs/>
                <w:color w:val="000000"/>
                <w:sz w:val="20"/>
                <w:szCs w:val="20"/>
              </w:rPr>
            </w:pPr>
          </w:p>
        </w:tc>
        <w:tc>
          <w:tcPr>
            <w:tcW w:w="1605" w:type="dxa"/>
            <w:vMerge/>
            <w:tcBorders>
              <w:top w:val="nil"/>
              <w:left w:val="single" w:sz="4" w:space="0" w:color="auto"/>
              <w:bottom w:val="single" w:sz="4" w:space="0" w:color="000000"/>
              <w:right w:val="single" w:sz="4" w:space="0" w:color="auto"/>
            </w:tcBorders>
            <w:vAlign w:val="center"/>
            <w:hideMark/>
          </w:tcPr>
          <w:p w14:paraId="61818315" w14:textId="77777777" w:rsidR="001152C6" w:rsidRPr="001152C6" w:rsidRDefault="001152C6" w:rsidP="00A83B3B">
            <w:pPr>
              <w:spacing w:after="0"/>
              <w:rPr>
                <w:rFonts w:eastAsia="Times New Roman" w:cs="Times New Roman"/>
                <w:color w:val="000000"/>
                <w:sz w:val="20"/>
                <w:szCs w:val="20"/>
              </w:rPr>
            </w:pPr>
          </w:p>
        </w:tc>
        <w:tc>
          <w:tcPr>
            <w:tcW w:w="1200" w:type="dxa"/>
            <w:vMerge/>
            <w:tcBorders>
              <w:top w:val="nil"/>
              <w:left w:val="single" w:sz="4" w:space="0" w:color="auto"/>
              <w:bottom w:val="single" w:sz="4" w:space="0" w:color="000000"/>
              <w:right w:val="single" w:sz="4" w:space="0" w:color="auto"/>
            </w:tcBorders>
            <w:vAlign w:val="center"/>
            <w:hideMark/>
          </w:tcPr>
          <w:p w14:paraId="408E9C50" w14:textId="77777777" w:rsidR="001152C6" w:rsidRPr="001152C6" w:rsidRDefault="001152C6" w:rsidP="00A83B3B">
            <w:pPr>
              <w:spacing w:after="0"/>
              <w:rPr>
                <w:rFonts w:eastAsia="Times New Roman" w:cs="Times New Roman"/>
                <w:color w:val="000000"/>
                <w:sz w:val="20"/>
                <w:szCs w:val="20"/>
              </w:rPr>
            </w:pPr>
          </w:p>
        </w:tc>
        <w:tc>
          <w:tcPr>
            <w:tcW w:w="639" w:type="dxa"/>
            <w:vMerge/>
            <w:tcBorders>
              <w:top w:val="nil"/>
              <w:left w:val="single" w:sz="4" w:space="0" w:color="auto"/>
              <w:bottom w:val="single" w:sz="4" w:space="0" w:color="000000"/>
              <w:right w:val="single" w:sz="4" w:space="0" w:color="auto"/>
            </w:tcBorders>
            <w:vAlign w:val="center"/>
            <w:hideMark/>
          </w:tcPr>
          <w:p w14:paraId="3A0F812E"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7FDB8C90" w14:textId="77777777" w:rsidR="001152C6" w:rsidRPr="001152C6" w:rsidRDefault="001152C6" w:rsidP="00A83B3B">
            <w:pPr>
              <w:spacing w:after="0"/>
              <w:rPr>
                <w:rFonts w:eastAsia="Times New Roman" w:cs="Times New Roman"/>
                <w:color w:val="000000"/>
                <w:sz w:val="20"/>
                <w:szCs w:val="20"/>
              </w:rPr>
            </w:pPr>
          </w:p>
        </w:tc>
        <w:tc>
          <w:tcPr>
            <w:tcW w:w="720" w:type="dxa"/>
            <w:vMerge/>
            <w:tcBorders>
              <w:top w:val="nil"/>
              <w:left w:val="single" w:sz="4" w:space="0" w:color="auto"/>
              <w:bottom w:val="single" w:sz="4" w:space="0" w:color="000000"/>
              <w:right w:val="single" w:sz="4" w:space="0" w:color="auto"/>
            </w:tcBorders>
            <w:vAlign w:val="center"/>
            <w:hideMark/>
          </w:tcPr>
          <w:p w14:paraId="24AC5BC3" w14:textId="77777777" w:rsidR="001152C6" w:rsidRPr="001152C6" w:rsidRDefault="001152C6" w:rsidP="00A83B3B">
            <w:pPr>
              <w:spacing w:after="0"/>
              <w:rPr>
                <w:rFonts w:eastAsia="Times New Roman" w:cs="Times New Roman"/>
                <w:color w:val="000000"/>
                <w:sz w:val="20"/>
                <w:szCs w:val="20"/>
              </w:rPr>
            </w:pPr>
          </w:p>
        </w:tc>
        <w:tc>
          <w:tcPr>
            <w:tcW w:w="1039" w:type="dxa"/>
            <w:vMerge/>
            <w:tcBorders>
              <w:top w:val="nil"/>
              <w:left w:val="single" w:sz="4" w:space="0" w:color="auto"/>
              <w:bottom w:val="single" w:sz="4" w:space="0" w:color="000000"/>
              <w:right w:val="single" w:sz="4" w:space="0" w:color="auto"/>
            </w:tcBorders>
            <w:vAlign w:val="center"/>
            <w:hideMark/>
          </w:tcPr>
          <w:p w14:paraId="03490D9A" w14:textId="77777777" w:rsidR="001152C6" w:rsidRPr="001152C6" w:rsidRDefault="001152C6" w:rsidP="00A83B3B">
            <w:pPr>
              <w:spacing w:after="0"/>
              <w:rPr>
                <w:rFonts w:eastAsia="Times New Roman" w:cs="Times New Roman"/>
                <w:color w:val="000000"/>
                <w:sz w:val="20"/>
                <w:szCs w:val="20"/>
              </w:rPr>
            </w:pPr>
          </w:p>
        </w:tc>
        <w:tc>
          <w:tcPr>
            <w:tcW w:w="1425" w:type="dxa"/>
            <w:tcBorders>
              <w:top w:val="nil"/>
              <w:left w:val="nil"/>
              <w:bottom w:val="single" w:sz="4" w:space="0" w:color="auto"/>
              <w:right w:val="single" w:sz="4" w:space="0" w:color="auto"/>
            </w:tcBorders>
            <w:shd w:val="clear" w:color="auto" w:fill="auto"/>
            <w:noWrap/>
            <w:vAlign w:val="center"/>
            <w:hideMark/>
          </w:tcPr>
          <w:p w14:paraId="249B848B"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inserted</w:t>
            </w:r>
          </w:p>
        </w:tc>
      </w:tr>
      <w:tr w:rsidR="001152C6" w:rsidRPr="001152C6" w14:paraId="564094E2"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7F70F4A8"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7</w:t>
            </w:r>
          </w:p>
        </w:tc>
        <w:tc>
          <w:tcPr>
            <w:tcW w:w="1146" w:type="dxa"/>
            <w:vMerge w:val="restart"/>
            <w:tcBorders>
              <w:top w:val="nil"/>
              <w:left w:val="single" w:sz="4" w:space="0" w:color="auto"/>
              <w:bottom w:val="single" w:sz="4" w:space="0" w:color="000000"/>
              <w:right w:val="single" w:sz="4" w:space="0" w:color="auto"/>
            </w:tcBorders>
            <w:shd w:val="clear" w:color="auto" w:fill="auto"/>
            <w:vAlign w:val="center"/>
            <w:hideMark/>
          </w:tcPr>
          <w:p w14:paraId="2B66D13C" w14:textId="6DDC40FD" w:rsidR="001152C6" w:rsidRPr="001152C6" w:rsidRDefault="001152C6" w:rsidP="003A01BC">
            <w:pPr>
              <w:spacing w:after="0"/>
              <w:rPr>
                <w:rFonts w:eastAsia="Times New Roman" w:cs="Times New Roman"/>
                <w:b/>
                <w:bCs/>
                <w:color w:val="000000"/>
                <w:sz w:val="20"/>
                <w:szCs w:val="20"/>
              </w:rPr>
            </w:pPr>
            <w:r w:rsidRPr="001152C6">
              <w:rPr>
                <w:rFonts w:eastAsia="Times New Roman" w:cs="Times New Roman"/>
                <w:b/>
                <w:bCs/>
                <w:color w:val="000000"/>
                <w:sz w:val="20"/>
                <w:szCs w:val="20"/>
              </w:rPr>
              <w:t xml:space="preserve">Coolant </w:t>
            </w:r>
            <w:r w:rsidR="003A01BC">
              <w:rPr>
                <w:rFonts w:eastAsia="Times New Roman" w:cs="Times New Roman"/>
                <w:b/>
                <w:bCs/>
                <w:color w:val="000000"/>
                <w:sz w:val="20"/>
                <w:szCs w:val="20"/>
              </w:rPr>
              <w:t>Void Fraction</w:t>
            </w:r>
          </w:p>
        </w:tc>
        <w:tc>
          <w:tcPr>
            <w:tcW w:w="1605" w:type="dxa"/>
            <w:vMerge w:val="restart"/>
            <w:tcBorders>
              <w:top w:val="nil"/>
              <w:left w:val="single" w:sz="4" w:space="0" w:color="auto"/>
              <w:bottom w:val="single" w:sz="4" w:space="0" w:color="auto"/>
              <w:right w:val="single" w:sz="4" w:space="0" w:color="auto"/>
            </w:tcBorders>
            <w:shd w:val="clear" w:color="auto" w:fill="auto"/>
            <w:noWrap/>
            <w:vAlign w:val="center"/>
            <w:hideMark/>
          </w:tcPr>
          <w:p w14:paraId="2275BC8C"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950</w:t>
            </w:r>
          </w:p>
        </w:tc>
        <w:tc>
          <w:tcPr>
            <w:tcW w:w="4318" w:type="dxa"/>
            <w:gridSpan w:val="5"/>
            <w:vMerge w:val="restart"/>
            <w:tcBorders>
              <w:top w:val="nil"/>
              <w:left w:val="single" w:sz="4" w:space="0" w:color="auto"/>
              <w:right w:val="single" w:sz="4" w:space="0" w:color="auto"/>
            </w:tcBorders>
            <w:shd w:val="clear" w:color="auto" w:fill="auto"/>
            <w:noWrap/>
            <w:vAlign w:val="center"/>
            <w:hideMark/>
          </w:tcPr>
          <w:p w14:paraId="19CF00DB"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100%</w:t>
            </w:r>
          </w:p>
        </w:tc>
        <w:tc>
          <w:tcPr>
            <w:tcW w:w="1425" w:type="dxa"/>
            <w:tcBorders>
              <w:top w:val="nil"/>
              <w:left w:val="nil"/>
              <w:bottom w:val="single" w:sz="4" w:space="0" w:color="auto"/>
              <w:right w:val="single" w:sz="4" w:space="0" w:color="auto"/>
            </w:tcBorders>
            <w:shd w:val="clear" w:color="auto" w:fill="auto"/>
            <w:noWrap/>
            <w:vAlign w:val="center"/>
            <w:hideMark/>
          </w:tcPr>
          <w:p w14:paraId="35609BAA"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withdrawn</w:t>
            </w:r>
          </w:p>
        </w:tc>
      </w:tr>
      <w:tr w:rsidR="001152C6" w:rsidRPr="001152C6" w14:paraId="05E6DCED"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069C90ED"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8</w:t>
            </w:r>
          </w:p>
        </w:tc>
        <w:tc>
          <w:tcPr>
            <w:tcW w:w="1146" w:type="dxa"/>
            <w:vMerge/>
            <w:tcBorders>
              <w:top w:val="nil"/>
              <w:left w:val="single" w:sz="4" w:space="0" w:color="auto"/>
              <w:bottom w:val="single" w:sz="4" w:space="0" w:color="000000"/>
              <w:right w:val="single" w:sz="4" w:space="0" w:color="auto"/>
            </w:tcBorders>
            <w:vAlign w:val="center"/>
            <w:hideMark/>
          </w:tcPr>
          <w:p w14:paraId="3F707A03" w14:textId="77777777" w:rsidR="001152C6" w:rsidRPr="001152C6" w:rsidRDefault="001152C6" w:rsidP="00A83B3B">
            <w:pPr>
              <w:spacing w:after="0"/>
              <w:rPr>
                <w:rFonts w:eastAsia="Times New Roman" w:cs="Times New Roman"/>
                <w:b/>
                <w:bCs/>
                <w:color w:val="000000"/>
                <w:sz w:val="20"/>
                <w:szCs w:val="20"/>
              </w:rPr>
            </w:pPr>
          </w:p>
        </w:tc>
        <w:tc>
          <w:tcPr>
            <w:tcW w:w="1605" w:type="dxa"/>
            <w:vMerge/>
            <w:tcBorders>
              <w:top w:val="nil"/>
              <w:left w:val="single" w:sz="4" w:space="0" w:color="auto"/>
              <w:bottom w:val="single" w:sz="4" w:space="0" w:color="auto"/>
              <w:right w:val="single" w:sz="4" w:space="0" w:color="auto"/>
            </w:tcBorders>
            <w:vAlign w:val="center"/>
            <w:hideMark/>
          </w:tcPr>
          <w:p w14:paraId="59059B7B" w14:textId="77777777" w:rsidR="001152C6" w:rsidRPr="001152C6" w:rsidRDefault="001152C6" w:rsidP="00A83B3B">
            <w:pPr>
              <w:spacing w:after="0"/>
              <w:rPr>
                <w:rFonts w:eastAsia="Times New Roman" w:cs="Times New Roman"/>
                <w:color w:val="000000"/>
                <w:sz w:val="20"/>
                <w:szCs w:val="20"/>
              </w:rPr>
            </w:pPr>
          </w:p>
        </w:tc>
        <w:tc>
          <w:tcPr>
            <w:tcW w:w="4318" w:type="dxa"/>
            <w:gridSpan w:val="5"/>
            <w:vMerge/>
            <w:tcBorders>
              <w:left w:val="single" w:sz="4" w:space="0" w:color="auto"/>
              <w:bottom w:val="single" w:sz="4" w:space="0" w:color="000000"/>
              <w:right w:val="single" w:sz="4" w:space="0" w:color="auto"/>
            </w:tcBorders>
            <w:vAlign w:val="center"/>
            <w:hideMark/>
          </w:tcPr>
          <w:p w14:paraId="472AA815" w14:textId="77777777" w:rsidR="001152C6" w:rsidRPr="001152C6" w:rsidRDefault="001152C6" w:rsidP="00A83B3B">
            <w:pPr>
              <w:spacing w:after="0"/>
              <w:rPr>
                <w:rFonts w:eastAsia="Times New Roman" w:cs="Times New Roman"/>
                <w:color w:val="000000"/>
                <w:sz w:val="20"/>
                <w:szCs w:val="20"/>
              </w:rPr>
            </w:pPr>
          </w:p>
        </w:tc>
        <w:tc>
          <w:tcPr>
            <w:tcW w:w="1425" w:type="dxa"/>
            <w:tcBorders>
              <w:top w:val="nil"/>
              <w:left w:val="nil"/>
              <w:bottom w:val="single" w:sz="4" w:space="0" w:color="auto"/>
              <w:right w:val="single" w:sz="4" w:space="0" w:color="auto"/>
            </w:tcBorders>
            <w:shd w:val="clear" w:color="auto" w:fill="auto"/>
            <w:noWrap/>
            <w:vAlign w:val="center"/>
            <w:hideMark/>
          </w:tcPr>
          <w:p w14:paraId="4A7F04C5"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inserted</w:t>
            </w:r>
          </w:p>
        </w:tc>
      </w:tr>
      <w:tr w:rsidR="001152C6" w:rsidRPr="001152C6" w14:paraId="0F758119"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04B61E08"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9</w:t>
            </w:r>
          </w:p>
        </w:tc>
        <w:tc>
          <w:tcPr>
            <w:tcW w:w="1146" w:type="dxa"/>
            <w:vMerge/>
            <w:tcBorders>
              <w:top w:val="nil"/>
              <w:left w:val="single" w:sz="4" w:space="0" w:color="auto"/>
              <w:bottom w:val="single" w:sz="4" w:space="0" w:color="000000"/>
              <w:right w:val="single" w:sz="4" w:space="0" w:color="auto"/>
            </w:tcBorders>
            <w:vAlign w:val="center"/>
            <w:hideMark/>
          </w:tcPr>
          <w:p w14:paraId="59AAD9A5" w14:textId="77777777" w:rsidR="001152C6" w:rsidRPr="001152C6" w:rsidRDefault="001152C6" w:rsidP="00A83B3B">
            <w:pPr>
              <w:spacing w:after="0"/>
              <w:rPr>
                <w:rFonts w:eastAsia="Times New Roman" w:cs="Times New Roman"/>
                <w:b/>
                <w:bCs/>
                <w:color w:val="000000"/>
                <w:sz w:val="20"/>
                <w:szCs w:val="20"/>
              </w:rPr>
            </w:pPr>
          </w:p>
        </w:tc>
        <w:tc>
          <w:tcPr>
            <w:tcW w:w="1605" w:type="dxa"/>
            <w:vMerge/>
            <w:tcBorders>
              <w:top w:val="nil"/>
              <w:left w:val="single" w:sz="4" w:space="0" w:color="auto"/>
              <w:bottom w:val="single" w:sz="4" w:space="0" w:color="auto"/>
              <w:right w:val="single" w:sz="4" w:space="0" w:color="auto"/>
            </w:tcBorders>
            <w:vAlign w:val="center"/>
            <w:hideMark/>
          </w:tcPr>
          <w:p w14:paraId="0A6C6663" w14:textId="77777777" w:rsidR="001152C6" w:rsidRPr="001152C6" w:rsidRDefault="001152C6" w:rsidP="00A83B3B">
            <w:pPr>
              <w:spacing w:after="0"/>
              <w:rPr>
                <w:rFonts w:eastAsia="Times New Roman" w:cs="Times New Roman"/>
                <w:color w:val="000000"/>
                <w:sz w:val="20"/>
                <w:szCs w:val="20"/>
              </w:rPr>
            </w:pPr>
          </w:p>
        </w:tc>
        <w:tc>
          <w:tcPr>
            <w:tcW w:w="4318" w:type="dxa"/>
            <w:gridSpan w:val="5"/>
            <w:vMerge w:val="restart"/>
            <w:tcBorders>
              <w:top w:val="nil"/>
              <w:left w:val="single" w:sz="4" w:space="0" w:color="auto"/>
              <w:right w:val="single" w:sz="4" w:space="0" w:color="auto"/>
            </w:tcBorders>
            <w:shd w:val="clear" w:color="auto" w:fill="auto"/>
            <w:noWrap/>
            <w:vAlign w:val="center"/>
            <w:hideMark/>
          </w:tcPr>
          <w:p w14:paraId="7BA09677"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0%</w:t>
            </w:r>
          </w:p>
        </w:tc>
        <w:tc>
          <w:tcPr>
            <w:tcW w:w="1425" w:type="dxa"/>
            <w:tcBorders>
              <w:top w:val="nil"/>
              <w:left w:val="nil"/>
              <w:bottom w:val="single" w:sz="4" w:space="0" w:color="auto"/>
              <w:right w:val="single" w:sz="4" w:space="0" w:color="auto"/>
            </w:tcBorders>
            <w:shd w:val="clear" w:color="auto" w:fill="auto"/>
            <w:noWrap/>
            <w:vAlign w:val="center"/>
            <w:hideMark/>
          </w:tcPr>
          <w:p w14:paraId="5AB93D67"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withdrawn</w:t>
            </w:r>
          </w:p>
        </w:tc>
      </w:tr>
      <w:tr w:rsidR="001152C6" w:rsidRPr="001152C6" w14:paraId="44E9E792" w14:textId="77777777" w:rsidTr="000519E4">
        <w:trPr>
          <w:trHeight w:val="312"/>
          <w:jc w:val="center"/>
        </w:trPr>
        <w:tc>
          <w:tcPr>
            <w:tcW w:w="755" w:type="dxa"/>
            <w:tcBorders>
              <w:top w:val="nil"/>
              <w:left w:val="single" w:sz="4" w:space="0" w:color="auto"/>
              <w:bottom w:val="single" w:sz="4" w:space="0" w:color="auto"/>
              <w:right w:val="single" w:sz="4" w:space="0" w:color="auto"/>
            </w:tcBorders>
            <w:shd w:val="clear" w:color="auto" w:fill="auto"/>
            <w:noWrap/>
            <w:vAlign w:val="bottom"/>
            <w:hideMark/>
          </w:tcPr>
          <w:p w14:paraId="29E6460B" w14:textId="77777777" w:rsidR="001152C6" w:rsidRPr="001152C6" w:rsidRDefault="001152C6" w:rsidP="00A83B3B">
            <w:pPr>
              <w:spacing w:after="0"/>
              <w:rPr>
                <w:rFonts w:eastAsia="Times New Roman" w:cs="Times New Roman"/>
                <w:b/>
                <w:bCs/>
                <w:color w:val="000000"/>
                <w:sz w:val="20"/>
                <w:szCs w:val="20"/>
              </w:rPr>
            </w:pPr>
            <w:r w:rsidRPr="001152C6">
              <w:rPr>
                <w:rFonts w:eastAsia="Times New Roman" w:cs="Times New Roman"/>
                <w:b/>
                <w:bCs/>
                <w:color w:val="000000"/>
                <w:sz w:val="20"/>
                <w:szCs w:val="20"/>
              </w:rPr>
              <w:t>10</w:t>
            </w:r>
          </w:p>
        </w:tc>
        <w:tc>
          <w:tcPr>
            <w:tcW w:w="1146" w:type="dxa"/>
            <w:vMerge/>
            <w:tcBorders>
              <w:top w:val="nil"/>
              <w:left w:val="single" w:sz="4" w:space="0" w:color="auto"/>
              <w:bottom w:val="single" w:sz="4" w:space="0" w:color="000000"/>
              <w:right w:val="single" w:sz="4" w:space="0" w:color="auto"/>
            </w:tcBorders>
            <w:vAlign w:val="center"/>
            <w:hideMark/>
          </w:tcPr>
          <w:p w14:paraId="0219E30D" w14:textId="77777777" w:rsidR="001152C6" w:rsidRPr="001152C6" w:rsidRDefault="001152C6" w:rsidP="00A83B3B">
            <w:pPr>
              <w:spacing w:after="0"/>
              <w:rPr>
                <w:rFonts w:eastAsia="Times New Roman" w:cs="Times New Roman"/>
                <w:b/>
                <w:bCs/>
                <w:color w:val="000000"/>
                <w:sz w:val="20"/>
                <w:szCs w:val="20"/>
              </w:rPr>
            </w:pPr>
          </w:p>
        </w:tc>
        <w:tc>
          <w:tcPr>
            <w:tcW w:w="1605" w:type="dxa"/>
            <w:vMerge/>
            <w:tcBorders>
              <w:top w:val="nil"/>
              <w:left w:val="single" w:sz="4" w:space="0" w:color="auto"/>
              <w:bottom w:val="single" w:sz="4" w:space="0" w:color="auto"/>
              <w:right w:val="single" w:sz="4" w:space="0" w:color="auto"/>
            </w:tcBorders>
            <w:vAlign w:val="center"/>
            <w:hideMark/>
          </w:tcPr>
          <w:p w14:paraId="36280F0A" w14:textId="77777777" w:rsidR="001152C6" w:rsidRPr="001152C6" w:rsidRDefault="001152C6" w:rsidP="00A83B3B">
            <w:pPr>
              <w:spacing w:after="0"/>
              <w:rPr>
                <w:rFonts w:eastAsia="Times New Roman" w:cs="Times New Roman"/>
                <w:color w:val="000000"/>
                <w:sz w:val="20"/>
                <w:szCs w:val="20"/>
              </w:rPr>
            </w:pPr>
          </w:p>
        </w:tc>
        <w:tc>
          <w:tcPr>
            <w:tcW w:w="4318" w:type="dxa"/>
            <w:gridSpan w:val="5"/>
            <w:vMerge/>
            <w:tcBorders>
              <w:left w:val="single" w:sz="4" w:space="0" w:color="auto"/>
              <w:bottom w:val="single" w:sz="4" w:space="0" w:color="000000"/>
              <w:right w:val="single" w:sz="4" w:space="0" w:color="auto"/>
            </w:tcBorders>
            <w:vAlign w:val="center"/>
            <w:hideMark/>
          </w:tcPr>
          <w:p w14:paraId="39D5B7A5" w14:textId="77777777" w:rsidR="001152C6" w:rsidRPr="001152C6" w:rsidRDefault="001152C6" w:rsidP="00A83B3B">
            <w:pPr>
              <w:spacing w:after="0"/>
              <w:rPr>
                <w:rFonts w:eastAsia="Times New Roman" w:cs="Times New Roman"/>
                <w:color w:val="000000"/>
                <w:sz w:val="20"/>
                <w:szCs w:val="20"/>
              </w:rPr>
            </w:pPr>
          </w:p>
        </w:tc>
        <w:tc>
          <w:tcPr>
            <w:tcW w:w="1425" w:type="dxa"/>
            <w:tcBorders>
              <w:top w:val="nil"/>
              <w:left w:val="nil"/>
              <w:bottom w:val="single" w:sz="4" w:space="0" w:color="auto"/>
              <w:right w:val="single" w:sz="4" w:space="0" w:color="auto"/>
            </w:tcBorders>
            <w:shd w:val="clear" w:color="auto" w:fill="auto"/>
            <w:noWrap/>
            <w:vAlign w:val="center"/>
            <w:hideMark/>
          </w:tcPr>
          <w:p w14:paraId="56F30A95" w14:textId="77777777" w:rsidR="001152C6" w:rsidRPr="001152C6" w:rsidRDefault="001152C6" w:rsidP="00A83B3B">
            <w:pPr>
              <w:spacing w:after="0"/>
              <w:rPr>
                <w:rFonts w:eastAsia="Times New Roman" w:cs="Times New Roman"/>
                <w:color w:val="000000"/>
                <w:sz w:val="20"/>
                <w:szCs w:val="20"/>
              </w:rPr>
            </w:pPr>
            <w:r w:rsidRPr="001152C6">
              <w:rPr>
                <w:rFonts w:eastAsia="Times New Roman" w:cs="Times New Roman"/>
                <w:color w:val="000000"/>
                <w:sz w:val="20"/>
                <w:szCs w:val="20"/>
              </w:rPr>
              <w:t>inserted</w:t>
            </w:r>
          </w:p>
        </w:tc>
      </w:tr>
    </w:tbl>
    <w:p w14:paraId="5C65A607" w14:textId="77777777" w:rsidR="000D0701" w:rsidRPr="001F66A4" w:rsidRDefault="000D0701" w:rsidP="0091793B">
      <w:pPr>
        <w:spacing w:line="360" w:lineRule="auto"/>
        <w:jc w:val="both"/>
        <w:rPr>
          <w:rFonts w:cs="Times New Roman"/>
          <w:szCs w:val="24"/>
        </w:rPr>
      </w:pPr>
    </w:p>
    <w:p w14:paraId="0B0B8771" w14:textId="77777777" w:rsidR="007166EC" w:rsidRDefault="007166EC" w:rsidP="0091793B">
      <w:pPr>
        <w:spacing w:line="360" w:lineRule="auto"/>
        <w:jc w:val="both"/>
        <w:rPr>
          <w:rFonts w:cs="Times New Roman"/>
          <w:b/>
          <w:szCs w:val="24"/>
        </w:rPr>
      </w:pPr>
    </w:p>
    <w:p w14:paraId="7186BB50" w14:textId="5072A4BF" w:rsidR="008F2C2F" w:rsidRPr="00BA3C26" w:rsidRDefault="00430EC4" w:rsidP="0091793B">
      <w:pPr>
        <w:spacing w:line="360" w:lineRule="auto"/>
        <w:jc w:val="both"/>
        <w:rPr>
          <w:rFonts w:cs="Times New Roman"/>
          <w:b/>
          <w:szCs w:val="24"/>
        </w:rPr>
      </w:pPr>
      <w:r w:rsidRPr="00BA3C26">
        <w:rPr>
          <w:rFonts w:cs="Times New Roman"/>
          <w:b/>
          <w:szCs w:val="24"/>
        </w:rPr>
        <w:t>IV.</w:t>
      </w:r>
      <w:r w:rsidR="00893519" w:rsidRPr="00BA3C26">
        <w:rPr>
          <w:rFonts w:cs="Times New Roman"/>
          <w:b/>
          <w:szCs w:val="24"/>
        </w:rPr>
        <w:t>C</w:t>
      </w:r>
      <w:r w:rsidRPr="00BA3C26">
        <w:rPr>
          <w:rFonts w:cs="Times New Roman"/>
          <w:b/>
          <w:szCs w:val="24"/>
        </w:rPr>
        <w:t xml:space="preserve">.2. </w:t>
      </w:r>
      <w:r w:rsidR="001D553C">
        <w:rPr>
          <w:rFonts w:cs="Times New Roman"/>
          <w:b/>
          <w:szCs w:val="24"/>
        </w:rPr>
        <w:tab/>
      </w:r>
      <w:r w:rsidRPr="00BA3C26">
        <w:rPr>
          <w:rFonts w:cs="Times New Roman"/>
          <w:b/>
          <w:szCs w:val="24"/>
        </w:rPr>
        <w:t xml:space="preserve">NESTLE </w:t>
      </w:r>
      <w:r w:rsidR="004C47B5" w:rsidRPr="00BA3C26">
        <w:rPr>
          <w:rFonts w:cs="Times New Roman"/>
          <w:b/>
          <w:szCs w:val="24"/>
        </w:rPr>
        <w:t>Neutronics</w:t>
      </w:r>
      <w:r w:rsidRPr="00BA3C26">
        <w:rPr>
          <w:rFonts w:cs="Times New Roman"/>
          <w:b/>
          <w:szCs w:val="24"/>
        </w:rPr>
        <w:t xml:space="preserve"> Model</w:t>
      </w:r>
    </w:p>
    <w:p w14:paraId="58CCE166" w14:textId="54D09254" w:rsidR="008F2C2F" w:rsidRPr="008F2C2F" w:rsidRDefault="008F2C2F" w:rsidP="0091793B">
      <w:pPr>
        <w:spacing w:line="360" w:lineRule="auto"/>
        <w:jc w:val="both"/>
        <w:rPr>
          <w:rFonts w:cs="Times New Roman"/>
          <w:b/>
          <w:szCs w:val="24"/>
          <w:u w:val="single"/>
        </w:rPr>
      </w:pPr>
      <w:r w:rsidRPr="00FD2EFD">
        <w:rPr>
          <w:rFonts w:cs="Times New Roman"/>
          <w:szCs w:val="24"/>
        </w:rPr>
        <w:t xml:space="preserve">The </w:t>
      </w:r>
      <w:r>
        <w:rPr>
          <w:rFonts w:cs="Times New Roman"/>
          <w:szCs w:val="24"/>
        </w:rPr>
        <w:t xml:space="preserve">NESTLE </w:t>
      </w:r>
      <w:r w:rsidRPr="00FD2EFD">
        <w:rPr>
          <w:rFonts w:cs="Times New Roman"/>
          <w:szCs w:val="24"/>
        </w:rPr>
        <w:t xml:space="preserve">nodal simulator was </w:t>
      </w:r>
      <w:r>
        <w:rPr>
          <w:rFonts w:cs="Times New Roman"/>
          <w:szCs w:val="24"/>
        </w:rPr>
        <w:t>selected to model the full core BWR neutronics</w:t>
      </w:r>
      <w:r w:rsidRPr="00FD2EFD">
        <w:rPr>
          <w:rFonts w:cs="Times New Roman"/>
          <w:szCs w:val="24"/>
        </w:rPr>
        <w:t xml:space="preserve"> because of its availability at the University of Tennessee (where it is updated and maintained) and </w:t>
      </w:r>
      <w:r>
        <w:rPr>
          <w:rFonts w:cs="Times New Roman"/>
          <w:szCs w:val="24"/>
        </w:rPr>
        <w:t xml:space="preserve">its proven ability to model many types of reactors </w:t>
      </w:r>
      <w:r w:rsidR="00A37442">
        <w:rPr>
          <w:rFonts w:cs="Times New Roman"/>
          <w:szCs w:val="24"/>
        </w:rPr>
        <w:fldChar w:fldCharType="begin"/>
      </w:r>
      <w:r w:rsidR="00817846">
        <w:rPr>
          <w:rFonts w:cs="Times New Roman"/>
          <w:szCs w:val="24"/>
        </w:rPr>
        <w:instrText xml:space="preserve"> ADDIN EN.CITE &lt;EndNote&gt;&lt;Cite ExcludeYear="1"&gt;&lt;Author&gt;N.P. Luciano&lt;/Author&gt;&lt;RecNum&gt;109&lt;/RecNum&gt;&lt;DisplayText&gt;[50]&lt;/DisplayText&gt;&lt;record&gt;&lt;rec-number&gt;109&lt;/rec-number&gt;&lt;foreign-keys&gt;&lt;key app="EN" db-id="trfxzx057wwv0qe0vz1vttttwf0522tvtwpt" timestamp="1423599087"&gt;109&lt;/key&gt;&lt;/foreign-keys&gt;&lt;ref-type name="Conference Paper"&gt;47&lt;/ref-type&gt;&lt;contributors&gt;&lt;authors&gt;&lt;author&gt;N.P. Luciano, et al.&lt;/author&gt;&lt;/authors&gt;&lt;/contributors&gt;&lt;titles&gt;&lt;title&gt;&amp;quot;The NESTLE 3D Nodal Core Simulator: Modern Reactor Models,&amp;quot; accepted&lt;/title&gt;&lt;secondary-title&gt;ANS MC2015 Joint International Conference on Mathematics and Computation (M&amp;amp;C)&lt;/secondary-title&gt;&lt;/titles&gt;&lt;dates&gt;&lt;pub-dates&gt;&lt;date&gt;April 19-23, 2015&lt;/date&gt;&lt;/pub-dates&gt;&lt;/dates&gt;&lt;pub-location&gt;Nashville, TN, USA, April 2015&lt;/pub-location&gt;&lt;publisher&gt;ANS&lt;/publisher&gt;&lt;urls&gt;&lt;/urls&gt;&lt;/record&gt;&lt;/Cite&gt;&lt;/EndNote&gt;</w:instrText>
      </w:r>
      <w:r w:rsidR="00A37442">
        <w:rPr>
          <w:rFonts w:cs="Times New Roman"/>
          <w:szCs w:val="24"/>
        </w:rPr>
        <w:fldChar w:fldCharType="separate"/>
      </w:r>
      <w:r w:rsidR="00817846">
        <w:rPr>
          <w:rFonts w:cs="Times New Roman"/>
          <w:noProof/>
          <w:szCs w:val="24"/>
        </w:rPr>
        <w:t>[</w:t>
      </w:r>
      <w:hyperlink w:anchor="_ENREF_50" w:tooltip="N.P. Luciano,  #109" w:history="1">
        <w:r w:rsidR="00DF20CB">
          <w:rPr>
            <w:rFonts w:cs="Times New Roman"/>
            <w:noProof/>
            <w:szCs w:val="24"/>
          </w:rPr>
          <w:t>50</w:t>
        </w:r>
      </w:hyperlink>
      <w:r w:rsidR="00817846">
        <w:rPr>
          <w:rFonts w:cs="Times New Roman"/>
          <w:noProof/>
          <w:szCs w:val="24"/>
        </w:rPr>
        <w:t>]</w:t>
      </w:r>
      <w:r w:rsidR="00A37442">
        <w:rPr>
          <w:rFonts w:cs="Times New Roman"/>
          <w:szCs w:val="24"/>
        </w:rPr>
        <w:fldChar w:fldCharType="end"/>
      </w:r>
      <w:r w:rsidRPr="00FD2EFD">
        <w:rPr>
          <w:rFonts w:cs="Times New Roman"/>
          <w:szCs w:val="24"/>
        </w:rPr>
        <w:t xml:space="preserve">. The code </w:t>
      </w:r>
      <w:r>
        <w:rPr>
          <w:rFonts w:cs="Times New Roman"/>
          <w:szCs w:val="24"/>
        </w:rPr>
        <w:t>solves</w:t>
      </w:r>
      <w:r w:rsidRPr="00FD2EFD">
        <w:rPr>
          <w:rFonts w:cs="Times New Roman"/>
          <w:szCs w:val="24"/>
        </w:rPr>
        <w:t xml:space="preserve"> the neutron diffusion equation with thermal hydraulic feedback</w:t>
      </w:r>
      <w:r>
        <w:rPr>
          <w:rFonts w:cs="Times New Roman"/>
          <w:szCs w:val="24"/>
        </w:rPr>
        <w:t xml:space="preserve"> under steady-state and transient core conditions</w:t>
      </w:r>
      <w:r w:rsidRPr="00FD2EFD">
        <w:rPr>
          <w:rFonts w:cs="Times New Roman"/>
          <w:szCs w:val="24"/>
        </w:rPr>
        <w:t xml:space="preserve">. Due to the unavailability of </w:t>
      </w:r>
      <w:r>
        <w:rPr>
          <w:rFonts w:cs="Times New Roman"/>
          <w:szCs w:val="24"/>
        </w:rPr>
        <w:t xml:space="preserve">public </w:t>
      </w:r>
      <w:r w:rsidRPr="00FD2EFD">
        <w:rPr>
          <w:rFonts w:cs="Times New Roman"/>
          <w:szCs w:val="24"/>
        </w:rPr>
        <w:t xml:space="preserve">BWR core models containing advanced </w:t>
      </w:r>
      <w:r w:rsidR="00DC0A3C">
        <w:rPr>
          <w:rFonts w:cs="Times New Roman"/>
          <w:szCs w:val="24"/>
        </w:rPr>
        <w:t>10 × 10</w:t>
      </w:r>
      <w:r w:rsidRPr="00FD2EFD">
        <w:rPr>
          <w:rFonts w:cs="Times New Roman"/>
          <w:szCs w:val="24"/>
        </w:rPr>
        <w:t xml:space="preserve"> fuel bundles, many assumptions and approximations</w:t>
      </w:r>
      <w:r>
        <w:rPr>
          <w:rFonts w:cs="Times New Roman"/>
          <w:szCs w:val="24"/>
        </w:rPr>
        <w:t xml:space="preserve"> as well as design experience,</w:t>
      </w:r>
      <w:r w:rsidRPr="00FD2EFD">
        <w:rPr>
          <w:rFonts w:cs="Times New Roman"/>
          <w:szCs w:val="24"/>
        </w:rPr>
        <w:t xml:space="preserve"> </w:t>
      </w:r>
      <w:r>
        <w:rPr>
          <w:rFonts w:cs="Times New Roman"/>
          <w:szCs w:val="24"/>
        </w:rPr>
        <w:t>were used to assemble a</w:t>
      </w:r>
      <w:r w:rsidRPr="00FD2EFD">
        <w:rPr>
          <w:rFonts w:cs="Times New Roman"/>
          <w:szCs w:val="24"/>
        </w:rPr>
        <w:t xml:space="preserve"> representative BWR core</w:t>
      </w:r>
      <w:r>
        <w:rPr>
          <w:rFonts w:cs="Times New Roman"/>
          <w:szCs w:val="24"/>
        </w:rPr>
        <w:t xml:space="preserve"> to be used as the basis for this analysis.</w:t>
      </w:r>
    </w:p>
    <w:p w14:paraId="46EFF147" w14:textId="19861296" w:rsidR="008F2C2F" w:rsidRDefault="001E06BF" w:rsidP="0091793B">
      <w:pPr>
        <w:spacing w:line="360" w:lineRule="auto"/>
        <w:jc w:val="both"/>
        <w:rPr>
          <w:rFonts w:cs="Times New Roman"/>
          <w:szCs w:val="24"/>
        </w:rPr>
      </w:pPr>
      <w:r>
        <w:rPr>
          <w:rFonts w:cs="Times New Roman"/>
          <w:szCs w:val="24"/>
        </w:rPr>
        <w:t>Due to the quarter-core symmetry present in most commercial reactors, the model was reduced to 1/4</w:t>
      </w:r>
      <w:r w:rsidRPr="001E06BF">
        <w:rPr>
          <w:rFonts w:cs="Times New Roman"/>
          <w:szCs w:val="24"/>
          <w:vertAlign w:val="superscript"/>
        </w:rPr>
        <w:t>th</w:t>
      </w:r>
      <w:r>
        <w:rPr>
          <w:rFonts w:cs="Times New Roman"/>
          <w:szCs w:val="24"/>
        </w:rPr>
        <w:t xml:space="preserve"> its actual size and contained cyclic inner boundary conditions. </w:t>
      </w:r>
      <w:r w:rsidR="00236C4F">
        <w:rPr>
          <w:rFonts w:cs="Times New Roman"/>
          <w:szCs w:val="24"/>
        </w:rPr>
        <w:t xml:space="preserve">Intuitively, zero flux </w:t>
      </w:r>
      <w:r w:rsidR="00236C4F">
        <w:rPr>
          <w:rFonts w:cs="Times New Roman"/>
          <w:szCs w:val="24"/>
        </w:rPr>
        <w:lastRenderedPageBreak/>
        <w:t xml:space="preserve">boundary conditions were used at the outer periphery of the reflector region. </w:t>
      </w:r>
      <w:r w:rsidR="006E3619">
        <w:rPr>
          <w:rFonts w:cs="Times New Roman"/>
          <w:szCs w:val="24"/>
        </w:rPr>
        <w:t>Homogenized cross-section data for sub-cooled water was placed from the bottom of the active fuel region to 9 inches below and extending 12 inches from the periphery of the core, radially. Similar to the u</w:t>
      </w:r>
      <w:r w:rsidR="00EB0E20">
        <w:rPr>
          <w:rFonts w:cs="Times New Roman"/>
          <w:szCs w:val="24"/>
        </w:rPr>
        <w:t>pper NAT region shown in Table VI</w:t>
      </w:r>
      <w:r w:rsidR="006E3619">
        <w:rPr>
          <w:rFonts w:cs="Times New Roman"/>
          <w:szCs w:val="24"/>
        </w:rPr>
        <w:t>, cross-section data used for the reflector located 9 inches above the active fuel region was calculated with an 80% void.</w:t>
      </w:r>
      <w:r w:rsidR="00236C4F" w:rsidRPr="00236C4F">
        <w:rPr>
          <w:rFonts w:cs="Times New Roman"/>
          <w:szCs w:val="24"/>
        </w:rPr>
        <w:t xml:space="preserve"> </w:t>
      </w:r>
      <w:r w:rsidR="00236C4F">
        <w:rPr>
          <w:rFonts w:cs="Times New Roman"/>
          <w:szCs w:val="24"/>
        </w:rPr>
        <w:t xml:space="preserve">Prior work by J. Galloway proved to be very helpful in the development of a representative BWR core model </w:t>
      </w:r>
      <w:r w:rsidR="006E3619">
        <w:rPr>
          <w:rFonts w:cs="Times New Roman"/>
          <w:szCs w:val="24"/>
        </w:rPr>
        <w:t xml:space="preserve"> </w:t>
      </w:r>
      <w:r w:rsidR="00D00A8B">
        <w:rPr>
          <w:rFonts w:cs="Times New Roman"/>
          <w:szCs w:val="24"/>
        </w:rPr>
        <w:fldChar w:fldCharType="begin"/>
      </w:r>
      <w:r w:rsidR="00817846">
        <w:rPr>
          <w:rFonts w:cs="Times New Roman"/>
          <w:szCs w:val="24"/>
        </w:rPr>
        <w:instrText xml:space="preserve"> ADDIN EN.CITE &lt;EndNote&gt;&lt;Cite&gt;&lt;Author&gt;Galloway&lt;/Author&gt;&lt;Year&gt;2010&lt;/Year&gt;&lt;RecNum&gt;40&lt;/RecNum&gt;&lt;DisplayText&gt;[52]&lt;/DisplayText&gt;&lt;record&gt;&lt;rec-number&gt;40&lt;/rec-number&gt;&lt;foreign-keys&gt;&lt;key app="EN" db-id="trfxzx057wwv0qe0vz1vttttwf0522tvtwpt" timestamp="1422126086"&gt;40&lt;/key&gt;&lt;/foreign-keys&gt;&lt;ref-type name="Thesis"&gt;32&lt;/ref-type&gt;&lt;contributors&gt;&lt;authors&gt;&lt;author&gt;Galloway, Jack Douglas&lt;/author&gt;&lt;/authors&gt;&lt;/contributors&gt;&lt;titles&gt;&lt;title&gt;Boiling Water Reactor Core Simulation with Generalized Isotopic Inventory Tracking for Actinide Management&lt;/title&gt;&lt;/titles&gt;&lt;dates&gt;&lt;year&gt;2010&lt;/year&gt;&lt;/dates&gt;&lt;publisher&gt;PhD Dissertation, University of Tennessee&lt;/publisher&gt;&lt;urls&gt;&lt;/urls&gt;&lt;/record&gt;&lt;/Cite&gt;&lt;/EndNote&gt;</w:instrText>
      </w:r>
      <w:r w:rsidR="00D00A8B">
        <w:rPr>
          <w:rFonts w:cs="Times New Roman"/>
          <w:szCs w:val="24"/>
        </w:rPr>
        <w:fldChar w:fldCharType="separate"/>
      </w:r>
      <w:r w:rsidR="00817846">
        <w:rPr>
          <w:rFonts w:cs="Times New Roman"/>
          <w:noProof/>
          <w:szCs w:val="24"/>
        </w:rPr>
        <w:t>[</w:t>
      </w:r>
      <w:hyperlink w:anchor="_ENREF_52" w:tooltip="Galloway, 2010 #40" w:history="1">
        <w:r w:rsidR="00DF20CB">
          <w:rPr>
            <w:rFonts w:cs="Times New Roman"/>
            <w:noProof/>
            <w:szCs w:val="24"/>
          </w:rPr>
          <w:t>52</w:t>
        </w:r>
      </w:hyperlink>
      <w:r w:rsidR="00817846">
        <w:rPr>
          <w:rFonts w:cs="Times New Roman"/>
          <w:noProof/>
          <w:szCs w:val="24"/>
        </w:rPr>
        <w:t>]</w:t>
      </w:r>
      <w:r w:rsidR="00D00A8B">
        <w:rPr>
          <w:rFonts w:cs="Times New Roman"/>
          <w:szCs w:val="24"/>
        </w:rPr>
        <w:fldChar w:fldCharType="end"/>
      </w:r>
      <w:r w:rsidR="00236C4F">
        <w:rPr>
          <w:rFonts w:cs="Times New Roman"/>
          <w:szCs w:val="24"/>
        </w:rPr>
        <w:t>.</w:t>
      </w:r>
    </w:p>
    <w:p w14:paraId="7E0807DB" w14:textId="5ADE5479" w:rsidR="00041C50" w:rsidRDefault="00041C50" w:rsidP="0091793B">
      <w:pPr>
        <w:spacing w:line="360" w:lineRule="auto"/>
        <w:jc w:val="both"/>
        <w:rPr>
          <w:rFonts w:cs="Times New Roman"/>
          <w:szCs w:val="24"/>
        </w:rPr>
      </w:pPr>
      <w:r>
        <w:rPr>
          <w:rFonts w:cs="Times New Roman"/>
          <w:szCs w:val="24"/>
        </w:rPr>
        <w:t>As stated in section IV.</w:t>
      </w:r>
      <w:r w:rsidR="00483233">
        <w:rPr>
          <w:rFonts w:cs="Times New Roman"/>
          <w:szCs w:val="24"/>
        </w:rPr>
        <w:t>C</w:t>
      </w:r>
      <w:r>
        <w:rPr>
          <w:rFonts w:cs="Times New Roman"/>
          <w:szCs w:val="24"/>
        </w:rPr>
        <w:t>.1, few group cross-section</w:t>
      </w:r>
      <w:r w:rsidR="00D40074">
        <w:rPr>
          <w:rFonts w:cs="Times New Roman"/>
          <w:szCs w:val="24"/>
        </w:rPr>
        <w:t>s</w:t>
      </w:r>
      <w:r>
        <w:rPr>
          <w:rFonts w:cs="Times New Roman"/>
          <w:szCs w:val="24"/>
        </w:rPr>
        <w:t xml:space="preserve"> are to be fed into NESTLE to calculate core reactivity. By running the branch conditions in C</w:t>
      </w:r>
      <w:r w:rsidR="00EB0E20">
        <w:rPr>
          <w:rFonts w:cs="Times New Roman"/>
          <w:szCs w:val="24"/>
        </w:rPr>
        <w:t>ASMO shown in Table VI</w:t>
      </w:r>
      <w:r>
        <w:rPr>
          <w:rFonts w:cs="Times New Roman"/>
          <w:szCs w:val="24"/>
        </w:rPr>
        <w:t xml:space="preserve">: </w:t>
      </w:r>
      <w:r w:rsidR="00C232A9">
        <w:rPr>
          <w:rFonts w:cs="Times New Roman"/>
          <w:szCs w:val="24"/>
        </w:rPr>
        <w:t xml:space="preserve">reactivity can be calculated for changes in the core such as: control rod insertion as well as </w:t>
      </w:r>
      <w:r>
        <w:rPr>
          <w:rFonts w:cs="Times New Roman"/>
          <w:szCs w:val="24"/>
        </w:rPr>
        <w:t>fuel</w:t>
      </w:r>
      <w:r w:rsidR="00C232A9">
        <w:rPr>
          <w:rFonts w:cs="Times New Roman"/>
          <w:szCs w:val="24"/>
        </w:rPr>
        <w:t xml:space="preserve"> temperature and</w:t>
      </w:r>
      <w:r>
        <w:rPr>
          <w:rFonts w:cs="Times New Roman"/>
          <w:szCs w:val="24"/>
        </w:rPr>
        <w:t xml:space="preserve"> coolant void </w:t>
      </w:r>
      <w:r w:rsidRPr="000E2579">
        <w:rPr>
          <w:rFonts w:cs="Times New Roman"/>
          <w:szCs w:val="24"/>
        </w:rPr>
        <w:t>fluctuations</w:t>
      </w:r>
      <w:r w:rsidR="00483233">
        <w:rPr>
          <w:rFonts w:cs="Times New Roman"/>
          <w:szCs w:val="24"/>
        </w:rPr>
        <w:t>. Equation 4.2</w:t>
      </w:r>
      <w:r w:rsidR="00C232A9">
        <w:rPr>
          <w:rFonts w:cs="Times New Roman"/>
          <w:szCs w:val="24"/>
        </w:rPr>
        <w:t xml:space="preserve"> calculates the updated </w:t>
      </w:r>
      <w:r>
        <w:rPr>
          <w:rFonts w:cs="Times New Roman"/>
          <w:szCs w:val="24"/>
        </w:rPr>
        <w:t xml:space="preserve">cross-sections </w:t>
      </w:r>
      <w:r w:rsidR="00C232A9">
        <w:rPr>
          <w:rFonts w:cs="Times New Roman"/>
          <w:szCs w:val="24"/>
        </w:rPr>
        <w:t>when thermal properties in the core change</w:t>
      </w:r>
      <w:r w:rsidR="00DF20CB">
        <w:rPr>
          <w:rFonts w:cs="Times New Roman"/>
          <w:szCs w:val="24"/>
        </w:rPr>
        <w:t xml:space="preserve"> </w:t>
      </w:r>
      <w:r w:rsidR="00DF20CB">
        <w:rPr>
          <w:rFonts w:cs="Times New Roman"/>
          <w:szCs w:val="24"/>
        </w:rPr>
        <w:fldChar w:fldCharType="begin"/>
      </w:r>
      <w:r w:rsidR="00DF20CB">
        <w:rPr>
          <w:rFonts w:cs="Times New Roman"/>
          <w:szCs w:val="24"/>
        </w:rPr>
        <w:instrText xml:space="preserve"> ADDIN EN.CITE &lt;EndNote&gt;&lt;Cite&gt;&lt;Author&gt;Maldonado&lt;/Author&gt;&lt;Year&gt;2009&lt;/Year&gt;&lt;RecNum&gt;21&lt;/RecNum&gt;&lt;DisplayText&gt;[35]&lt;/DisplayText&gt;&lt;record&gt;&lt;rec-number&gt;21&lt;/rec-number&gt;&lt;foreign-keys&gt;&lt;key app="EN" db-id="trfxzx057wwv0qe0vz1vttttwf0522tvtwpt" timestamp="1422125181"&gt;21&lt;/key&gt;&lt;/foreign-keys&gt;&lt;ref-type name="Journal Article"&gt;17&lt;/ref-type&gt;&lt;contributors&gt;&lt;authors&gt;&lt;author&gt;Maldonado, GI&lt;/author&gt;&lt;author&gt;Galloway, J&lt;/author&gt;&lt;author&gt;Hernandez, H&lt;/author&gt;&lt;author&gt;Clarno, KT&lt;/author&gt;&lt;author&gt;Popov, EL&lt;/author&gt;&lt;author&gt;Jessee, MA&lt;/author&gt;&lt;/authors&gt;&lt;/contributors&gt;&lt;titles&gt;&lt;title&gt;Integration of the NESTLE Core Simulator with SCALE&lt;/title&gt;&lt;secondary-title&gt;Transactions of the American Nuclear Society&lt;/secondary-title&gt;&lt;/titles&gt;&lt;periodical&gt;&lt;full-title&gt;Transactions of the American Nuclear Society&lt;/full-title&gt;&lt;/periodical&gt;&lt;pages&gt;619-620&lt;/pages&gt;&lt;volume&gt;100&lt;/volume&gt;&lt;dates&gt;&lt;year&gt;2009&lt;/year&gt;&lt;/dates&gt;&lt;isbn&gt;0003-018X&lt;/isbn&gt;&lt;urls&gt;&lt;/urls&gt;&lt;/record&gt;&lt;/Cite&gt;&lt;/EndNote&gt;</w:instrText>
      </w:r>
      <w:r w:rsidR="00DF20CB">
        <w:rPr>
          <w:rFonts w:cs="Times New Roman"/>
          <w:szCs w:val="24"/>
        </w:rPr>
        <w:fldChar w:fldCharType="separate"/>
      </w:r>
      <w:r w:rsidR="00DF20CB">
        <w:rPr>
          <w:rFonts w:cs="Times New Roman"/>
          <w:noProof/>
          <w:szCs w:val="24"/>
        </w:rPr>
        <w:t>[</w:t>
      </w:r>
      <w:hyperlink w:anchor="_ENREF_35" w:tooltip="Maldonado, 2009 #21" w:history="1">
        <w:r w:rsidR="00DF20CB">
          <w:rPr>
            <w:rFonts w:cs="Times New Roman"/>
            <w:noProof/>
            <w:szCs w:val="24"/>
          </w:rPr>
          <w:t>35</w:t>
        </w:r>
      </w:hyperlink>
      <w:r w:rsidR="00DF20CB">
        <w:rPr>
          <w:rFonts w:cs="Times New Roman"/>
          <w:noProof/>
          <w:szCs w:val="24"/>
        </w:rPr>
        <w:t>]</w:t>
      </w:r>
      <w:r w:rsidR="00DF20CB">
        <w:rPr>
          <w:rFonts w:cs="Times New Roman"/>
          <w:szCs w:val="24"/>
        </w:rPr>
        <w:fldChar w:fldCharType="end"/>
      </w:r>
      <w:r>
        <w:rPr>
          <w:rFonts w:cs="Times New Roman"/>
          <w:szCs w:val="24"/>
        </w:rPr>
        <w:t xml:space="preserve">. </w:t>
      </w:r>
    </w:p>
    <w:p w14:paraId="15225F50" w14:textId="77777777" w:rsidR="00C232A9" w:rsidRDefault="00DF20CB" w:rsidP="0091793B">
      <w:pPr>
        <w:spacing w:line="360" w:lineRule="auto"/>
      </w:pPr>
      <m:oMathPara>
        <m:oMath>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xg</m:t>
              </m:r>
            </m:sub>
          </m:sSub>
          <m:r>
            <w:rPr>
              <w:rFonts w:ascii="Cambria Math" w:hAnsi="Cambria Math"/>
            </w:rPr>
            <m:t>=</m:t>
          </m:r>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1</m:t>
                  </m:r>
                </m:e>
                <m:sub>
                  <m:r>
                    <w:rPr>
                      <w:rFonts w:ascii="Cambria Math" w:hAnsi="Cambria Math"/>
                    </w:rPr>
                    <m:t>xg</m:t>
                  </m:r>
                </m:sub>
              </m:sSub>
            </m:sub>
          </m:sSub>
          <m:r>
            <w:rPr>
              <w:rFonts w:ascii="Cambria Math" w:hAnsi="Cambria Math"/>
            </w:rPr>
            <m:t>+</m:t>
          </m:r>
          <m:nary>
            <m:naryPr>
              <m:chr m:val="∑"/>
              <m:limLoc m:val="undOvr"/>
              <m:ctrlPr>
                <w:rPr>
                  <w:rFonts w:ascii="Cambria Math" w:hAnsi="Cambria Math"/>
                  <w:i/>
                </w:rPr>
              </m:ctrlPr>
            </m:naryPr>
            <m:sub>
              <m:r>
                <w:rPr>
                  <w:rFonts w:ascii="Cambria Math" w:hAnsi="Cambria Math"/>
                </w:rPr>
                <m:t>n=1</m:t>
              </m:r>
            </m:sub>
            <m:sup>
              <m:r>
                <w:rPr>
                  <w:rFonts w:ascii="Cambria Math" w:hAnsi="Cambria Math"/>
                </w:rPr>
                <m:t>2</m:t>
              </m:r>
            </m:sup>
            <m:e>
              <m:sSub>
                <m:sSubPr>
                  <m:ctrlPr>
                    <w:rPr>
                      <w:rFonts w:ascii="Cambria Math" w:hAnsi="Cambria Math"/>
                      <w:i/>
                    </w:rPr>
                  </m:ctrlPr>
                </m:sSubPr>
                <m:e>
                  <m:r>
                    <w:rPr>
                      <w:rFonts w:ascii="Cambria Math" w:hAnsi="Cambria Math"/>
                    </w:rPr>
                    <m:t>a</m:t>
                  </m:r>
                </m:e>
                <m:sub>
                  <m:sSub>
                    <m:sSubPr>
                      <m:ctrlPr>
                        <w:rPr>
                          <w:rFonts w:ascii="Cambria Math" w:hAnsi="Cambria Math"/>
                          <w:i/>
                        </w:rPr>
                      </m:ctrlPr>
                    </m:sSubPr>
                    <m:e>
                      <m:d>
                        <m:dPr>
                          <m:ctrlPr>
                            <w:rPr>
                              <w:rFonts w:ascii="Cambria Math" w:hAnsi="Cambria Math"/>
                              <w:i/>
                            </w:rPr>
                          </m:ctrlPr>
                        </m:dPr>
                        <m:e>
                          <m:r>
                            <w:rPr>
                              <w:rFonts w:ascii="Cambria Math" w:hAnsi="Cambria Math"/>
                            </w:rPr>
                            <m:t>n+1</m:t>
                          </m:r>
                        </m:e>
                      </m:d>
                    </m:e>
                    <m:sub>
                      <m:r>
                        <w:rPr>
                          <w:rFonts w:ascii="Cambria Math" w:hAnsi="Cambria Math"/>
                        </w:rPr>
                        <m:t>xg</m:t>
                      </m:r>
                    </m:sub>
                  </m:sSub>
                </m:sub>
              </m:sSub>
              <m:sSup>
                <m:sSupPr>
                  <m:ctrlPr>
                    <w:rPr>
                      <w:rFonts w:ascii="Cambria Math" w:hAnsi="Cambria Math"/>
                      <w:i/>
                    </w:rPr>
                  </m:ctrlPr>
                </m:sSupPr>
                <m:e>
                  <m:d>
                    <m:dPr>
                      <m:ctrlPr>
                        <w:rPr>
                          <w:rFonts w:ascii="Cambria Math" w:hAnsi="Cambria Math"/>
                          <w:i/>
                        </w:rPr>
                      </m:ctrlPr>
                    </m:dPr>
                    <m:e>
                      <m:r>
                        <w:rPr>
                          <w:rFonts w:ascii="Cambria Math" w:hAnsi="Cambria Math"/>
                        </w:rPr>
                        <m:t>Δ</m:t>
                      </m:r>
                      <m:sSub>
                        <m:sSubPr>
                          <m:ctrlPr>
                            <w:rPr>
                              <w:rFonts w:ascii="Cambria Math" w:hAnsi="Cambria Math"/>
                              <w:i/>
                            </w:rPr>
                          </m:ctrlPr>
                        </m:sSubPr>
                        <m:e>
                          <m:r>
                            <w:rPr>
                              <w:rFonts w:ascii="Cambria Math" w:hAnsi="Cambria Math"/>
                            </w:rPr>
                            <m:t>ρ</m:t>
                          </m:r>
                        </m:e>
                        <m:sub>
                          <m:r>
                            <w:rPr>
                              <w:rFonts w:ascii="Cambria Math" w:hAnsi="Cambria Math"/>
                            </w:rPr>
                            <m:t>c</m:t>
                          </m:r>
                        </m:sub>
                      </m:sSub>
                    </m:e>
                  </m:d>
                </m:e>
                <m:sup>
                  <m:r>
                    <w:rPr>
                      <w:rFonts w:ascii="Cambria Math" w:hAnsi="Cambria Math"/>
                    </w:rPr>
                    <m:t>n</m:t>
                  </m:r>
                </m:sup>
              </m:sSup>
            </m:e>
          </m:nary>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a</m:t>
                  </m:r>
                </m:e>
                <m:sub>
                  <m:r>
                    <w:rPr>
                      <w:rFonts w:ascii="Cambria Math" w:hAnsi="Cambria Math"/>
                    </w:rPr>
                    <m:t>4</m:t>
                  </m:r>
                </m:sub>
              </m:sSub>
            </m:e>
            <m:sub>
              <m:r>
                <w:rPr>
                  <w:rFonts w:ascii="Cambria Math" w:hAnsi="Cambria Math"/>
                </w:rPr>
                <m:t>xg</m:t>
              </m:r>
            </m:sub>
          </m:sSub>
          <m:r>
            <w:rPr>
              <w:rFonts w:ascii="Cambria Math" w:hAnsi="Cambria Math"/>
            </w:rPr>
            <m:t xml:space="preserve"> Δ</m:t>
          </m:r>
          <m:sSub>
            <m:sSubPr>
              <m:ctrlPr>
                <w:rPr>
                  <w:rFonts w:ascii="Cambria Math" w:hAnsi="Cambria Math"/>
                  <w:i/>
                </w:rPr>
              </m:ctrlPr>
            </m:sSubPr>
            <m:e>
              <m:r>
                <w:rPr>
                  <w:rFonts w:ascii="Cambria Math" w:hAnsi="Cambria Math"/>
                </w:rPr>
                <m:t>T</m:t>
              </m:r>
            </m:e>
            <m:sub>
              <m:r>
                <w:rPr>
                  <w:rFonts w:ascii="Cambria Math" w:hAnsi="Cambria Math"/>
                </w:rPr>
                <m:t>C</m:t>
              </m:r>
            </m:sub>
          </m:sSub>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a</m:t>
                  </m:r>
                </m:e>
                <m:sub>
                  <m:r>
                    <w:rPr>
                      <w:rFonts w:ascii="Cambria Math" w:hAnsi="Cambria Math"/>
                    </w:rPr>
                    <m:t>5</m:t>
                  </m:r>
                </m:sub>
              </m:sSub>
            </m:e>
            <m:sub>
              <m:r>
                <w:rPr>
                  <w:rFonts w:ascii="Cambria Math" w:hAnsi="Cambria Math"/>
                </w:rPr>
                <m:t>xg</m:t>
              </m:r>
            </m:sub>
          </m:sSub>
          <m:r>
            <w:rPr>
              <w:rFonts w:ascii="Cambria Math" w:hAnsi="Cambria Math"/>
            </w:rPr>
            <m:t xml:space="preserve"> Δ</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F</m:t>
                      </m:r>
                    </m:e>
                    <m:sub>
                      <m:r>
                        <w:rPr>
                          <w:rFonts w:ascii="Cambria Math" w:hAnsi="Cambria Math"/>
                        </w:rPr>
                        <m:t>eff</m:t>
                      </m:r>
                    </m:sub>
                  </m:sSub>
                </m:sub>
              </m:sSub>
            </m:e>
          </m:rad>
          <m:r>
            <w:rPr>
              <w:rFonts w:ascii="Cambria Math" w:hAnsi="Cambria Math"/>
            </w:rPr>
            <m:t>+</m:t>
          </m:r>
          <m:nary>
            <m:naryPr>
              <m:chr m:val="∑"/>
              <m:limLoc m:val="undOvr"/>
              <m:ctrlPr>
                <w:rPr>
                  <w:rFonts w:ascii="Cambria Math" w:hAnsi="Cambria Math"/>
                  <w:i/>
                </w:rPr>
              </m:ctrlPr>
            </m:naryPr>
            <m:sub>
              <m:r>
                <w:rPr>
                  <w:rFonts w:ascii="Cambria Math" w:hAnsi="Cambria Math"/>
                </w:rPr>
                <m:t>n=1</m:t>
              </m:r>
            </m:sub>
            <m:sup>
              <m:r>
                <w:rPr>
                  <w:rFonts w:ascii="Cambria Math" w:hAnsi="Cambria Math"/>
                </w:rPr>
                <m:t>3</m:t>
              </m:r>
            </m:sup>
            <m:e>
              <m:sSub>
                <m:sSubPr>
                  <m:ctrlPr>
                    <w:rPr>
                      <w:rFonts w:ascii="Cambria Math" w:hAnsi="Cambria Math"/>
                      <w:i/>
                    </w:rPr>
                  </m:ctrlPr>
                </m:sSubPr>
                <m:e>
                  <m:r>
                    <w:rPr>
                      <w:rFonts w:ascii="Cambria Math" w:hAnsi="Cambria Math"/>
                    </w:rPr>
                    <m:t>a</m:t>
                  </m:r>
                </m:e>
                <m:sub>
                  <m:sSub>
                    <m:sSubPr>
                      <m:ctrlPr>
                        <w:rPr>
                          <w:rFonts w:ascii="Cambria Math" w:hAnsi="Cambria Math"/>
                          <w:i/>
                        </w:rPr>
                      </m:ctrlPr>
                    </m:sSubPr>
                    <m:e>
                      <m:d>
                        <m:dPr>
                          <m:ctrlPr>
                            <w:rPr>
                              <w:rFonts w:ascii="Cambria Math" w:hAnsi="Cambria Math"/>
                              <w:i/>
                            </w:rPr>
                          </m:ctrlPr>
                        </m:dPr>
                        <m:e>
                          <m:r>
                            <w:rPr>
                              <w:rFonts w:ascii="Cambria Math" w:hAnsi="Cambria Math"/>
                            </w:rPr>
                            <m:t>n+5</m:t>
                          </m:r>
                        </m:e>
                      </m:d>
                    </m:e>
                    <m:sub>
                      <m:r>
                        <w:rPr>
                          <w:rFonts w:ascii="Cambria Math" w:hAnsi="Cambria Math"/>
                        </w:rPr>
                        <m:t>xg</m:t>
                      </m:r>
                    </m:sub>
                  </m:sSub>
                </m:sub>
              </m:sSub>
              <m:sSup>
                <m:sSupPr>
                  <m:ctrlPr>
                    <w:rPr>
                      <w:rFonts w:ascii="Cambria Math" w:hAnsi="Cambria Math"/>
                      <w:i/>
                    </w:rPr>
                  </m:ctrlPr>
                </m:sSupPr>
                <m:e>
                  <m:d>
                    <m:dPr>
                      <m:ctrlPr>
                        <w:rPr>
                          <w:rFonts w:ascii="Cambria Math" w:hAnsi="Cambria Math"/>
                          <w:i/>
                        </w:rPr>
                      </m:ctrlPr>
                    </m:dPr>
                    <m:e>
                      <m:r>
                        <w:rPr>
                          <w:rFonts w:ascii="Cambria Math" w:hAnsi="Cambria Math"/>
                        </w:rPr>
                        <m:t>Δ</m:t>
                      </m:r>
                      <m:sSub>
                        <m:sSubPr>
                          <m:ctrlPr>
                            <w:rPr>
                              <w:rFonts w:ascii="Cambria Math" w:hAnsi="Cambria Math"/>
                              <w:i/>
                            </w:rPr>
                          </m:ctrlPr>
                        </m:sSubPr>
                        <m:e>
                          <m:r>
                            <w:rPr>
                              <w:rFonts w:ascii="Cambria Math" w:hAnsi="Cambria Math"/>
                            </w:rPr>
                            <m:t>N</m:t>
                          </m:r>
                        </m:e>
                        <m:sub>
                          <m:r>
                            <w:rPr>
                              <w:rFonts w:ascii="Cambria Math" w:hAnsi="Cambria Math"/>
                            </w:rPr>
                            <m:t>sp</m:t>
                          </m:r>
                        </m:sub>
                      </m:sSub>
                    </m:e>
                  </m:d>
                </m:e>
                <m:sup>
                  <m:r>
                    <w:rPr>
                      <w:rFonts w:ascii="Cambria Math" w:hAnsi="Cambria Math"/>
                    </w:rPr>
                    <m:t>n</m:t>
                  </m:r>
                </m:sup>
              </m:sSup>
            </m:e>
          </m:nary>
          <m:r>
            <m:rPr>
              <m:sty m:val="p"/>
            </m:rPr>
            <w:rPr>
              <w:rFonts w:ascii="Cambria Math" w:hAnsi="Cambria Math" w:cs="Times New Roman"/>
              <w:szCs w:val="24"/>
            </w:rPr>
            <m:t xml:space="preserve">    (4.2)</m:t>
          </m:r>
        </m:oMath>
      </m:oMathPara>
    </w:p>
    <w:p w14:paraId="62AF3230" w14:textId="58354A5C" w:rsidR="002F340B" w:rsidRPr="005F2E1E" w:rsidRDefault="00011690" w:rsidP="0091793B">
      <w:pPr>
        <w:spacing w:line="360" w:lineRule="auto"/>
        <w:jc w:val="both"/>
      </w:pPr>
      <w:r>
        <w:rPr>
          <w:rFonts w:cs="Times New Roman"/>
          <w:szCs w:val="24"/>
        </w:rPr>
        <w:t xml:space="preserve">Equation </w:t>
      </w:r>
      <w:r w:rsidR="00483233">
        <w:rPr>
          <w:rFonts w:cs="Times New Roman"/>
          <w:szCs w:val="24"/>
        </w:rPr>
        <w:t>4.2</w:t>
      </w:r>
      <w:r w:rsidR="00C232A9">
        <w:rPr>
          <w:rFonts w:cs="Times New Roman"/>
          <w:szCs w:val="24"/>
        </w:rPr>
        <w:t xml:space="preserve"> considers coolant temperature changes as well as</w:t>
      </w:r>
      <w:r>
        <w:rPr>
          <w:rFonts w:cs="Times New Roman"/>
          <w:szCs w:val="24"/>
        </w:rPr>
        <w:t xml:space="preserve"> fluctuations in</w:t>
      </w:r>
      <w:r w:rsidR="00C232A9">
        <w:rPr>
          <w:rFonts w:cs="Times New Roman"/>
          <w:szCs w:val="24"/>
        </w:rPr>
        <w:t xml:space="preserve"> soluble boron </w:t>
      </w:r>
      <w:r>
        <w:rPr>
          <w:rFonts w:cs="Times New Roman"/>
          <w:szCs w:val="24"/>
        </w:rPr>
        <w:t xml:space="preserve">(when </w:t>
      </w:r>
      <w:r w:rsidR="00C232A9">
        <w:rPr>
          <w:rFonts w:cs="Times New Roman"/>
          <w:szCs w:val="24"/>
        </w:rPr>
        <w:t xml:space="preserve">modeling </w:t>
      </w:r>
      <w:proofErr w:type="gramStart"/>
      <w:r w:rsidR="00C232A9">
        <w:rPr>
          <w:rFonts w:cs="Times New Roman"/>
          <w:szCs w:val="24"/>
        </w:rPr>
        <w:t>a PWR</w:t>
      </w:r>
      <w:r>
        <w:rPr>
          <w:rFonts w:cs="Times New Roman"/>
          <w:szCs w:val="24"/>
        </w:rPr>
        <w:t>s</w:t>
      </w:r>
      <w:proofErr w:type="gramEnd"/>
      <w:r>
        <w:rPr>
          <w:rFonts w:cs="Times New Roman"/>
          <w:szCs w:val="24"/>
        </w:rPr>
        <w:t>)</w:t>
      </w:r>
      <w:r w:rsidR="00C232A9">
        <w:rPr>
          <w:rFonts w:cs="Times New Roman"/>
          <w:szCs w:val="24"/>
        </w:rPr>
        <w:t>.</w:t>
      </w:r>
      <w:r>
        <w:rPr>
          <w:rFonts w:cs="Times New Roman"/>
          <w:szCs w:val="24"/>
        </w:rPr>
        <w:t xml:space="preserve"> </w:t>
      </w:r>
      <w:r w:rsidR="00C232A9">
        <w:rPr>
          <w:rFonts w:cs="Times New Roman"/>
          <w:szCs w:val="24"/>
        </w:rPr>
        <w:t xml:space="preserve"> </w:t>
      </w:r>
      <w:r w:rsidR="00236C4F">
        <w:rPr>
          <w:rFonts w:cs="Times New Roman"/>
          <w:szCs w:val="24"/>
        </w:rPr>
        <w:t>F</w:t>
      </w:r>
      <w:r>
        <w:rPr>
          <w:rFonts w:cs="Times New Roman"/>
          <w:szCs w:val="24"/>
        </w:rPr>
        <w:t xml:space="preserve">or the sake of modeling the representative BWR core, it was assumed that the moderator would be free of burnable absorbers, and any change in coolant temperature would directly affect the </w:t>
      </w:r>
      <w:r w:rsidR="00D63244">
        <w:rPr>
          <w:rFonts w:cs="Times New Roman"/>
          <w:szCs w:val="24"/>
        </w:rPr>
        <w:t>void</w:t>
      </w:r>
      <w:r>
        <w:rPr>
          <w:rFonts w:cs="Times New Roman"/>
          <w:szCs w:val="24"/>
        </w:rPr>
        <w:t xml:space="preserve"> of the fluid (essentially density). Therefore, for the simulations of </w:t>
      </w:r>
      <w:r w:rsidR="00483233">
        <w:rPr>
          <w:rFonts w:cs="Times New Roman"/>
          <w:szCs w:val="24"/>
        </w:rPr>
        <w:t>the BWR core at hand, equation 4.2</w:t>
      </w:r>
      <w:r>
        <w:rPr>
          <w:rFonts w:cs="Times New Roman"/>
          <w:szCs w:val="24"/>
        </w:rPr>
        <w:t xml:space="preserve"> can be simplified to the following:</w:t>
      </w:r>
    </w:p>
    <w:p w14:paraId="76254921" w14:textId="77777777" w:rsidR="00DF6D6B" w:rsidRPr="00FF0872" w:rsidRDefault="00DF20CB" w:rsidP="0091793B">
      <w:pPr>
        <w:spacing w:line="360" w:lineRule="auto"/>
        <w:rPr>
          <w:rFonts w:eastAsiaTheme="minorEastAsia"/>
          <w:szCs w:val="24"/>
        </w:rPr>
      </w:pPr>
      <m:oMathPara>
        <m:oMathParaPr>
          <m:jc m:val="right"/>
        </m:oMathParaPr>
        <m:oMath>
          <m:sSub>
            <m:sSubPr>
              <m:ctrlPr>
                <w:rPr>
                  <w:rFonts w:ascii="Cambria Math" w:hAnsi="Cambria Math"/>
                  <w:i/>
                </w:rPr>
              </m:ctrlPr>
            </m:sSubPr>
            <m:e>
              <m:acc>
                <m:accPr>
                  <m:ctrlPr>
                    <w:rPr>
                      <w:rFonts w:ascii="Cambria Math" w:hAnsi="Cambria Math"/>
                      <w:i/>
                    </w:rPr>
                  </m:ctrlPr>
                </m:accPr>
                <m:e>
                  <m:r>
                    <w:rPr>
                      <w:rFonts w:ascii="Cambria Math" w:hAnsi="Cambria Math"/>
                    </w:rPr>
                    <m:t>Σ</m:t>
                  </m:r>
                </m:e>
              </m:acc>
            </m:e>
            <m:sub>
              <m:r>
                <w:rPr>
                  <w:rFonts w:ascii="Cambria Math" w:hAnsi="Cambria Math"/>
                </w:rPr>
                <m:t>xg</m:t>
              </m:r>
            </m:sub>
          </m:sSub>
          <m:r>
            <w:rPr>
              <w:rFonts w:ascii="Cambria Math" w:hAnsi="Cambria Math"/>
            </w:rPr>
            <m:t>=</m:t>
          </m:r>
          <m:sSub>
            <m:sSubPr>
              <m:ctrlPr>
                <w:rPr>
                  <w:rFonts w:ascii="Cambria Math" w:hAnsi="Cambria Math"/>
                  <w:i/>
                </w:rPr>
              </m:ctrlPr>
            </m:sSubPr>
            <m:e>
              <m:r>
                <w:rPr>
                  <w:rFonts w:ascii="Cambria Math" w:hAnsi="Cambria Math"/>
                </w:rPr>
                <m:t>a</m:t>
              </m:r>
            </m:e>
            <m:sub>
              <m:sSub>
                <m:sSubPr>
                  <m:ctrlPr>
                    <w:rPr>
                      <w:rFonts w:ascii="Cambria Math" w:hAnsi="Cambria Math"/>
                      <w:i/>
                    </w:rPr>
                  </m:ctrlPr>
                </m:sSubPr>
                <m:e>
                  <m:r>
                    <w:rPr>
                      <w:rFonts w:ascii="Cambria Math" w:hAnsi="Cambria Math"/>
                    </w:rPr>
                    <m:t>1</m:t>
                  </m:r>
                </m:e>
                <m:sub>
                  <m:r>
                    <w:rPr>
                      <w:rFonts w:ascii="Cambria Math" w:hAnsi="Cambria Math"/>
                    </w:rPr>
                    <m:t>xg</m:t>
                  </m:r>
                </m:sub>
              </m:sSub>
            </m:sub>
          </m:sSub>
          <m:r>
            <w:rPr>
              <w:rFonts w:ascii="Cambria Math" w:hAnsi="Cambria Math"/>
            </w:rPr>
            <m:t>+</m:t>
          </m:r>
          <m:nary>
            <m:naryPr>
              <m:chr m:val="∑"/>
              <m:limLoc m:val="undOvr"/>
              <m:ctrlPr>
                <w:rPr>
                  <w:rFonts w:ascii="Cambria Math" w:hAnsi="Cambria Math"/>
                  <w:i/>
                </w:rPr>
              </m:ctrlPr>
            </m:naryPr>
            <m:sub>
              <m:r>
                <w:rPr>
                  <w:rFonts w:ascii="Cambria Math" w:hAnsi="Cambria Math"/>
                </w:rPr>
                <m:t>n=1</m:t>
              </m:r>
            </m:sub>
            <m:sup>
              <m:r>
                <w:rPr>
                  <w:rFonts w:ascii="Cambria Math" w:hAnsi="Cambria Math"/>
                </w:rPr>
                <m:t>2</m:t>
              </m:r>
            </m:sup>
            <m:e>
              <m:sSub>
                <m:sSubPr>
                  <m:ctrlPr>
                    <w:rPr>
                      <w:rFonts w:ascii="Cambria Math" w:hAnsi="Cambria Math"/>
                      <w:i/>
                    </w:rPr>
                  </m:ctrlPr>
                </m:sSubPr>
                <m:e>
                  <m:r>
                    <w:rPr>
                      <w:rFonts w:ascii="Cambria Math" w:hAnsi="Cambria Math"/>
                    </w:rPr>
                    <m:t>a</m:t>
                  </m:r>
                </m:e>
                <m:sub>
                  <m:sSub>
                    <m:sSubPr>
                      <m:ctrlPr>
                        <w:rPr>
                          <w:rFonts w:ascii="Cambria Math" w:hAnsi="Cambria Math"/>
                          <w:i/>
                        </w:rPr>
                      </m:ctrlPr>
                    </m:sSubPr>
                    <m:e>
                      <m:d>
                        <m:dPr>
                          <m:ctrlPr>
                            <w:rPr>
                              <w:rFonts w:ascii="Cambria Math" w:hAnsi="Cambria Math"/>
                              <w:i/>
                            </w:rPr>
                          </m:ctrlPr>
                        </m:dPr>
                        <m:e>
                          <m:r>
                            <w:rPr>
                              <w:rFonts w:ascii="Cambria Math" w:hAnsi="Cambria Math"/>
                            </w:rPr>
                            <m:t>n+1</m:t>
                          </m:r>
                        </m:e>
                      </m:d>
                    </m:e>
                    <m:sub>
                      <m:r>
                        <w:rPr>
                          <w:rFonts w:ascii="Cambria Math" w:hAnsi="Cambria Math"/>
                        </w:rPr>
                        <m:t>xg</m:t>
                      </m:r>
                    </m:sub>
                  </m:sSub>
                </m:sub>
              </m:sSub>
              <m:sSup>
                <m:sSupPr>
                  <m:ctrlPr>
                    <w:rPr>
                      <w:rFonts w:ascii="Cambria Math" w:hAnsi="Cambria Math"/>
                      <w:i/>
                    </w:rPr>
                  </m:ctrlPr>
                </m:sSupPr>
                <m:e>
                  <m:d>
                    <m:dPr>
                      <m:ctrlPr>
                        <w:rPr>
                          <w:rFonts w:ascii="Cambria Math" w:hAnsi="Cambria Math"/>
                          <w:i/>
                        </w:rPr>
                      </m:ctrlPr>
                    </m:dPr>
                    <m:e>
                      <m:r>
                        <w:rPr>
                          <w:rFonts w:ascii="Cambria Math" w:hAnsi="Cambria Math"/>
                        </w:rPr>
                        <m:t>Δ</m:t>
                      </m:r>
                      <m:sSub>
                        <m:sSubPr>
                          <m:ctrlPr>
                            <w:rPr>
                              <w:rFonts w:ascii="Cambria Math" w:hAnsi="Cambria Math"/>
                              <w:i/>
                            </w:rPr>
                          </m:ctrlPr>
                        </m:sSubPr>
                        <m:e>
                          <m:r>
                            <w:rPr>
                              <w:rFonts w:ascii="Cambria Math" w:hAnsi="Cambria Math"/>
                            </w:rPr>
                            <m:t>ρ</m:t>
                          </m:r>
                        </m:e>
                        <m:sub>
                          <m:r>
                            <w:rPr>
                              <w:rFonts w:ascii="Cambria Math" w:hAnsi="Cambria Math"/>
                            </w:rPr>
                            <m:t>c</m:t>
                          </m:r>
                        </m:sub>
                      </m:sSub>
                    </m:e>
                  </m:d>
                </m:e>
                <m:sup>
                  <m:r>
                    <w:rPr>
                      <w:rFonts w:ascii="Cambria Math" w:hAnsi="Cambria Math"/>
                    </w:rPr>
                    <m:t>n</m:t>
                  </m:r>
                </m:sup>
              </m:sSup>
            </m:e>
          </m:nary>
          <m:r>
            <w:rPr>
              <w:rFonts w:ascii="Cambria Math" w:hAnsi="Cambria Math"/>
            </w:rPr>
            <m:t>+</m:t>
          </m:r>
          <m:sSub>
            <m:sSubPr>
              <m:ctrlPr>
                <w:rPr>
                  <w:rFonts w:ascii="Cambria Math" w:hAnsi="Cambria Math"/>
                  <w:i/>
                </w:rPr>
              </m:ctrlPr>
            </m:sSubPr>
            <m:e>
              <m:sSub>
                <m:sSubPr>
                  <m:ctrlPr>
                    <w:rPr>
                      <w:rFonts w:ascii="Cambria Math" w:hAnsi="Cambria Math"/>
                      <w:i/>
                    </w:rPr>
                  </m:ctrlPr>
                </m:sSubPr>
                <m:e>
                  <m:r>
                    <w:rPr>
                      <w:rFonts w:ascii="Cambria Math" w:hAnsi="Cambria Math"/>
                    </w:rPr>
                    <m:t>a</m:t>
                  </m:r>
                </m:e>
                <m:sub>
                  <m:r>
                    <w:rPr>
                      <w:rFonts w:ascii="Cambria Math" w:hAnsi="Cambria Math"/>
                    </w:rPr>
                    <m:t>4</m:t>
                  </m:r>
                </m:sub>
              </m:sSub>
            </m:e>
            <m:sub>
              <m:r>
                <w:rPr>
                  <w:rFonts w:ascii="Cambria Math" w:hAnsi="Cambria Math"/>
                </w:rPr>
                <m:t>xg</m:t>
              </m:r>
            </m:sub>
          </m:sSub>
          <m:r>
            <w:rPr>
              <w:rFonts w:ascii="Cambria Math" w:hAnsi="Cambria Math"/>
            </w:rPr>
            <m:t xml:space="preserve"> Δ</m:t>
          </m:r>
          <m:rad>
            <m:radPr>
              <m:degHide m:val="1"/>
              <m:ctrlPr>
                <w:rPr>
                  <w:rFonts w:ascii="Cambria Math" w:hAnsi="Cambria Math"/>
                  <w:i/>
                </w:rPr>
              </m:ctrlPr>
            </m:radPr>
            <m:deg/>
            <m:e>
              <m:sSub>
                <m:sSubPr>
                  <m:ctrlPr>
                    <w:rPr>
                      <w:rFonts w:ascii="Cambria Math" w:hAnsi="Cambria Math"/>
                      <w:i/>
                    </w:rPr>
                  </m:ctrlPr>
                </m:sSubPr>
                <m:e>
                  <m:r>
                    <w:rPr>
                      <w:rFonts w:ascii="Cambria Math" w:hAnsi="Cambria Math"/>
                    </w:rPr>
                    <m:t>T</m:t>
                  </m:r>
                </m:e>
                <m:sub>
                  <m:sSub>
                    <m:sSubPr>
                      <m:ctrlPr>
                        <w:rPr>
                          <w:rFonts w:ascii="Cambria Math" w:hAnsi="Cambria Math"/>
                          <w:i/>
                        </w:rPr>
                      </m:ctrlPr>
                    </m:sSubPr>
                    <m:e>
                      <m:r>
                        <w:rPr>
                          <w:rFonts w:ascii="Cambria Math" w:hAnsi="Cambria Math"/>
                        </w:rPr>
                        <m:t>F</m:t>
                      </m:r>
                    </m:e>
                    <m:sub>
                      <m:r>
                        <w:rPr>
                          <w:rFonts w:ascii="Cambria Math" w:hAnsi="Cambria Math"/>
                        </w:rPr>
                        <m:t>eff</m:t>
                      </m:r>
                    </m:sub>
                  </m:sSub>
                </m:sub>
              </m:sSub>
            </m:e>
          </m:rad>
          <m:r>
            <m:rPr>
              <m:sty m:val="p"/>
            </m:rPr>
            <w:rPr>
              <w:rFonts w:ascii="Cambria Math" w:hAnsi="Cambria Math" w:cs="Times New Roman"/>
              <w:szCs w:val="24"/>
            </w:rPr>
            <m:t xml:space="preserve">                                (4.3)</m:t>
          </m:r>
        </m:oMath>
      </m:oMathPara>
    </w:p>
    <w:p w14:paraId="0F737432" w14:textId="2A8164F1" w:rsidR="002D6A6D" w:rsidRDefault="00011690" w:rsidP="0091793B">
      <w:pPr>
        <w:spacing w:line="360" w:lineRule="auto"/>
        <w:jc w:val="both"/>
        <w:rPr>
          <w:rFonts w:cs="Times New Roman"/>
          <w:szCs w:val="24"/>
        </w:rPr>
      </w:pPr>
      <w:r>
        <w:rPr>
          <w:rFonts w:cs="Times New Roman"/>
          <w:szCs w:val="24"/>
        </w:rPr>
        <w:t xml:space="preserve">Therefore, if </w:t>
      </w:r>
      <w:r w:rsidR="00F359FC">
        <w:rPr>
          <w:rFonts w:cs="Times New Roman"/>
          <w:szCs w:val="24"/>
        </w:rPr>
        <w:t>an increase in</w:t>
      </w:r>
      <w:r>
        <w:rPr>
          <w:rFonts w:cs="Times New Roman"/>
          <w:szCs w:val="24"/>
        </w:rPr>
        <w:t xml:space="preserve"> fuel temperature </w:t>
      </w:r>
      <w:r w:rsidR="0018372E">
        <w:rPr>
          <w:rFonts w:cs="Times New Roman"/>
          <w:szCs w:val="24"/>
        </w:rPr>
        <w:t>occurs</w:t>
      </w:r>
      <w:r>
        <w:rPr>
          <w:rFonts w:cs="Times New Roman"/>
          <w:szCs w:val="24"/>
        </w:rPr>
        <w:t xml:space="preserve"> during </w:t>
      </w:r>
      <w:r w:rsidR="004C47B5">
        <w:rPr>
          <w:rFonts w:cs="Times New Roman"/>
          <w:szCs w:val="24"/>
        </w:rPr>
        <w:t>the depletion sequence</w:t>
      </w:r>
      <w:r>
        <w:rPr>
          <w:rFonts w:cs="Times New Roman"/>
          <w:szCs w:val="24"/>
        </w:rPr>
        <w:t xml:space="preserve">, the delta of its square root from that of the </w:t>
      </w:r>
      <w:r w:rsidR="00C13A66">
        <w:rPr>
          <w:rFonts w:cs="Times New Roman"/>
          <w:szCs w:val="24"/>
        </w:rPr>
        <w:t>base case</w:t>
      </w:r>
      <w:r>
        <w:rPr>
          <w:rFonts w:cs="Times New Roman"/>
          <w:szCs w:val="24"/>
        </w:rPr>
        <w:t xml:space="preserve"> temperature (950 K</w:t>
      </w:r>
      <w:r w:rsidR="0018372E">
        <w:rPr>
          <w:rFonts w:cs="Times New Roman"/>
          <w:szCs w:val="24"/>
        </w:rPr>
        <w:t>) is</w:t>
      </w:r>
      <w:r>
        <w:rPr>
          <w:rFonts w:cs="Times New Roman"/>
          <w:szCs w:val="24"/>
        </w:rPr>
        <w:t xml:space="preserve"> calculated. This delta </w:t>
      </w:r>
      <w:r w:rsidR="0018372E">
        <w:rPr>
          <w:rFonts w:cs="Times New Roman"/>
          <w:szCs w:val="24"/>
        </w:rPr>
        <w:t>is</w:t>
      </w:r>
      <w:r>
        <w:rPr>
          <w:rFonts w:cs="Times New Roman"/>
          <w:szCs w:val="24"/>
        </w:rPr>
        <w:t xml:space="preserve"> multiplied by the fitting </w:t>
      </w:r>
      <w:r w:rsidR="0018372E">
        <w:rPr>
          <w:rFonts w:cs="Times New Roman"/>
          <w:szCs w:val="24"/>
        </w:rPr>
        <w:t>coefficient determined from</w:t>
      </w:r>
      <w:r>
        <w:rPr>
          <w:rFonts w:cs="Times New Roman"/>
          <w:szCs w:val="24"/>
        </w:rPr>
        <w:t xml:space="preserve"> C2N</w:t>
      </w:r>
      <w:r w:rsidR="004C47B5">
        <w:rPr>
          <w:rFonts w:cs="Times New Roman"/>
          <w:szCs w:val="24"/>
        </w:rPr>
        <w:t xml:space="preserve"> denoted by the </w:t>
      </w:r>
      <w:proofErr w:type="gramStart"/>
      <w:r w:rsidR="004C47B5">
        <w:rPr>
          <w:rFonts w:cs="Times New Roman"/>
          <w:szCs w:val="24"/>
        </w:rPr>
        <w:t xml:space="preserve">variable </w:t>
      </w:r>
      <w:proofErr w:type="gramEnd"/>
      <m:oMath>
        <m:r>
          <w:rPr>
            <w:rFonts w:ascii="Cambria Math" w:hAnsi="Cambria Math" w:cs="Times New Roman"/>
            <w:szCs w:val="24"/>
          </w:rPr>
          <m:t>a</m:t>
        </m:r>
      </m:oMath>
      <w:r>
        <w:rPr>
          <w:rFonts w:cs="Times New Roman"/>
          <w:szCs w:val="24"/>
        </w:rPr>
        <w:t xml:space="preserve">, and a new cross-section can be </w:t>
      </w:r>
      <w:r w:rsidR="0018372E">
        <w:rPr>
          <w:rFonts w:cs="Times New Roman"/>
          <w:szCs w:val="24"/>
        </w:rPr>
        <w:t xml:space="preserve">calculated. The variables: </w:t>
      </w:r>
      <m:oMath>
        <m:r>
          <w:rPr>
            <w:rFonts w:ascii="Cambria Math" w:hAnsi="Cambria Math" w:cs="Times New Roman"/>
            <w:szCs w:val="24"/>
          </w:rPr>
          <m:t>x</m:t>
        </m:r>
      </m:oMath>
      <w:r w:rsidR="0018372E">
        <w:rPr>
          <w:rFonts w:cs="Times New Roman"/>
          <w:szCs w:val="24"/>
        </w:rPr>
        <w:t xml:space="preserve"> and </w:t>
      </w:r>
      <m:oMath>
        <m:r>
          <w:rPr>
            <w:rFonts w:ascii="Cambria Math" w:hAnsi="Cambria Math" w:cs="Times New Roman"/>
            <w:szCs w:val="24"/>
          </w:rPr>
          <m:t>g</m:t>
        </m:r>
      </m:oMath>
      <w:r w:rsidR="00483233">
        <w:rPr>
          <w:rFonts w:cs="Times New Roman"/>
          <w:szCs w:val="24"/>
        </w:rPr>
        <w:t xml:space="preserve"> from equation 4.3</w:t>
      </w:r>
      <w:r w:rsidR="0018372E">
        <w:rPr>
          <w:rFonts w:cs="Times New Roman"/>
          <w:szCs w:val="24"/>
        </w:rPr>
        <w:t xml:space="preserve"> represent the cross-section type and neutron energy group number, respectively.</w:t>
      </w:r>
      <w:r w:rsidR="004C47B5">
        <w:rPr>
          <w:rFonts w:cs="Times New Roman"/>
          <w:szCs w:val="24"/>
        </w:rPr>
        <w:t xml:space="preserve"> </w:t>
      </w:r>
      <w:r w:rsidR="00F359FC">
        <w:rPr>
          <w:rFonts w:cs="Times New Roman"/>
          <w:szCs w:val="24"/>
        </w:rPr>
        <w:t xml:space="preserve">From there, the updated cross-section is fed into the </w:t>
      </w:r>
      <w:r w:rsidR="00E0060A">
        <w:rPr>
          <w:rFonts w:cs="Times New Roman"/>
          <w:szCs w:val="24"/>
        </w:rPr>
        <w:t xml:space="preserve">spatially </w:t>
      </w:r>
      <w:r w:rsidR="00236C4F">
        <w:rPr>
          <w:rFonts w:cs="Times New Roman"/>
          <w:szCs w:val="24"/>
        </w:rPr>
        <w:t xml:space="preserve">discretized </w:t>
      </w:r>
      <w:r w:rsidR="00E0060A">
        <w:rPr>
          <w:rFonts w:cs="Times New Roman"/>
          <w:szCs w:val="24"/>
        </w:rPr>
        <w:t>neutron diffusion equation in order to calculate</w:t>
      </w:r>
      <w:r w:rsidR="00236C4F">
        <w:rPr>
          <w:rFonts w:cs="Times New Roman"/>
          <w:szCs w:val="24"/>
        </w:rPr>
        <w:t xml:space="preserve"> </w:t>
      </w:r>
      <w:r w:rsidR="00F359FC">
        <w:rPr>
          <w:rFonts w:cs="Times New Roman"/>
          <w:szCs w:val="24"/>
        </w:rPr>
        <w:t>the eigenvalue (k)</w:t>
      </w:r>
      <w:r w:rsidR="00D40074">
        <w:rPr>
          <w:rFonts w:cs="Times New Roman"/>
          <w:szCs w:val="24"/>
        </w:rPr>
        <w:t xml:space="preserve"> </w:t>
      </w:r>
      <w:r w:rsidR="00D40074">
        <w:rPr>
          <w:rFonts w:cs="Times New Roman"/>
          <w:szCs w:val="24"/>
        </w:rPr>
        <w:lastRenderedPageBreak/>
        <w:t>with the nodal expansion method in NESTLE</w:t>
      </w:r>
      <w:r w:rsidR="00F359FC">
        <w:rPr>
          <w:rFonts w:cs="Times New Roman"/>
          <w:szCs w:val="24"/>
        </w:rPr>
        <w:t xml:space="preserve">. </w:t>
      </w:r>
      <w:r w:rsidR="002D6A6D">
        <w:rPr>
          <w:rFonts w:cs="Times New Roman"/>
          <w:szCs w:val="24"/>
        </w:rPr>
        <w:t xml:space="preserve">The simplified diffusion equation along with the matrix expressions used to solve for k-effective </w:t>
      </w:r>
      <w:r w:rsidR="00125D92">
        <w:rPr>
          <w:rFonts w:cs="Times New Roman"/>
          <w:szCs w:val="24"/>
        </w:rPr>
        <w:t>are shown</w:t>
      </w:r>
      <w:r w:rsidR="00483233">
        <w:rPr>
          <w:rFonts w:cs="Times New Roman"/>
          <w:szCs w:val="24"/>
        </w:rPr>
        <w:t xml:space="preserve"> in equations 4.4 and 4.5</w:t>
      </w:r>
      <w:r w:rsidR="00DF20CB">
        <w:rPr>
          <w:rFonts w:cs="Times New Roman"/>
          <w:szCs w:val="24"/>
        </w:rPr>
        <w:t xml:space="preserve"> </w:t>
      </w:r>
      <w:r w:rsidR="00DF20CB">
        <w:rPr>
          <w:rFonts w:cs="Times New Roman"/>
          <w:szCs w:val="24"/>
        </w:rPr>
        <w:fldChar w:fldCharType="begin"/>
      </w:r>
      <w:r w:rsidR="00DF20CB">
        <w:rPr>
          <w:rFonts w:cs="Times New Roman"/>
          <w:szCs w:val="24"/>
        </w:rPr>
        <w:instrText xml:space="preserve"> ADDIN EN.CITE &lt;EndNote&gt;&lt;Cite&gt;&lt;Author&gt;Ottinger&lt;/Author&gt;&lt;Year&gt;2014&lt;/Year&gt;&lt;RecNum&gt;107&lt;/RecNum&gt;&lt;DisplayText&gt;[53]&lt;/DisplayText&gt;&lt;record&gt;&lt;rec-number&gt;107&lt;/rec-number&gt;&lt;foreign-keys&gt;&lt;key app="EN" db-id="trfxzx057wwv0qe0vz1vttttwf0522tvtwpt" timestamp="1422994808"&gt;107&lt;/key&gt;&lt;/foreign-keys&gt;&lt;ref-type name="Journal Article"&gt;17&lt;/ref-type&gt;&lt;contributors&gt;&lt;authors&gt;&lt;author&gt;Ottinger, Keith Everette&lt;/author&gt;&lt;/authors&gt;&lt;/contributors&gt;&lt;titles&gt;&lt;title&gt;Multi-cycle boiling water reactor fuel cycle optimization&lt;/title&gt;&lt;/titles&gt;&lt;dates&gt;&lt;year&gt;2014&lt;/year&gt;&lt;/dates&gt;&lt;urls&gt;&lt;/urls&gt;&lt;/record&gt;&lt;/Cite&gt;&lt;/EndNote&gt;</w:instrText>
      </w:r>
      <w:r w:rsidR="00DF20CB">
        <w:rPr>
          <w:rFonts w:cs="Times New Roman"/>
          <w:szCs w:val="24"/>
        </w:rPr>
        <w:fldChar w:fldCharType="separate"/>
      </w:r>
      <w:r w:rsidR="00DF20CB">
        <w:rPr>
          <w:rFonts w:cs="Times New Roman"/>
          <w:noProof/>
          <w:szCs w:val="24"/>
        </w:rPr>
        <w:t>[</w:t>
      </w:r>
      <w:hyperlink w:anchor="_ENREF_53" w:tooltip="Ottinger, 2014 #107" w:history="1">
        <w:r w:rsidR="00DF20CB">
          <w:rPr>
            <w:rFonts w:cs="Times New Roman"/>
            <w:noProof/>
            <w:szCs w:val="24"/>
          </w:rPr>
          <w:t>53</w:t>
        </w:r>
      </w:hyperlink>
      <w:r w:rsidR="00DF20CB">
        <w:rPr>
          <w:rFonts w:cs="Times New Roman"/>
          <w:noProof/>
          <w:szCs w:val="24"/>
        </w:rPr>
        <w:t>]</w:t>
      </w:r>
      <w:r w:rsidR="00DF20CB">
        <w:rPr>
          <w:rFonts w:cs="Times New Roman"/>
          <w:szCs w:val="24"/>
        </w:rPr>
        <w:fldChar w:fldCharType="end"/>
      </w:r>
      <w:r w:rsidR="002D6A6D">
        <w:rPr>
          <w:rFonts w:cs="Times New Roman"/>
          <w:szCs w:val="24"/>
        </w:rPr>
        <w:t xml:space="preserve">. </w:t>
      </w:r>
    </w:p>
    <w:p w14:paraId="5B3D69B8" w14:textId="77777777" w:rsidR="002D6A6D" w:rsidRPr="00FD2EFD" w:rsidRDefault="002D6A6D" w:rsidP="002D6A6D">
      <w:pPr>
        <w:spacing w:line="240" w:lineRule="auto"/>
        <w:jc w:val="both"/>
        <w:rPr>
          <w:rFonts w:eastAsiaTheme="minorEastAsia" w:cs="Times New Roman"/>
          <w:szCs w:val="24"/>
        </w:rPr>
      </w:pPr>
      <m:oMathPara>
        <m:oMathParaPr>
          <m:jc m:val="right"/>
        </m:oMathParaPr>
        <m:oMath>
          <m:r>
            <w:rPr>
              <w:rFonts w:ascii="Cambria Math" w:hAnsi="Cambria Math" w:cs="Times New Roman"/>
              <w:szCs w:val="24"/>
            </w:rPr>
            <m:t>-</m:t>
          </m:r>
          <m:r>
            <m:rPr>
              <m:sty m:val="p"/>
            </m:rPr>
            <w:rPr>
              <w:rFonts w:ascii="Cambria Math" w:hAnsi="Cambria Math" w:cs="Times New Roman"/>
              <w:szCs w:val="24"/>
            </w:rPr>
            <m:t>∇</m:t>
          </m:r>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D</m:t>
              </m:r>
            </m:e>
            <m:sub>
              <m:r>
                <w:rPr>
                  <w:rFonts w:ascii="Cambria Math" w:hAnsi="Cambria Math" w:cs="Times New Roman"/>
                  <w:szCs w:val="24"/>
                </w:rPr>
                <m:t>g</m:t>
              </m:r>
            </m:sub>
          </m:sSub>
          <m:r>
            <m:rPr>
              <m:sty m:val="p"/>
            </m:rP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ϕ</m:t>
              </m:r>
            </m:e>
            <m:sub>
              <m:r>
                <w:rPr>
                  <w:rFonts w:ascii="Cambria Math" w:hAnsi="Cambria Math" w:cs="Times New Roman"/>
                  <w:szCs w:val="24"/>
                </w:rPr>
                <m:t>g</m:t>
              </m:r>
            </m:sub>
          </m:sSub>
          <m:r>
            <w:rPr>
              <w:rFonts w:ascii="Cambria Math" w:hAnsi="Cambria Math" w:cs="Times New Roman"/>
              <w:szCs w:val="24"/>
            </w:rPr>
            <m:t>+</m:t>
          </m:r>
          <m:sSub>
            <m:sSubPr>
              <m:ctrlPr>
                <w:rPr>
                  <w:rFonts w:ascii="Cambria Math" w:hAnsi="Cambria Math" w:cs="Times New Roman"/>
                  <w:i/>
                  <w:szCs w:val="24"/>
                </w:rPr>
              </m:ctrlPr>
            </m:sSubPr>
            <m:e>
              <m:r>
                <w:rPr>
                  <w:rFonts w:ascii="Cambria Math" w:hAnsi="Cambria Math" w:cs="Times New Roman"/>
                  <w:szCs w:val="24"/>
                </w:rPr>
                <m:t>Σ</m:t>
              </m:r>
            </m:e>
            <m:sub>
              <m:r>
                <w:rPr>
                  <w:rFonts w:ascii="Cambria Math" w:hAnsi="Cambria Math" w:cs="Times New Roman"/>
                  <w:szCs w:val="24"/>
                </w:rPr>
                <m:t>tg</m:t>
              </m:r>
            </m:sub>
          </m:sSub>
          <m:sSub>
            <m:sSubPr>
              <m:ctrlPr>
                <w:rPr>
                  <w:rFonts w:ascii="Cambria Math" w:hAnsi="Cambria Math" w:cs="Times New Roman"/>
                  <w:i/>
                  <w:szCs w:val="24"/>
                </w:rPr>
              </m:ctrlPr>
            </m:sSubPr>
            <m:e>
              <m:r>
                <w:rPr>
                  <w:rFonts w:ascii="Cambria Math" w:hAnsi="Cambria Math" w:cs="Times New Roman"/>
                  <w:szCs w:val="24"/>
                </w:rPr>
                <m:t>ϕ</m:t>
              </m:r>
            </m:e>
            <m:sub>
              <m:r>
                <w:rPr>
                  <w:rFonts w:ascii="Cambria Math" w:hAnsi="Cambria Math" w:cs="Times New Roman"/>
                  <w:szCs w:val="24"/>
                </w:rPr>
                <m:t>g</m:t>
              </m:r>
            </m:sub>
          </m:sSub>
          <m:r>
            <w:rPr>
              <w:rFonts w:ascii="Cambria Math" w:hAnsi="Cambria Math" w:cs="Times New Roman"/>
              <w:szCs w:val="24"/>
            </w:rPr>
            <m:t>=</m:t>
          </m:r>
          <m:nary>
            <m:naryPr>
              <m:chr m:val="∑"/>
              <m:limLoc m:val="undOvr"/>
              <m:ctrlPr>
                <w:rPr>
                  <w:rFonts w:ascii="Cambria Math" w:hAnsi="Cambria Math"/>
                  <w:i/>
                  <w:szCs w:val="24"/>
                </w:rPr>
              </m:ctrlPr>
            </m:naryPr>
            <m:sub>
              <m:sSup>
                <m:sSupPr>
                  <m:ctrlPr>
                    <w:rPr>
                      <w:rFonts w:ascii="Cambria Math" w:hAnsi="Cambria Math"/>
                      <w:i/>
                      <w:szCs w:val="24"/>
                    </w:rPr>
                  </m:ctrlPr>
                </m:sSupPr>
                <m:e>
                  <m:r>
                    <w:rPr>
                      <w:rFonts w:ascii="Cambria Math" w:hAnsi="Cambria Math"/>
                      <w:szCs w:val="24"/>
                    </w:rPr>
                    <m:t>g</m:t>
                  </m:r>
                </m:e>
                <m:sup>
                  <m:r>
                    <w:rPr>
                      <w:rFonts w:ascii="Cambria Math" w:hAnsi="Cambria Math"/>
                      <w:szCs w:val="24"/>
                    </w:rPr>
                    <m:t>'</m:t>
                  </m:r>
                </m:sup>
              </m:sSup>
              <m:r>
                <w:rPr>
                  <w:rFonts w:ascii="Cambria Math" w:hAnsi="Cambria Math"/>
                  <w:szCs w:val="24"/>
                </w:rPr>
                <m:t>=1</m:t>
              </m:r>
            </m:sub>
            <m:sup>
              <m:r>
                <w:rPr>
                  <w:rFonts w:ascii="Cambria Math" w:hAnsi="Cambria Math"/>
                  <w:szCs w:val="24"/>
                </w:rPr>
                <m:t>G</m:t>
              </m:r>
            </m:sup>
            <m:e>
              <m:sSub>
                <m:sSubPr>
                  <m:ctrlPr>
                    <w:rPr>
                      <w:rFonts w:ascii="Cambria Math" w:hAnsi="Cambria Math"/>
                      <w:i/>
                      <w:szCs w:val="24"/>
                    </w:rPr>
                  </m:ctrlPr>
                </m:sSubPr>
                <m:e>
                  <m:r>
                    <w:rPr>
                      <w:rFonts w:ascii="Cambria Math" w:hAnsi="Cambria Math"/>
                      <w:szCs w:val="24"/>
                    </w:rPr>
                    <m:t>Σ</m:t>
                  </m:r>
                </m:e>
                <m:sub>
                  <m:r>
                    <w:rPr>
                      <w:rFonts w:ascii="Cambria Math" w:hAnsi="Cambria Math"/>
                      <w:szCs w:val="24"/>
                    </w:rPr>
                    <m:t>sg</m:t>
                  </m:r>
                  <m:sSup>
                    <m:sSupPr>
                      <m:ctrlPr>
                        <w:rPr>
                          <w:rFonts w:ascii="Cambria Math" w:hAnsi="Cambria Math"/>
                          <w:i/>
                          <w:szCs w:val="24"/>
                        </w:rPr>
                      </m:ctrlPr>
                    </m:sSupPr>
                    <m:e>
                      <m:r>
                        <w:rPr>
                          <w:rFonts w:ascii="Cambria Math" w:hAnsi="Cambria Math"/>
                          <w:szCs w:val="24"/>
                        </w:rPr>
                        <m:t>g</m:t>
                      </m:r>
                    </m:e>
                    <m:sup>
                      <m:r>
                        <w:rPr>
                          <w:rFonts w:ascii="Cambria Math" w:hAnsi="Cambria Math"/>
                          <w:szCs w:val="24"/>
                        </w:rPr>
                        <m:t>'</m:t>
                      </m:r>
                    </m:sup>
                  </m:sSup>
                </m:sub>
              </m:sSub>
              <m:sSub>
                <m:sSubPr>
                  <m:ctrlPr>
                    <w:rPr>
                      <w:rFonts w:ascii="Cambria Math" w:hAnsi="Cambria Math"/>
                      <w:i/>
                      <w:szCs w:val="24"/>
                    </w:rPr>
                  </m:ctrlPr>
                </m:sSubPr>
                <m:e>
                  <m:r>
                    <w:rPr>
                      <w:rFonts w:ascii="Cambria Math" w:hAnsi="Cambria Math"/>
                      <w:szCs w:val="24"/>
                    </w:rPr>
                    <m:t>ϕ</m:t>
                  </m:r>
                </m:e>
                <m:sub>
                  <m:sSup>
                    <m:sSupPr>
                      <m:ctrlPr>
                        <w:rPr>
                          <w:rFonts w:ascii="Cambria Math" w:hAnsi="Cambria Math"/>
                          <w:i/>
                          <w:szCs w:val="24"/>
                        </w:rPr>
                      </m:ctrlPr>
                    </m:sSupPr>
                    <m:e>
                      <m:r>
                        <w:rPr>
                          <w:rFonts w:ascii="Cambria Math" w:hAnsi="Cambria Math"/>
                          <w:szCs w:val="24"/>
                        </w:rPr>
                        <m:t>g</m:t>
                      </m:r>
                    </m:e>
                    <m:sup>
                      <m:r>
                        <w:rPr>
                          <w:rFonts w:ascii="Cambria Math" w:hAnsi="Cambria Math"/>
                          <w:szCs w:val="24"/>
                        </w:rPr>
                        <m:t>'</m:t>
                      </m:r>
                    </m:sup>
                  </m:sSup>
                </m:sub>
              </m:sSub>
            </m:e>
          </m:nary>
          <m:r>
            <w:rPr>
              <w:rFonts w:ascii="Cambria Math" w:hAnsi="Cambria Math"/>
              <w:szCs w:val="24"/>
            </w:rPr>
            <m:t>+</m:t>
          </m:r>
          <m:f>
            <m:fPr>
              <m:ctrlPr>
                <w:rPr>
                  <w:rFonts w:ascii="Cambria Math" w:hAnsi="Cambria Math"/>
                  <w:i/>
                  <w:szCs w:val="24"/>
                </w:rPr>
              </m:ctrlPr>
            </m:fPr>
            <m:num>
              <m:sSub>
                <m:sSubPr>
                  <m:ctrlPr>
                    <w:rPr>
                      <w:rFonts w:ascii="Cambria Math" w:hAnsi="Cambria Math"/>
                      <w:i/>
                      <w:szCs w:val="24"/>
                    </w:rPr>
                  </m:ctrlPr>
                </m:sSubPr>
                <m:e>
                  <m:r>
                    <w:rPr>
                      <w:rFonts w:ascii="Cambria Math" w:hAnsi="Cambria Math"/>
                      <w:szCs w:val="24"/>
                    </w:rPr>
                    <m:t>χ</m:t>
                  </m:r>
                </m:e>
                <m:sub>
                  <m:r>
                    <w:rPr>
                      <w:rFonts w:ascii="Cambria Math" w:hAnsi="Cambria Math"/>
                      <w:szCs w:val="24"/>
                    </w:rPr>
                    <m:t>g</m:t>
                  </m:r>
                </m:sub>
              </m:sSub>
            </m:num>
            <m:den>
              <m:r>
                <w:rPr>
                  <w:rFonts w:ascii="Cambria Math" w:hAnsi="Cambria Math"/>
                  <w:szCs w:val="24"/>
                </w:rPr>
                <m:t>k</m:t>
              </m:r>
            </m:den>
          </m:f>
          <m:nary>
            <m:naryPr>
              <m:chr m:val="∑"/>
              <m:limLoc m:val="undOvr"/>
              <m:ctrlPr>
                <w:rPr>
                  <w:rFonts w:ascii="Cambria Math" w:hAnsi="Cambria Math"/>
                  <w:i/>
                  <w:szCs w:val="24"/>
                </w:rPr>
              </m:ctrlPr>
            </m:naryPr>
            <m:sub>
              <m:sSup>
                <m:sSupPr>
                  <m:ctrlPr>
                    <w:rPr>
                      <w:rFonts w:ascii="Cambria Math" w:hAnsi="Cambria Math"/>
                      <w:i/>
                      <w:szCs w:val="24"/>
                    </w:rPr>
                  </m:ctrlPr>
                </m:sSupPr>
                <m:e>
                  <m:r>
                    <w:rPr>
                      <w:rFonts w:ascii="Cambria Math" w:hAnsi="Cambria Math"/>
                      <w:szCs w:val="24"/>
                    </w:rPr>
                    <m:t>g</m:t>
                  </m:r>
                </m:e>
                <m:sup>
                  <m:r>
                    <w:rPr>
                      <w:rFonts w:ascii="Cambria Math" w:hAnsi="Cambria Math"/>
                      <w:szCs w:val="24"/>
                    </w:rPr>
                    <m:t>'</m:t>
                  </m:r>
                </m:sup>
              </m:sSup>
              <m:r>
                <w:rPr>
                  <w:rFonts w:ascii="Cambria Math" w:hAnsi="Cambria Math"/>
                  <w:szCs w:val="24"/>
                </w:rPr>
                <m:t>=1</m:t>
              </m:r>
            </m:sub>
            <m:sup>
              <m:r>
                <w:rPr>
                  <w:rFonts w:ascii="Cambria Math" w:hAnsi="Cambria Math"/>
                  <w:szCs w:val="24"/>
                </w:rPr>
                <m:t>G</m:t>
              </m:r>
            </m:sup>
            <m:e>
              <m:sSub>
                <m:sSubPr>
                  <m:ctrlPr>
                    <w:rPr>
                      <w:rFonts w:ascii="Cambria Math" w:hAnsi="Cambria Math"/>
                      <w:i/>
                      <w:szCs w:val="24"/>
                    </w:rPr>
                  </m:ctrlPr>
                </m:sSubPr>
                <m:e>
                  <m:r>
                    <w:rPr>
                      <w:rFonts w:ascii="Cambria Math" w:hAnsi="Cambria Math"/>
                      <w:szCs w:val="24"/>
                    </w:rPr>
                    <m:t>ν</m:t>
                  </m:r>
                </m:e>
                <m:sub>
                  <m:sSup>
                    <m:sSupPr>
                      <m:ctrlPr>
                        <w:rPr>
                          <w:rFonts w:ascii="Cambria Math" w:hAnsi="Cambria Math"/>
                          <w:i/>
                          <w:szCs w:val="24"/>
                        </w:rPr>
                      </m:ctrlPr>
                    </m:sSupPr>
                    <m:e>
                      <m:r>
                        <w:rPr>
                          <w:rFonts w:ascii="Cambria Math" w:hAnsi="Cambria Math"/>
                          <w:szCs w:val="24"/>
                        </w:rPr>
                        <m:t>g</m:t>
                      </m:r>
                    </m:e>
                    <m:sup>
                      <m:r>
                        <w:rPr>
                          <w:rFonts w:ascii="Cambria Math" w:hAnsi="Cambria Math"/>
                          <w:szCs w:val="24"/>
                        </w:rPr>
                        <m:t>'</m:t>
                      </m:r>
                    </m:sup>
                  </m:sSup>
                </m:sub>
              </m:sSub>
              <m:sSub>
                <m:sSubPr>
                  <m:ctrlPr>
                    <w:rPr>
                      <w:rFonts w:ascii="Cambria Math" w:hAnsi="Cambria Math"/>
                      <w:i/>
                      <w:szCs w:val="24"/>
                    </w:rPr>
                  </m:ctrlPr>
                </m:sSubPr>
                <m:e>
                  <m:r>
                    <w:rPr>
                      <w:rFonts w:ascii="Cambria Math" w:hAnsi="Cambria Math"/>
                      <w:szCs w:val="24"/>
                    </w:rPr>
                    <m:t>Σ</m:t>
                  </m:r>
                </m:e>
                <m:sub>
                  <m:r>
                    <w:rPr>
                      <w:rFonts w:ascii="Cambria Math" w:hAnsi="Cambria Math"/>
                      <w:szCs w:val="24"/>
                    </w:rPr>
                    <m:t>f</m:t>
                  </m:r>
                  <m:sSup>
                    <m:sSupPr>
                      <m:ctrlPr>
                        <w:rPr>
                          <w:rFonts w:ascii="Cambria Math" w:hAnsi="Cambria Math"/>
                          <w:i/>
                          <w:szCs w:val="24"/>
                        </w:rPr>
                      </m:ctrlPr>
                    </m:sSupPr>
                    <m:e>
                      <m:r>
                        <w:rPr>
                          <w:rFonts w:ascii="Cambria Math" w:hAnsi="Cambria Math"/>
                          <w:szCs w:val="24"/>
                        </w:rPr>
                        <m:t>g</m:t>
                      </m:r>
                    </m:e>
                    <m:sup>
                      <m:r>
                        <w:rPr>
                          <w:rFonts w:ascii="Cambria Math" w:hAnsi="Cambria Math"/>
                          <w:szCs w:val="24"/>
                        </w:rPr>
                        <m:t>'</m:t>
                      </m:r>
                    </m:sup>
                  </m:sSup>
                </m:sub>
              </m:sSub>
              <m:sSub>
                <m:sSubPr>
                  <m:ctrlPr>
                    <w:rPr>
                      <w:rFonts w:ascii="Cambria Math" w:hAnsi="Cambria Math"/>
                      <w:i/>
                      <w:szCs w:val="24"/>
                    </w:rPr>
                  </m:ctrlPr>
                </m:sSubPr>
                <m:e>
                  <m:r>
                    <w:rPr>
                      <w:rFonts w:ascii="Cambria Math" w:hAnsi="Cambria Math"/>
                      <w:szCs w:val="24"/>
                    </w:rPr>
                    <m:t>ϕ</m:t>
                  </m:r>
                </m:e>
                <m:sub>
                  <m:sSup>
                    <m:sSupPr>
                      <m:ctrlPr>
                        <w:rPr>
                          <w:rFonts w:ascii="Cambria Math" w:hAnsi="Cambria Math"/>
                          <w:i/>
                          <w:szCs w:val="24"/>
                        </w:rPr>
                      </m:ctrlPr>
                    </m:sSupPr>
                    <m:e>
                      <m:r>
                        <w:rPr>
                          <w:rFonts w:ascii="Cambria Math" w:hAnsi="Cambria Math"/>
                          <w:szCs w:val="24"/>
                        </w:rPr>
                        <m:t>g</m:t>
                      </m:r>
                    </m:e>
                    <m:sup>
                      <m:r>
                        <w:rPr>
                          <w:rFonts w:ascii="Cambria Math" w:hAnsi="Cambria Math"/>
                          <w:szCs w:val="24"/>
                        </w:rPr>
                        <m:t>'</m:t>
                      </m:r>
                    </m:sup>
                  </m:sSup>
                </m:sub>
              </m:sSub>
            </m:e>
          </m:nary>
          <m:r>
            <m:rPr>
              <m:sty m:val="p"/>
            </m:rPr>
            <w:rPr>
              <w:rFonts w:ascii="Cambria Math" w:hAnsi="Cambria Math" w:cs="Times New Roman"/>
              <w:szCs w:val="24"/>
            </w:rPr>
            <m:t xml:space="preserve">                        (4.4)</m:t>
          </m:r>
        </m:oMath>
      </m:oMathPara>
    </w:p>
    <w:p w14:paraId="5E0DA397" w14:textId="77777777" w:rsidR="002D6A6D" w:rsidRPr="002D6A6D" w:rsidRDefault="002D6A6D" w:rsidP="002D6A6D">
      <w:pPr>
        <w:spacing w:line="360" w:lineRule="auto"/>
        <w:jc w:val="both"/>
        <w:rPr>
          <w:rFonts w:eastAsiaTheme="minorEastAsia"/>
        </w:rPr>
      </w:pPr>
      <m:oMathPara>
        <m:oMathParaPr>
          <m:jc m:val="right"/>
        </m:oMathParaPr>
        <m:oMath>
          <m:r>
            <w:rPr>
              <w:rFonts w:ascii="Cambria Math" w:hAnsi="Cambria Math"/>
            </w:rPr>
            <m:t>Aϕ=</m:t>
          </m:r>
          <m:f>
            <m:fPr>
              <m:ctrlPr>
                <w:rPr>
                  <w:rFonts w:ascii="Cambria Math" w:hAnsi="Cambria Math"/>
                  <w:i/>
                </w:rPr>
              </m:ctrlPr>
            </m:fPr>
            <m:num>
              <m:r>
                <w:rPr>
                  <w:rFonts w:ascii="Cambria Math" w:hAnsi="Cambria Math"/>
                </w:rPr>
                <m:t>1</m:t>
              </m:r>
            </m:num>
            <m:den>
              <m:r>
                <w:rPr>
                  <w:rFonts w:ascii="Cambria Math" w:hAnsi="Cambria Math"/>
                </w:rPr>
                <m:t>k</m:t>
              </m:r>
            </m:den>
          </m:f>
          <m:r>
            <w:rPr>
              <w:rFonts w:ascii="Cambria Math" w:hAnsi="Cambria Math"/>
            </w:rPr>
            <m:t>Fϕ                                                                   (4.5)</m:t>
          </m:r>
        </m:oMath>
      </m:oMathPara>
    </w:p>
    <w:p w14:paraId="4C49B956" w14:textId="77777777" w:rsidR="00F359FC" w:rsidRDefault="00F53AC8" w:rsidP="0091793B">
      <w:pPr>
        <w:spacing w:line="360" w:lineRule="auto"/>
        <w:jc w:val="both"/>
        <w:rPr>
          <w:rFonts w:eastAsiaTheme="minorEastAsia" w:cs="Times New Roman"/>
        </w:rPr>
      </w:pPr>
      <w:r w:rsidRPr="00F53AC8">
        <w:rPr>
          <w:rFonts w:eastAsiaTheme="minorEastAsia" w:cs="Times New Roman"/>
        </w:rPr>
        <w:t xml:space="preserve">C2N provides the majority of factors </w:t>
      </w:r>
      <w:r w:rsidR="00236C4F">
        <w:rPr>
          <w:rFonts w:eastAsiaTheme="minorEastAsia" w:cs="Times New Roman"/>
        </w:rPr>
        <w:t xml:space="preserve">needed to solve the diffusion problem including: </w:t>
      </w:r>
      <w:r w:rsidRPr="00F53AC8">
        <w:rPr>
          <w:rFonts w:eastAsiaTheme="minorEastAsia" w:cs="Times New Roman"/>
        </w:rPr>
        <w:t>diffusion coefficient, thermal, scattering and fission cross-sections, number of neutrons born in fission as wel</w:t>
      </w:r>
      <w:r>
        <w:rPr>
          <w:rFonts w:eastAsiaTheme="minorEastAsia" w:cs="Times New Roman"/>
        </w:rPr>
        <w:t xml:space="preserve">l as the fission neutron yield. </w:t>
      </w:r>
      <w:r w:rsidR="004C7386">
        <w:rPr>
          <w:rFonts w:eastAsiaTheme="minorEastAsia" w:cs="Times New Roman"/>
        </w:rPr>
        <w:t xml:space="preserve">The fast and thermal flux values are solved relative to the power at a given node which leads to the calculation of k-effective. </w:t>
      </w:r>
      <w:r>
        <w:rPr>
          <w:rFonts w:eastAsiaTheme="minorEastAsia" w:cs="Times New Roman"/>
        </w:rPr>
        <w:t xml:space="preserve">Although NESTLE has the ability to simulate the fuel with up to four neutron energy groups, two were used to simulate the BWR fuel, fast and thermal. The energy group cutoff initially set in the CASMO calculations was 0.625 eV. </w:t>
      </w:r>
    </w:p>
    <w:p w14:paraId="4357FE25" w14:textId="13C023F3" w:rsidR="005F2E1E" w:rsidRDefault="00BA3C26" w:rsidP="0091793B">
      <w:pPr>
        <w:spacing w:line="360" w:lineRule="auto"/>
        <w:jc w:val="both"/>
        <w:rPr>
          <w:rFonts w:cs="Times New Roman"/>
          <w:szCs w:val="24"/>
        </w:rPr>
      </w:pPr>
      <w:r>
        <w:rPr>
          <w:rFonts w:cs="Times New Roman"/>
          <w:szCs w:val="24"/>
        </w:rPr>
        <w:t xml:space="preserve">It was determined that the most viable way to compare alternate cladding material to that of Zircaloy would be under equilibrium core conditions. Therefore, the core model assembled consisted of three fuel batches: fresh feed, once burnt and twice burnt assemblies. Representative BOC exposure map and axial power profile were established </w:t>
      </w:r>
      <w:r w:rsidR="00D00A8B">
        <w:rPr>
          <w:rFonts w:cs="Times New Roman"/>
          <w:szCs w:val="24"/>
        </w:rPr>
        <w:fldChar w:fldCharType="begin"/>
      </w:r>
      <w:r w:rsidR="00817846">
        <w:rPr>
          <w:rFonts w:cs="Times New Roman"/>
          <w:szCs w:val="24"/>
        </w:rPr>
        <w:instrText xml:space="preserve"> ADDIN EN.CITE &lt;EndNote&gt;&lt;Cite&gt;&lt;Author&gt;Fensin&lt;/Author&gt;&lt;Year&gt;2004&lt;/Year&gt;&lt;RecNum&gt;41&lt;/RecNum&gt;&lt;DisplayText&gt;[45]&lt;/DisplayText&gt;&lt;record&gt;&lt;rec-number&gt;41&lt;/rec-number&gt;&lt;foreign-keys&gt;&lt;key app="EN" db-id="trfxzx057wwv0qe0vz1vttttwf0522tvtwpt" timestamp="1422126103"&gt;41&lt;/key&gt;&lt;/foreign-keys&gt;&lt;ref-type name="Thesis"&gt;32&lt;/ref-type&gt;&lt;contributors&gt;&lt;authors&gt;&lt;author&gt;Fensin, Michael Lorne&lt;/author&gt;&lt;/authors&gt;&lt;/contributors&gt;&lt;titles&gt;&lt;title&gt;Optimum Boiling Water Reactor Fuel Design Strategies to Enhance Reactor Shutdown by the Standby Liquid Control System&lt;/title&gt;&lt;/titles&gt;&lt;volume&gt;M.S.&lt;/volume&gt;&lt;dates&gt;&lt;year&gt;2004&lt;/year&gt;&lt;/dates&gt;&lt;publisher&gt;M.S. Thesis, University of Florida&lt;/publisher&gt;&lt;urls&gt;&lt;/urls&gt;&lt;/record&gt;&lt;/Cite&gt;&lt;/EndNote&gt;</w:instrText>
      </w:r>
      <w:r w:rsidR="00D00A8B">
        <w:rPr>
          <w:rFonts w:cs="Times New Roman"/>
          <w:szCs w:val="24"/>
        </w:rPr>
        <w:fldChar w:fldCharType="separate"/>
      </w:r>
      <w:r w:rsidR="00817846">
        <w:rPr>
          <w:rFonts w:cs="Times New Roman"/>
          <w:noProof/>
          <w:szCs w:val="24"/>
        </w:rPr>
        <w:t>[</w:t>
      </w:r>
      <w:hyperlink w:anchor="_ENREF_45" w:tooltip="Fensin, 2004 #41" w:history="1">
        <w:r w:rsidR="00DF20CB">
          <w:rPr>
            <w:rFonts w:cs="Times New Roman"/>
            <w:noProof/>
            <w:szCs w:val="24"/>
          </w:rPr>
          <w:t>45</w:t>
        </w:r>
      </w:hyperlink>
      <w:r w:rsidR="00817846">
        <w:rPr>
          <w:rFonts w:cs="Times New Roman"/>
          <w:noProof/>
          <w:szCs w:val="24"/>
        </w:rPr>
        <w:t>]</w:t>
      </w:r>
      <w:r w:rsidR="00D00A8B">
        <w:rPr>
          <w:rFonts w:cs="Times New Roman"/>
          <w:szCs w:val="24"/>
        </w:rPr>
        <w:fldChar w:fldCharType="end"/>
      </w:r>
      <w:r w:rsidR="0059358C">
        <w:rPr>
          <w:rFonts w:cs="Times New Roman"/>
          <w:szCs w:val="24"/>
        </w:rPr>
        <w:t xml:space="preserve"> </w:t>
      </w:r>
      <w:r w:rsidR="001F035F">
        <w:rPr>
          <w:rFonts w:cs="Times New Roman"/>
          <w:szCs w:val="24"/>
        </w:rPr>
        <w:t>which are shown in Figure 20</w:t>
      </w:r>
      <w:r>
        <w:rPr>
          <w:rFonts w:cs="Times New Roman"/>
          <w:szCs w:val="24"/>
        </w:rPr>
        <w:t>.</w:t>
      </w:r>
    </w:p>
    <w:p w14:paraId="76D1B23D" w14:textId="77777777" w:rsidR="007166EC" w:rsidRDefault="007166EC" w:rsidP="007166EC">
      <w:pPr>
        <w:spacing w:line="360" w:lineRule="auto"/>
        <w:jc w:val="both"/>
        <w:rPr>
          <w:rFonts w:cs="Times New Roman"/>
          <w:szCs w:val="24"/>
        </w:rPr>
      </w:pPr>
      <w:r>
        <w:rPr>
          <w:rFonts w:cs="Times New Roman"/>
          <w:szCs w:val="24"/>
        </w:rPr>
        <w:t xml:space="preserve">In </w:t>
      </w:r>
      <w:r>
        <w:t>Figure 20</w:t>
      </w:r>
      <w:r>
        <w:rPr>
          <w:rFonts w:cs="Times New Roman"/>
          <w:szCs w:val="24"/>
        </w:rPr>
        <w:t xml:space="preserve">a the blue bundles denoted with -1 represent fresh feed assemblies, while the yellow/orange and red cells represent once and twice burnt assemblies, respectively. Burnt assemblies are ranked from lowest to highest according to exposure. Consistent with most commercial US core designs, twice burnt assemblies that have been exposed the most are place on the periphery of the core. </w:t>
      </w:r>
    </w:p>
    <w:p w14:paraId="52D316C3" w14:textId="720A2A26" w:rsidR="007166EC" w:rsidRDefault="007166EC" w:rsidP="0091793B">
      <w:pPr>
        <w:spacing w:line="360" w:lineRule="auto"/>
        <w:jc w:val="both"/>
        <w:rPr>
          <w:rFonts w:cs="Times New Roman"/>
          <w:szCs w:val="24"/>
        </w:rPr>
      </w:pPr>
      <w:r>
        <w:rPr>
          <w:rFonts w:cs="Times New Roman"/>
          <w:szCs w:val="24"/>
        </w:rPr>
        <w:t>Exposure data was initially calculated for Zircaloy cladding with a thickness of 600 μm and a fuel pellet radius of 0.440 cm. When replacing Zircaloy with FeCrAl in the parametric study, the FeCrAl cladding was thinned to 300 μm which thus increased the pellet radius to 0.470 cm. By doing this, thermal absorptions would be reduced and the heavy metal loading in the core would increase. Therefore a correction factor m</w:t>
      </w:r>
      <w:r w:rsidR="007B5623">
        <w:rPr>
          <w:rFonts w:cs="Times New Roman"/>
          <w:szCs w:val="24"/>
        </w:rPr>
        <w:t>ultiplier was added to the</w:t>
      </w:r>
      <w:r>
        <w:rPr>
          <w:rFonts w:cs="Times New Roman"/>
          <w:szCs w:val="24"/>
        </w:rPr>
        <w:t xml:space="preserve"> </w:t>
      </w:r>
      <w:r w:rsidR="007B5623">
        <w:rPr>
          <w:rFonts w:cs="Times New Roman"/>
          <w:szCs w:val="24"/>
        </w:rPr>
        <w:t xml:space="preserve">radial </w:t>
      </w:r>
      <w:r>
        <w:rPr>
          <w:rFonts w:cs="Times New Roman"/>
          <w:szCs w:val="24"/>
        </w:rPr>
        <w:t xml:space="preserve">exposure map when </w:t>
      </w:r>
      <w:r>
        <w:rPr>
          <w:rFonts w:cs="Times New Roman"/>
          <w:szCs w:val="24"/>
        </w:rPr>
        <w:lastRenderedPageBreak/>
        <w:t>modeling FeCrAl. Values in the exposure file were thus multiplied by 0.440</w:t>
      </w:r>
      <w:r>
        <w:rPr>
          <w:rFonts w:cs="Times New Roman"/>
          <w:szCs w:val="24"/>
          <w:vertAlign w:val="superscript"/>
        </w:rPr>
        <w:t>2</w:t>
      </w:r>
      <w:r>
        <w:rPr>
          <w:rFonts w:cs="Times New Roman"/>
          <w:szCs w:val="24"/>
        </w:rPr>
        <w:t>/0.470</w:t>
      </w:r>
      <w:r>
        <w:rPr>
          <w:rFonts w:cs="Times New Roman"/>
          <w:szCs w:val="24"/>
          <w:vertAlign w:val="superscript"/>
        </w:rPr>
        <w:t xml:space="preserve">2 </w:t>
      </w:r>
      <w:r>
        <w:rPr>
          <w:rFonts w:cs="Times New Roman"/>
          <w:szCs w:val="24"/>
        </w:rPr>
        <w:t xml:space="preserve">to account for this increase in MTU. </w:t>
      </w:r>
    </w:p>
    <w:p w14:paraId="282DA4BA" w14:textId="77777777" w:rsidR="007166EC" w:rsidRDefault="007166EC" w:rsidP="0091793B">
      <w:pPr>
        <w:spacing w:line="360" w:lineRule="auto"/>
        <w:jc w:val="both"/>
        <w:rPr>
          <w:rFonts w:cs="Times New Roman"/>
          <w:szCs w:val="24"/>
        </w:rPr>
      </w:pPr>
    </w:p>
    <w:p w14:paraId="048EB8C3" w14:textId="77777777" w:rsidR="00A77931" w:rsidRPr="00A77931" w:rsidRDefault="00A77931" w:rsidP="00E95585">
      <w:pPr>
        <w:spacing w:line="240" w:lineRule="auto"/>
        <w:jc w:val="both"/>
        <w:rPr>
          <w:rFonts w:cs="Times New Roman"/>
          <w:szCs w:val="24"/>
        </w:rPr>
      </w:pPr>
      <w:proofErr w:type="gramStart"/>
      <w:r>
        <w:rPr>
          <w:rFonts w:cs="Times New Roman"/>
          <w:szCs w:val="24"/>
        </w:rPr>
        <w:t>a</w:t>
      </w:r>
      <w:proofErr w:type="gramEnd"/>
      <w:r>
        <w:rPr>
          <w:rFonts w:cs="Times New Roman"/>
          <w:szCs w:val="24"/>
        </w:rPr>
        <w:t xml:space="preserve">. </w:t>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r>
      <w:r>
        <w:rPr>
          <w:rFonts w:cs="Times New Roman"/>
          <w:szCs w:val="24"/>
        </w:rPr>
        <w:tab/>
        <w:t xml:space="preserve">     </w:t>
      </w:r>
      <w:r w:rsidR="00BB20C4">
        <w:rPr>
          <w:rFonts w:cs="Times New Roman"/>
          <w:szCs w:val="24"/>
        </w:rPr>
        <w:t xml:space="preserve">    </w:t>
      </w:r>
      <w:r w:rsidR="00582D61">
        <w:rPr>
          <w:rFonts w:cs="Times New Roman"/>
          <w:szCs w:val="24"/>
        </w:rPr>
        <w:t xml:space="preserve">         </w:t>
      </w:r>
      <w:r>
        <w:rPr>
          <w:rFonts w:cs="Times New Roman"/>
          <w:szCs w:val="24"/>
        </w:rPr>
        <w:t>b.</w:t>
      </w:r>
    </w:p>
    <w:p w14:paraId="7252CEA7" w14:textId="77777777" w:rsidR="00F21749" w:rsidRDefault="003039D3" w:rsidP="0091793B">
      <w:pPr>
        <w:spacing w:line="360" w:lineRule="auto"/>
        <w:jc w:val="both"/>
        <w:rPr>
          <w:rFonts w:cs="Times New Roman"/>
          <w:szCs w:val="24"/>
        </w:rPr>
      </w:pPr>
      <w:r>
        <w:rPr>
          <w:rFonts w:cs="Times New Roman"/>
          <w:noProof/>
          <w:szCs w:val="24"/>
        </w:rPr>
        <w:drawing>
          <wp:inline distT="0" distB="0" distL="0" distR="0" wp14:anchorId="6BB3F7DB" wp14:editId="72386C04">
            <wp:extent cx="3296093" cy="2443173"/>
            <wp:effectExtent l="0" t="0" r="0" b="0"/>
            <wp:docPr id="2073" name="Picture 2073" descr="C:\Users\Nathan\AppData\Local\Temp\scp55551\home\ngeorge3\ATF_BWR\Optimize_BWR\TheDesign\Shuffle\FeCrAl_600\plot_dir_laguna\plots\initial_cyc14_oper_00000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athan\AppData\Local\Temp\scp55551\home\ngeorge3\ATF_BWR\Optimize_BWR\TheDesign\Shuffle\FeCrAl_600\plot_dir_laguna\plots\initial_cyc14_oper_000005.png"/>
                    <pic:cNvPicPr>
                      <a:picLocks noChangeAspect="1" noChangeArrowheads="1"/>
                    </pic:cNvPicPr>
                  </pic:nvPicPr>
                  <pic:blipFill rotWithShape="1">
                    <a:blip r:embed="rId34">
                      <a:extLst>
                        <a:ext uri="{28A0092B-C50C-407E-A947-70E740481C1C}">
                          <a14:useLocalDpi xmlns:a14="http://schemas.microsoft.com/office/drawing/2010/main" val="0"/>
                        </a:ext>
                      </a:extLst>
                    </a:blip>
                    <a:srcRect r="10748"/>
                    <a:stretch/>
                  </pic:blipFill>
                  <pic:spPr bwMode="auto">
                    <a:xfrm>
                      <a:off x="0" y="0"/>
                      <a:ext cx="3303885" cy="2448949"/>
                    </a:xfrm>
                    <a:prstGeom prst="rect">
                      <a:avLst/>
                    </a:prstGeom>
                    <a:noFill/>
                    <a:ln>
                      <a:noFill/>
                    </a:ln>
                    <a:extLst>
                      <a:ext uri="{53640926-AAD7-44D8-BBD7-CCE9431645EC}">
                        <a14:shadowObscured xmlns:a14="http://schemas.microsoft.com/office/drawing/2010/main"/>
                      </a:ext>
                    </a:extLst>
                  </pic:spPr>
                </pic:pic>
              </a:graphicData>
            </a:graphic>
          </wp:inline>
        </w:drawing>
      </w:r>
      <w:r w:rsidR="00582D61">
        <w:rPr>
          <w:noProof/>
        </w:rPr>
        <w:drawing>
          <wp:inline distT="0" distB="0" distL="0" distR="0" wp14:anchorId="7994BF2C" wp14:editId="5A770693">
            <wp:extent cx="2434590" cy="2423795"/>
            <wp:effectExtent l="0" t="0" r="22860" b="14605"/>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6DCED740" w14:textId="77777777" w:rsidR="00BB20C4" w:rsidRDefault="0039764A" w:rsidP="0091793B">
      <w:pPr>
        <w:spacing w:line="360" w:lineRule="auto"/>
      </w:pPr>
      <w:bookmarkStart w:id="27" w:name="_Toc416993459"/>
      <w:r>
        <w:t xml:space="preserve">Figure </w:t>
      </w:r>
      <w:fldSimple w:instr=" SEQ Figure \* ARABIC ">
        <w:r w:rsidR="00F3244B">
          <w:rPr>
            <w:noProof/>
          </w:rPr>
          <w:t>20</w:t>
        </w:r>
      </w:fldSimple>
      <w:r>
        <w:t xml:space="preserve">: </w:t>
      </w:r>
      <w:r w:rsidRPr="00073A6B">
        <w:t>a) Radial Exposure Map of Representative BWR Core in units of MWd/MTU, b) Hot Axial Power Profile of DOM Region</w:t>
      </w:r>
      <w:bookmarkEnd w:id="27"/>
    </w:p>
    <w:p w14:paraId="33249262" w14:textId="77777777" w:rsidR="00E95585" w:rsidRDefault="00E95585" w:rsidP="0091793B">
      <w:pPr>
        <w:spacing w:line="360" w:lineRule="auto"/>
        <w:rPr>
          <w:rFonts w:cs="Times New Roman"/>
          <w:szCs w:val="24"/>
        </w:rPr>
      </w:pPr>
    </w:p>
    <w:p w14:paraId="7CC20646" w14:textId="77777777" w:rsidR="007166EC" w:rsidRDefault="00A06FD0" w:rsidP="007166EC">
      <w:pPr>
        <w:spacing w:line="360" w:lineRule="auto"/>
        <w:jc w:val="both"/>
        <w:rPr>
          <w:rFonts w:cs="Times New Roman"/>
          <w:szCs w:val="24"/>
        </w:rPr>
      </w:pPr>
      <w:r>
        <w:rPr>
          <w:rFonts w:cs="Times New Roman"/>
          <w:szCs w:val="24"/>
        </w:rPr>
        <w:t xml:space="preserve">With a power density </w:t>
      </w:r>
      <w:proofErr w:type="gramStart"/>
      <w:r>
        <w:rPr>
          <w:rFonts w:cs="Times New Roman"/>
          <w:szCs w:val="24"/>
        </w:rPr>
        <w:t>of 55.66 kw/l,</w:t>
      </w:r>
      <w:proofErr w:type="gramEnd"/>
      <w:r>
        <w:rPr>
          <w:rFonts w:cs="Times New Roman"/>
          <w:szCs w:val="24"/>
        </w:rPr>
        <w:t xml:space="preserve"> the total power of the representative core comes t</w:t>
      </w:r>
      <w:r w:rsidR="00506B4A">
        <w:rPr>
          <w:rFonts w:cs="Times New Roman"/>
          <w:szCs w:val="24"/>
        </w:rPr>
        <w:t xml:space="preserve">o 1910 mega-watt (MW) </w:t>
      </w:r>
      <w:r w:rsidR="001F035F">
        <w:rPr>
          <w:rFonts w:cs="Times New Roman"/>
          <w:szCs w:val="24"/>
        </w:rPr>
        <w:t>t</w:t>
      </w:r>
      <w:r w:rsidR="00506B4A">
        <w:rPr>
          <w:rFonts w:cs="Times New Roman"/>
          <w:szCs w:val="24"/>
        </w:rPr>
        <w:t>hermal</w:t>
      </w:r>
      <w:r w:rsidR="001F035F">
        <w:rPr>
          <w:rFonts w:cs="Times New Roman"/>
          <w:szCs w:val="24"/>
        </w:rPr>
        <w:t>. As shown in Figure 20</w:t>
      </w:r>
      <w:r w:rsidR="00812D95">
        <w:rPr>
          <w:rFonts w:cs="Times New Roman"/>
          <w:szCs w:val="24"/>
        </w:rPr>
        <w:t>a</w:t>
      </w:r>
      <w:r>
        <w:rPr>
          <w:rFonts w:cs="Times New Roman"/>
          <w:szCs w:val="24"/>
        </w:rPr>
        <w:t xml:space="preserve">, </w:t>
      </w:r>
      <w:r w:rsidR="00BA3C26">
        <w:rPr>
          <w:rFonts w:cs="Times New Roman"/>
          <w:szCs w:val="24"/>
        </w:rPr>
        <w:t xml:space="preserve">there are 111 fuel assemblies present in the quarter core exposure map which 4 times more bundles in a full core. </w:t>
      </w:r>
      <w:r>
        <w:rPr>
          <w:rFonts w:cs="Times New Roman"/>
          <w:szCs w:val="24"/>
        </w:rPr>
        <w:t xml:space="preserve">During the study, two different assembly types were used in the BWR core, both of which were comprised of a combination of axial zones from Figure </w:t>
      </w:r>
      <w:r w:rsidR="001F035F">
        <w:rPr>
          <w:rFonts w:cs="Times New Roman"/>
          <w:szCs w:val="24"/>
        </w:rPr>
        <w:t>19</w:t>
      </w:r>
      <w:r>
        <w:rPr>
          <w:rFonts w:cs="Times New Roman"/>
          <w:szCs w:val="24"/>
        </w:rPr>
        <w:t>.  The following figure represents the two different bundle configurations used in the study.</w:t>
      </w:r>
      <w:r w:rsidR="007166EC" w:rsidRPr="007166EC">
        <w:rPr>
          <w:rFonts w:cs="Times New Roman"/>
          <w:szCs w:val="24"/>
        </w:rPr>
        <w:t xml:space="preserve"> </w:t>
      </w:r>
    </w:p>
    <w:p w14:paraId="6ECB2303" w14:textId="54F37183" w:rsidR="007166EC" w:rsidRDefault="007166EC" w:rsidP="007166EC">
      <w:pPr>
        <w:spacing w:line="360" w:lineRule="auto"/>
        <w:jc w:val="both"/>
        <w:rPr>
          <w:rFonts w:cs="Times New Roman"/>
          <w:szCs w:val="24"/>
        </w:rPr>
      </w:pPr>
      <w:r>
        <w:rPr>
          <w:rFonts w:cs="Times New Roman"/>
          <w:szCs w:val="24"/>
        </w:rPr>
        <w:t>Althou</w:t>
      </w:r>
      <w:r w:rsidR="007B5623">
        <w:rPr>
          <w:rFonts w:cs="Times New Roman"/>
          <w:szCs w:val="24"/>
        </w:rPr>
        <w:t xml:space="preserve">gh the </w:t>
      </w:r>
      <w:r>
        <w:rPr>
          <w:rFonts w:cs="Times New Roman"/>
          <w:szCs w:val="24"/>
        </w:rPr>
        <w:t xml:space="preserve">assemblies are very similar, there is one distinct difference between the two, and that is the power shaping zone. This region contains more gadolinium rods than that of the dominant region, making it useful for suppressing reactivity in the bottom of the core. In core design, these varying assemblies are strategically placed in the core to minimize power peaking. </w:t>
      </w:r>
      <w:r>
        <w:rPr>
          <w:rFonts w:cs="Times New Roman"/>
          <w:szCs w:val="24"/>
        </w:rPr>
        <w:lastRenderedPageBreak/>
        <w:t>Therefore a quick study was performed by running multiple arrays with varying assembly configurations. Although numerous cases were depleted in NESTLE, th</w:t>
      </w:r>
      <w:r w:rsidR="009120DE">
        <w:rPr>
          <w:rFonts w:cs="Times New Roman"/>
          <w:szCs w:val="24"/>
        </w:rPr>
        <w:t>e following four are shown</w:t>
      </w:r>
      <w:r>
        <w:rPr>
          <w:rFonts w:cs="Times New Roman"/>
          <w:szCs w:val="24"/>
        </w:rPr>
        <w:t xml:space="preserve"> in Figure 22. T</w:t>
      </w:r>
      <w:r w:rsidRPr="00FD2EFD">
        <w:rPr>
          <w:rFonts w:cs="Times New Roman"/>
          <w:szCs w:val="24"/>
        </w:rPr>
        <w:t xml:space="preserve">he radial nodes denoted with the numbers 1 and 2 represent assembly type 1 and type 2. Cells listed with the number 3 represent reflector assemblies </w:t>
      </w:r>
      <w:r>
        <w:rPr>
          <w:rFonts w:cs="Times New Roman"/>
          <w:szCs w:val="24"/>
        </w:rPr>
        <w:t xml:space="preserve">consisting of water </w:t>
      </w:r>
      <w:r w:rsidRPr="00FD2EFD">
        <w:rPr>
          <w:rFonts w:cs="Times New Roman"/>
          <w:szCs w:val="24"/>
        </w:rPr>
        <w:t>that surround the periphery of the active fuel region.</w:t>
      </w:r>
    </w:p>
    <w:p w14:paraId="1C374F89" w14:textId="77777777" w:rsidR="007166EC" w:rsidRDefault="007166EC" w:rsidP="007166EC">
      <w:pPr>
        <w:spacing w:line="360" w:lineRule="auto"/>
        <w:jc w:val="both"/>
        <w:rPr>
          <w:rFonts w:cs="Times New Roman"/>
          <w:szCs w:val="24"/>
        </w:rPr>
      </w:pPr>
      <w:r>
        <w:rPr>
          <w:rFonts w:cs="Times New Roman"/>
          <w:szCs w:val="24"/>
        </w:rPr>
        <w:t>The two different assembly designs containing Zircaloy cladding/</w:t>
      </w:r>
      <w:r w:rsidRPr="00F155F8">
        <w:rPr>
          <w:rFonts w:cs="Times New Roman"/>
          <w:szCs w:val="24"/>
        </w:rPr>
        <w:t>channel box</w:t>
      </w:r>
      <w:r>
        <w:rPr>
          <w:rFonts w:cs="Times New Roman"/>
          <w:szCs w:val="24"/>
        </w:rPr>
        <w:t xml:space="preserve">es were shuffled radially and re-run in NESTLE in order to investigate the relative peaking factors and reactivity lifetime. After numerous iterations, it was concluded that Case 3 was the most suitable core design in minimizing relative peaking factors and extending the EFPD reached. For the remainder of the investigation, Case 3 was used when comparing bundles with alternate cladding material to that of the Zircaloy base case model. </w:t>
      </w:r>
    </w:p>
    <w:p w14:paraId="719BAAF8" w14:textId="77777777" w:rsidR="00E95585" w:rsidRDefault="00E95585" w:rsidP="0091793B">
      <w:pPr>
        <w:spacing w:line="360" w:lineRule="auto"/>
        <w:jc w:val="both"/>
        <w:rPr>
          <w:rFonts w:cs="Times New Roman"/>
          <w:szCs w:val="24"/>
        </w:rPr>
      </w:pPr>
    </w:p>
    <w:p w14:paraId="7BFAE9AC" w14:textId="77777777" w:rsidR="002C4114" w:rsidRDefault="002C4114" w:rsidP="0091793B">
      <w:pPr>
        <w:spacing w:line="360" w:lineRule="auto"/>
        <w:rPr>
          <w:rFonts w:cs="Times New Roman"/>
          <w:szCs w:val="24"/>
        </w:rPr>
      </w:pPr>
      <w:r>
        <w:rPr>
          <w:rFonts w:cs="Times New Roman"/>
          <w:noProof/>
          <w:szCs w:val="24"/>
        </w:rPr>
        <w:drawing>
          <wp:inline distT="0" distB="0" distL="0" distR="0" wp14:anchorId="23441E87" wp14:editId="4BDA1503">
            <wp:extent cx="4548250" cy="3807039"/>
            <wp:effectExtent l="0" t="0" r="5080" b="3175"/>
            <wp:docPr id="7179" name="Picture 7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567879" cy="3823469"/>
                    </a:xfrm>
                    <a:prstGeom prst="rect">
                      <a:avLst/>
                    </a:prstGeom>
                    <a:noFill/>
                  </pic:spPr>
                </pic:pic>
              </a:graphicData>
            </a:graphic>
          </wp:inline>
        </w:drawing>
      </w:r>
    </w:p>
    <w:p w14:paraId="63E355CE" w14:textId="77777777" w:rsidR="002C4114" w:rsidRDefault="009E4E51" w:rsidP="0091793B">
      <w:pPr>
        <w:spacing w:line="360" w:lineRule="auto"/>
      </w:pPr>
      <w:bookmarkStart w:id="28" w:name="_Toc416993460"/>
      <w:r>
        <w:t xml:space="preserve">Figure </w:t>
      </w:r>
      <w:fldSimple w:instr=" SEQ Figure \* ARABIC ">
        <w:r w:rsidR="00F3244B">
          <w:rPr>
            <w:noProof/>
          </w:rPr>
          <w:t>21</w:t>
        </w:r>
      </w:fldSimple>
      <w:r>
        <w:t xml:space="preserve">: </w:t>
      </w:r>
      <w:r w:rsidR="00504F2D">
        <w:t>Axial zone configuration per bundle t</w:t>
      </w:r>
      <w:r w:rsidRPr="00BF7BFD">
        <w:t>ype</w:t>
      </w:r>
      <w:bookmarkEnd w:id="28"/>
    </w:p>
    <w:p w14:paraId="29E721DC" w14:textId="77777777" w:rsidR="00C7730B" w:rsidRDefault="00C7730B" w:rsidP="0091793B">
      <w:pPr>
        <w:spacing w:line="360" w:lineRule="auto"/>
        <w:rPr>
          <w:rFonts w:cs="Times New Roman"/>
          <w:szCs w:val="24"/>
        </w:rPr>
      </w:pPr>
    </w:p>
    <w:p w14:paraId="230AC4B9" w14:textId="77777777" w:rsidR="00C7730B" w:rsidRDefault="007808A1" w:rsidP="0091793B">
      <w:pPr>
        <w:spacing w:line="360" w:lineRule="auto"/>
        <w:rPr>
          <w:rFonts w:cs="Times New Roman"/>
          <w:szCs w:val="24"/>
        </w:rPr>
      </w:pPr>
      <w:r>
        <w:rPr>
          <w:rFonts w:cs="Times New Roman"/>
          <w:noProof/>
          <w:szCs w:val="24"/>
        </w:rPr>
        <w:drawing>
          <wp:inline distT="0" distB="0" distL="0" distR="0" wp14:anchorId="3AE3AC40" wp14:editId="4B53E12D">
            <wp:extent cx="5878286" cy="4932500"/>
            <wp:effectExtent l="0" t="0" r="825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5879757" cy="4933734"/>
                    </a:xfrm>
                    <a:prstGeom prst="rect">
                      <a:avLst/>
                    </a:prstGeom>
                    <a:noFill/>
                  </pic:spPr>
                </pic:pic>
              </a:graphicData>
            </a:graphic>
          </wp:inline>
        </w:drawing>
      </w:r>
    </w:p>
    <w:p w14:paraId="6F29B1D7" w14:textId="77777777" w:rsidR="00C7730B" w:rsidRDefault="009E4E51" w:rsidP="0091793B">
      <w:pPr>
        <w:spacing w:line="360" w:lineRule="auto"/>
      </w:pPr>
      <w:bookmarkStart w:id="29" w:name="_Toc416993461"/>
      <w:r>
        <w:t xml:space="preserve">Figure </w:t>
      </w:r>
      <w:fldSimple w:instr=" SEQ Figure \* ARABIC ">
        <w:r w:rsidR="00F3244B">
          <w:rPr>
            <w:noProof/>
          </w:rPr>
          <w:t>22</w:t>
        </w:r>
      </w:fldSimple>
      <w:r>
        <w:t xml:space="preserve">: </w:t>
      </w:r>
      <w:r w:rsidRPr="00FF7D32">
        <w:t>Assembly Configuration Optimization</w:t>
      </w:r>
      <w:bookmarkEnd w:id="29"/>
    </w:p>
    <w:p w14:paraId="1F09B553" w14:textId="77777777" w:rsidR="00E95585" w:rsidRDefault="00E95585" w:rsidP="0091793B">
      <w:pPr>
        <w:spacing w:line="360" w:lineRule="auto"/>
        <w:jc w:val="both"/>
        <w:rPr>
          <w:rFonts w:cs="Times New Roman"/>
          <w:szCs w:val="24"/>
        </w:rPr>
      </w:pPr>
    </w:p>
    <w:p w14:paraId="527DF7F5" w14:textId="5927152B" w:rsidR="003F5DB8" w:rsidRPr="00B916FB" w:rsidRDefault="00893519" w:rsidP="0091793B">
      <w:pPr>
        <w:spacing w:line="360" w:lineRule="auto"/>
        <w:jc w:val="both"/>
        <w:rPr>
          <w:rFonts w:cs="Times New Roman"/>
          <w:b/>
          <w:szCs w:val="24"/>
        </w:rPr>
      </w:pPr>
      <w:r w:rsidRPr="00B916FB">
        <w:rPr>
          <w:rFonts w:cs="Times New Roman"/>
          <w:b/>
          <w:szCs w:val="24"/>
        </w:rPr>
        <w:t>IV.C</w:t>
      </w:r>
      <w:r w:rsidR="004A3C65" w:rsidRPr="00B916FB">
        <w:rPr>
          <w:rFonts w:cs="Times New Roman"/>
          <w:b/>
          <w:szCs w:val="24"/>
        </w:rPr>
        <w:t xml:space="preserve">.3. </w:t>
      </w:r>
      <w:r w:rsidR="001D553C">
        <w:rPr>
          <w:rFonts w:cs="Times New Roman"/>
          <w:b/>
          <w:szCs w:val="24"/>
        </w:rPr>
        <w:tab/>
      </w:r>
      <w:r w:rsidR="004A3C65" w:rsidRPr="00B916FB">
        <w:rPr>
          <w:rFonts w:cs="Times New Roman"/>
          <w:b/>
          <w:szCs w:val="24"/>
        </w:rPr>
        <w:t>Alternate Cladding Full-Core Parametric Study</w:t>
      </w:r>
    </w:p>
    <w:p w14:paraId="459E64CB" w14:textId="77777777" w:rsidR="00B916FB" w:rsidRDefault="00B916FB" w:rsidP="0091793B">
      <w:pPr>
        <w:spacing w:line="360" w:lineRule="auto"/>
        <w:jc w:val="both"/>
        <w:rPr>
          <w:rFonts w:cs="Times New Roman"/>
          <w:szCs w:val="24"/>
        </w:rPr>
      </w:pPr>
      <w:r>
        <w:rPr>
          <w:rFonts w:cs="Times New Roman"/>
          <w:szCs w:val="24"/>
        </w:rPr>
        <w:t xml:space="preserve">Once a full-core BWR base case model was established, a parametric study using NESTLE could be done with FeCrAl. Initially, depletion was performed with the same fuel design, by replacing Zircaloy for FeCrAl without changes to enrichment, cladding or </w:t>
      </w:r>
      <w:r w:rsidR="00F155F8" w:rsidRPr="00F155F8">
        <w:rPr>
          <w:rFonts w:cs="Times New Roman"/>
          <w:szCs w:val="24"/>
        </w:rPr>
        <w:t>channel box</w:t>
      </w:r>
      <w:r>
        <w:rPr>
          <w:rFonts w:cs="Times New Roman"/>
          <w:szCs w:val="24"/>
        </w:rPr>
        <w:t xml:space="preserve"> thickness. After performing an uncontrolled/excess reactivity calculation at BOC, k-effective values </w:t>
      </w:r>
      <w:r>
        <w:rPr>
          <w:rFonts w:cs="Times New Roman"/>
          <w:szCs w:val="24"/>
        </w:rPr>
        <w:lastRenderedPageBreak/>
        <w:t xml:space="preserve">resulted subcritical. This was expected in light of the lattice physics results previously performed for the EOC reactivity method. Therefore, similar to the 2D analysis, the cladding and </w:t>
      </w:r>
      <w:r w:rsidR="00F155F8" w:rsidRPr="00F155F8">
        <w:rPr>
          <w:rFonts w:cs="Times New Roman"/>
          <w:szCs w:val="24"/>
        </w:rPr>
        <w:t>channel box</w:t>
      </w:r>
      <w:r>
        <w:rPr>
          <w:rFonts w:cs="Times New Roman"/>
          <w:szCs w:val="24"/>
        </w:rPr>
        <w:t xml:space="preserve"> thicknesses were reduced, while enrichment and pellet diameter of the UO</w:t>
      </w:r>
      <w:r>
        <w:rPr>
          <w:rFonts w:cs="Times New Roman"/>
          <w:szCs w:val="24"/>
          <w:vertAlign w:val="subscript"/>
        </w:rPr>
        <w:t>2</w:t>
      </w:r>
      <w:r>
        <w:rPr>
          <w:rFonts w:cs="Times New Roman"/>
          <w:szCs w:val="24"/>
        </w:rPr>
        <w:t xml:space="preserve"> fuel were increased to match the cycle length of the full-core Zircaloy base case. </w:t>
      </w:r>
    </w:p>
    <w:p w14:paraId="688DA413" w14:textId="77777777" w:rsidR="00B916FB" w:rsidRDefault="00B916FB" w:rsidP="0091793B">
      <w:pPr>
        <w:spacing w:line="360" w:lineRule="auto"/>
        <w:jc w:val="both"/>
        <w:rPr>
          <w:rFonts w:cs="Times New Roman"/>
          <w:szCs w:val="24"/>
        </w:rPr>
      </w:pPr>
      <w:r>
        <w:rPr>
          <w:rFonts w:cs="Times New Roman"/>
          <w:szCs w:val="24"/>
        </w:rPr>
        <w:t xml:space="preserve">For each modification to the fuel design during the parametric study, new 2D lattice physics calculations were run for each of the 3 major axial zones to produce updated cross-section data. With the updated cross-section data, the FeCrAl full-core models were re-run until the EOC k-effective equaled that of the Zircaloy base case EOC k-effective, thus matching cycle lengths. The goal of this full-core parametric study was to establish the same bundle modifications in the FeCrAl bundles that were required in the 2D EOC Reactivity Method. Although exact matches were not expected, if similar results were recorded, then the EOC Reactivity Method would be considered verified as a quicker and useful scoping tool than full core calculations. </w:t>
      </w:r>
    </w:p>
    <w:p w14:paraId="6D4C47EA" w14:textId="24C900F6" w:rsidR="00E95585" w:rsidRDefault="00B916FB" w:rsidP="0091793B">
      <w:pPr>
        <w:spacing w:line="360" w:lineRule="auto"/>
        <w:jc w:val="both"/>
        <w:rPr>
          <w:rFonts w:cs="Times New Roman"/>
          <w:szCs w:val="24"/>
        </w:rPr>
      </w:pPr>
      <w:r>
        <w:rPr>
          <w:rFonts w:cs="Times New Roman"/>
          <w:szCs w:val="24"/>
        </w:rPr>
        <w:t xml:space="preserve">If alternate cladding materials were to be commercialized, nuclear utilities would not be in favor of large scale changes to the operation of the reactor. Thus, aside from the lattice physics models used to generate the lattice cross-sections and the exposure data (for thinned cladding), the full-core NESTLE model was not otherwise altered when modeling FeCrAl. Since all of the cases run maintained the same outer diameter of the fuel rod, thermal hydraulic parameters were assumed constant for both Zircaloy and FeCrAl models. Initially, an identical </w:t>
      </w:r>
      <w:r w:rsidR="00D65CDA">
        <w:rPr>
          <w:rFonts w:cs="Times New Roman"/>
          <w:szCs w:val="24"/>
        </w:rPr>
        <w:t>LP</w:t>
      </w:r>
      <w:r w:rsidR="001F035F">
        <w:rPr>
          <w:rFonts w:cs="Times New Roman"/>
          <w:szCs w:val="24"/>
        </w:rPr>
        <w:t xml:space="preserve"> shown in case 3 of Figure </w:t>
      </w:r>
      <w:r w:rsidR="00563708">
        <w:rPr>
          <w:rFonts w:cs="Times New Roman"/>
          <w:szCs w:val="24"/>
        </w:rPr>
        <w:t>22</w:t>
      </w:r>
      <w:r>
        <w:rPr>
          <w:rFonts w:cs="Times New Roman"/>
          <w:szCs w:val="24"/>
        </w:rPr>
        <w:t xml:space="preserve"> was used for the FeCrAl full-core model as well. These factors were kept constant in order to establish a consistent comparis</w:t>
      </w:r>
      <w:r w:rsidR="007166EC">
        <w:rPr>
          <w:rFonts w:cs="Times New Roman"/>
          <w:szCs w:val="24"/>
        </w:rPr>
        <w:t xml:space="preserve">on between the cladding types. </w:t>
      </w:r>
    </w:p>
    <w:p w14:paraId="226FD3D2" w14:textId="4B63EE09" w:rsidR="001C163F" w:rsidRDefault="00893519" w:rsidP="0091793B">
      <w:pPr>
        <w:spacing w:line="360" w:lineRule="auto"/>
        <w:jc w:val="both"/>
        <w:rPr>
          <w:rFonts w:cs="Times New Roman"/>
          <w:b/>
          <w:szCs w:val="24"/>
        </w:rPr>
      </w:pPr>
      <w:r>
        <w:rPr>
          <w:rFonts w:cs="Times New Roman"/>
          <w:b/>
          <w:szCs w:val="24"/>
        </w:rPr>
        <w:t>IV.C</w:t>
      </w:r>
      <w:r w:rsidR="005434B2" w:rsidRPr="005434B2">
        <w:rPr>
          <w:rFonts w:cs="Times New Roman"/>
          <w:b/>
          <w:szCs w:val="24"/>
        </w:rPr>
        <w:t>.</w:t>
      </w:r>
      <w:r w:rsidR="005434B2">
        <w:rPr>
          <w:rFonts w:cs="Times New Roman"/>
          <w:b/>
          <w:szCs w:val="24"/>
        </w:rPr>
        <w:t>4</w:t>
      </w:r>
      <w:r w:rsidR="005434B2" w:rsidRPr="005434B2">
        <w:rPr>
          <w:rFonts w:cs="Times New Roman"/>
          <w:b/>
          <w:szCs w:val="24"/>
        </w:rPr>
        <w:t xml:space="preserve"> </w:t>
      </w:r>
      <w:r w:rsidR="001D553C">
        <w:rPr>
          <w:rFonts w:cs="Times New Roman"/>
          <w:b/>
          <w:szCs w:val="24"/>
        </w:rPr>
        <w:tab/>
      </w:r>
      <w:r w:rsidR="00BC4622">
        <w:rPr>
          <w:rFonts w:cs="Times New Roman"/>
          <w:b/>
          <w:szCs w:val="24"/>
        </w:rPr>
        <w:t>Loading</w:t>
      </w:r>
      <w:r w:rsidR="005434B2" w:rsidRPr="005434B2">
        <w:rPr>
          <w:rFonts w:cs="Times New Roman"/>
          <w:b/>
          <w:szCs w:val="24"/>
        </w:rPr>
        <w:t xml:space="preserve"> and Control Blade</w:t>
      </w:r>
      <w:r w:rsidR="00BC4622">
        <w:rPr>
          <w:rFonts w:cs="Times New Roman"/>
          <w:b/>
          <w:szCs w:val="24"/>
        </w:rPr>
        <w:t xml:space="preserve"> Pattern</w:t>
      </w:r>
      <w:r w:rsidR="005434B2" w:rsidRPr="005434B2">
        <w:rPr>
          <w:rFonts w:cs="Times New Roman"/>
          <w:b/>
          <w:szCs w:val="24"/>
        </w:rPr>
        <w:t xml:space="preserve"> Optimization</w:t>
      </w:r>
    </w:p>
    <w:p w14:paraId="371DE3D9" w14:textId="77777777" w:rsidR="00303E50" w:rsidRDefault="00303E50" w:rsidP="0091793B">
      <w:pPr>
        <w:spacing w:line="360" w:lineRule="auto"/>
        <w:jc w:val="both"/>
        <w:rPr>
          <w:rFonts w:cs="Times New Roman"/>
          <w:szCs w:val="24"/>
        </w:rPr>
      </w:pPr>
      <w:r>
        <w:rPr>
          <w:rFonts w:cs="Times New Roman"/>
          <w:szCs w:val="24"/>
        </w:rPr>
        <w:t xml:space="preserve">The full-core parametric study described above was used to determine the changes required of the FeCrAl fuel bundles to match cycle length requirements of the Zircaloy base case. However this base case consists of an assembly optimization pattern designed for a Zircaloy core. Therefore, in order to further optimize the FeCrAl core design neutronically, a unique </w:t>
      </w:r>
      <w:r w:rsidR="00D65CDA">
        <w:rPr>
          <w:rFonts w:cs="Times New Roman"/>
          <w:szCs w:val="24"/>
        </w:rPr>
        <w:t>LP was established using LWROpt</w:t>
      </w:r>
      <w:r>
        <w:rPr>
          <w:rFonts w:cs="Times New Roman"/>
          <w:szCs w:val="24"/>
        </w:rPr>
        <w:t xml:space="preserve">, a computer code for optimizing assembly loading and </w:t>
      </w:r>
      <w:r w:rsidR="006224E8">
        <w:rPr>
          <w:rFonts w:cs="Times New Roman"/>
          <w:szCs w:val="24"/>
        </w:rPr>
        <w:t>CB</w:t>
      </w:r>
      <w:r>
        <w:rPr>
          <w:rFonts w:cs="Times New Roman"/>
          <w:szCs w:val="24"/>
        </w:rPr>
        <w:t xml:space="preserve"> patterns developed by Dr. Keith Ottinger from the University of Tennessee. LWROpt uses parallel simulated annealing for LP optimization and evaluates candidate LPs with NESTLE. Since </w:t>
      </w:r>
      <w:r>
        <w:rPr>
          <w:rFonts w:cs="Times New Roman"/>
          <w:szCs w:val="24"/>
        </w:rPr>
        <w:lastRenderedPageBreak/>
        <w:t xml:space="preserve">LWROpt is parallel, large numbers of nodal simulations can be performed until a near optimum core design is found.  The quality of a LP is determined by an objective function (OF), which is calculated based on a number of weighted constraints: k-effective, nodal and radial exposure, nodal and radial relative power fraction (RPF) and assembly expense. The CB optimization uses the same OF as the LP search to evaluate candidate CB patterns but uses heuristic rules to generate CB movements.    </w:t>
      </w:r>
    </w:p>
    <w:p w14:paraId="10BADD64" w14:textId="5C369AFA" w:rsidR="00303E50" w:rsidRDefault="00303E50" w:rsidP="0091793B">
      <w:pPr>
        <w:spacing w:line="360" w:lineRule="auto"/>
        <w:jc w:val="both"/>
        <w:rPr>
          <w:rFonts w:cs="Times New Roman"/>
          <w:szCs w:val="24"/>
        </w:rPr>
      </w:pPr>
      <w:r>
        <w:rPr>
          <w:rFonts w:cs="Times New Roman"/>
          <w:szCs w:val="24"/>
        </w:rPr>
        <w:t>It was determined that for this analysis, optimizing loading and CB patterns for multiple cycles simultaneously would be too computationally expensive. Therefore, the equilibrium representative BWR core for FeCrAl was initially optimized by shuffling the assembly LP, and was followed by a separate CB pattern optimization. The objective of the shuffle optimization was to  find the LP with the highest possible EOC k-effective value while maintaining reasonably low RPFs. Using the Haling depletion option, a single depletion step was used for the entire cycle by assuming a constant power profile or “Haling Power Distribution”</w:t>
      </w:r>
      <w:r w:rsidR="00DF20CB" w:rsidRPr="00DF20CB">
        <w:rPr>
          <w:rFonts w:cs="Times New Roman"/>
          <w:szCs w:val="24"/>
        </w:rPr>
        <w:t xml:space="preserve"> </w:t>
      </w:r>
      <w:r w:rsidR="00DF20CB">
        <w:rPr>
          <w:rFonts w:cs="Times New Roman"/>
          <w:szCs w:val="24"/>
        </w:rPr>
        <w:fldChar w:fldCharType="begin"/>
      </w:r>
      <w:r w:rsidR="00DF20CB">
        <w:rPr>
          <w:rFonts w:cs="Times New Roman"/>
          <w:szCs w:val="24"/>
        </w:rPr>
        <w:instrText xml:space="preserve"> ADDIN EN.CITE &lt;EndNote&gt;&lt;Cite&gt;&lt;Author&gt;Ottinger&lt;/Author&gt;&lt;Year&gt;2014&lt;/Year&gt;&lt;RecNum&gt;107&lt;/RecNum&gt;&lt;DisplayText&gt;[53]&lt;/DisplayText&gt;&lt;record&gt;&lt;rec-number&gt;107&lt;/rec-number&gt;&lt;foreign-keys&gt;&lt;key app="EN" db-id="trfxzx057wwv0qe0vz1vttttwf0522tvtwpt" timestamp="1422994808"&gt;107&lt;/key&gt;&lt;/foreign-keys&gt;&lt;ref-type name="Journal Article"&gt;17&lt;/ref-type&gt;&lt;contributors&gt;&lt;authors&gt;&lt;author&gt;Ottinger, Keith Everette&lt;/author&gt;&lt;/authors&gt;&lt;/contributors&gt;&lt;titles&gt;&lt;title&gt;Multi-cycle boiling water reactor fuel cycle optimization&lt;/title&gt;&lt;/titles&gt;&lt;dates&gt;&lt;year&gt;2014&lt;/year&gt;&lt;/dates&gt;&lt;urls&gt;&lt;/urls&gt;&lt;/record&gt;&lt;/Cite&gt;&lt;/EndNote&gt;</w:instrText>
      </w:r>
      <w:r w:rsidR="00DF20CB">
        <w:rPr>
          <w:rFonts w:cs="Times New Roman"/>
          <w:szCs w:val="24"/>
        </w:rPr>
        <w:fldChar w:fldCharType="separate"/>
      </w:r>
      <w:r w:rsidR="00DF20CB">
        <w:rPr>
          <w:rFonts w:cs="Times New Roman"/>
          <w:noProof/>
          <w:szCs w:val="24"/>
        </w:rPr>
        <w:t>[</w:t>
      </w:r>
      <w:hyperlink w:anchor="_ENREF_53" w:tooltip="Ottinger, 2014 #107" w:history="1">
        <w:r w:rsidR="00DF20CB">
          <w:rPr>
            <w:rFonts w:cs="Times New Roman"/>
            <w:noProof/>
            <w:szCs w:val="24"/>
          </w:rPr>
          <w:t>53</w:t>
        </w:r>
      </w:hyperlink>
      <w:r w:rsidR="00DF20CB">
        <w:rPr>
          <w:rFonts w:cs="Times New Roman"/>
          <w:noProof/>
          <w:szCs w:val="24"/>
        </w:rPr>
        <w:t>]</w:t>
      </w:r>
      <w:r w:rsidR="00DF20CB">
        <w:rPr>
          <w:rFonts w:cs="Times New Roman"/>
          <w:szCs w:val="24"/>
        </w:rPr>
        <w:fldChar w:fldCharType="end"/>
      </w:r>
      <w:r>
        <w:rPr>
          <w:rFonts w:cs="Times New Roman"/>
          <w:szCs w:val="24"/>
        </w:rPr>
        <w:t xml:space="preserve">. </w:t>
      </w:r>
    </w:p>
    <w:p w14:paraId="0DEEE7AA" w14:textId="4DB2DBD0" w:rsidR="00303E50" w:rsidRDefault="00303E50" w:rsidP="0091793B">
      <w:pPr>
        <w:spacing w:line="360" w:lineRule="auto"/>
        <w:jc w:val="both"/>
        <w:rPr>
          <w:rFonts w:cs="Times New Roman"/>
          <w:szCs w:val="24"/>
        </w:rPr>
      </w:pPr>
      <w:r>
        <w:rPr>
          <w:rFonts w:cs="Times New Roman"/>
          <w:szCs w:val="24"/>
        </w:rPr>
        <w:t>Since LWROpt does not consider start up and shutdown reactivity margins, some optimized LPs contained clusters of fresh feed assemblies. Therefore, in order to optimize the configuration on a small scale (moving a few assemblies by hand), a python graphical user interface (GUI) was created that allows the user to move assemblies one at a time. By parsing the NESLTE input and exposure files the GUI creates an initial LP, assemblies can then be added, removed and/or exchanged by dragging and dropping and a new input and exposure file can be generated and evaluated in NESTLE. Figure 23 shows a screenshot of a LP being manipulated with the GUI.</w:t>
      </w:r>
    </w:p>
    <w:p w14:paraId="39B71741" w14:textId="05CC179B" w:rsidR="007166EC" w:rsidRDefault="007166EC" w:rsidP="0091793B">
      <w:pPr>
        <w:spacing w:line="360" w:lineRule="auto"/>
        <w:jc w:val="both"/>
        <w:rPr>
          <w:rFonts w:cs="Times New Roman"/>
          <w:szCs w:val="24"/>
        </w:rPr>
      </w:pPr>
      <w:r>
        <w:rPr>
          <w:rFonts w:cs="Times New Roman"/>
          <w:szCs w:val="24"/>
        </w:rPr>
        <w:t>Once a shuffle pattern was established that maximized the cycle length, enrichment levels of the FeCrAl lattice could be lowered again to match the Zircaloy base case cycle length. One of the primary objectives of this dissertation was to minimize the high level of enrichment required of the FeCrAl bundles while still maintaining a proper cycle length.</w:t>
      </w:r>
    </w:p>
    <w:p w14:paraId="392AF323" w14:textId="77777777" w:rsidR="007166EC" w:rsidRDefault="007166EC" w:rsidP="007166EC">
      <w:pPr>
        <w:spacing w:line="360" w:lineRule="auto"/>
        <w:jc w:val="both"/>
        <w:rPr>
          <w:rFonts w:cs="Times New Roman"/>
          <w:szCs w:val="24"/>
        </w:rPr>
      </w:pPr>
      <w:r>
        <w:rPr>
          <w:rFonts w:cs="Times New Roman"/>
          <w:szCs w:val="24"/>
        </w:rPr>
        <w:t xml:space="preserve">Once the LP for the FeCrAl core was finalized, CB optimization for the FeCrAl and Zircaloy cores was performed. Using the CB search algorithm in LWROpt, the CBs were divided into four separate banks which were rotated with one bank being used to control the core for each depletion step. Figure 24 shows the location of the cruciform CBs color-coded according to their </w:t>
      </w:r>
      <w:r>
        <w:rPr>
          <w:rFonts w:cs="Times New Roman"/>
          <w:szCs w:val="24"/>
        </w:rPr>
        <w:lastRenderedPageBreak/>
        <w:t>CB bank for a quarter core model. Blades were inserted axially at 6-inch intervals consistent with standard commercial operation for BWRs of this size.</w:t>
      </w:r>
    </w:p>
    <w:p w14:paraId="01B24D6F" w14:textId="77777777" w:rsidR="007166EC" w:rsidRDefault="007166EC" w:rsidP="007166EC">
      <w:pPr>
        <w:spacing w:line="360" w:lineRule="auto"/>
        <w:jc w:val="both"/>
        <w:rPr>
          <w:rFonts w:cs="Times New Roman"/>
          <w:szCs w:val="24"/>
        </w:rPr>
      </w:pPr>
    </w:p>
    <w:p w14:paraId="213A0CD9" w14:textId="77777777" w:rsidR="00303E50" w:rsidRDefault="00303E50" w:rsidP="0091793B">
      <w:pPr>
        <w:spacing w:line="360" w:lineRule="auto"/>
        <w:rPr>
          <w:rFonts w:cs="Times New Roman"/>
          <w:szCs w:val="24"/>
        </w:rPr>
      </w:pPr>
      <w:r w:rsidRPr="00AA6BEF">
        <w:rPr>
          <w:rFonts w:cs="Times New Roman"/>
          <w:noProof/>
          <w:szCs w:val="24"/>
        </w:rPr>
        <w:drawing>
          <wp:inline distT="0" distB="0" distL="0" distR="0" wp14:anchorId="6BF25196" wp14:editId="4A30EA51">
            <wp:extent cx="3466214" cy="3047795"/>
            <wp:effectExtent l="0" t="0" r="1270" b="635"/>
            <wp:docPr id="205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 name="Picture 4"/>
                    <pic:cNvPicPr>
                      <a:picLocks noChangeAspect="1" noChangeArrowheads="1"/>
                    </pic:cNvPicPr>
                  </pic:nvPicPr>
                  <pic:blipFill rotWithShape="1">
                    <a:blip r:embed="rId38">
                      <a:extLst>
                        <a:ext uri="{28A0092B-C50C-407E-A947-70E740481C1C}">
                          <a14:useLocalDpi xmlns:a14="http://schemas.microsoft.com/office/drawing/2010/main" val="0"/>
                        </a:ext>
                      </a:extLst>
                    </a:blip>
                    <a:srcRect l="58345" t="25260" r="6076" b="19097"/>
                    <a:stretch/>
                  </pic:blipFill>
                  <pic:spPr bwMode="auto">
                    <a:xfrm>
                      <a:off x="0" y="0"/>
                      <a:ext cx="3473650" cy="3054333"/>
                    </a:xfrm>
                    <a:prstGeom prst="rect">
                      <a:avLst/>
                    </a:prstGeom>
                    <a:noFill/>
                    <a:ln>
                      <a:noFill/>
                    </a:ln>
                    <a:extLst/>
                  </pic:spPr>
                </pic:pic>
              </a:graphicData>
            </a:graphic>
          </wp:inline>
        </w:drawing>
      </w:r>
    </w:p>
    <w:p w14:paraId="4B0B9B20" w14:textId="77777777" w:rsidR="00303E50" w:rsidRDefault="00303E50" w:rsidP="0091793B">
      <w:pPr>
        <w:spacing w:line="360" w:lineRule="auto"/>
        <w:rPr>
          <w:rFonts w:cs="Times New Roman"/>
          <w:szCs w:val="24"/>
        </w:rPr>
      </w:pPr>
      <w:r>
        <w:rPr>
          <w:rFonts w:cs="Times New Roman"/>
          <w:szCs w:val="24"/>
        </w:rPr>
        <w:t xml:space="preserve"> </w:t>
      </w:r>
      <w:bookmarkStart w:id="30" w:name="_Toc411121918"/>
      <w:bookmarkStart w:id="31" w:name="_Toc416993462"/>
      <w:r>
        <w:t xml:space="preserve">Figure </w:t>
      </w:r>
      <w:fldSimple w:instr=" SEQ Figure \* ARABIC ">
        <w:r w:rsidR="00F3244B">
          <w:rPr>
            <w:noProof/>
          </w:rPr>
          <w:t>23</w:t>
        </w:r>
      </w:fldSimple>
      <w:r>
        <w:t>: Loading pattern optimization GUI</w:t>
      </w:r>
      <w:bookmarkEnd w:id="30"/>
      <w:bookmarkEnd w:id="31"/>
    </w:p>
    <w:p w14:paraId="174B009B" w14:textId="77777777" w:rsidR="00303E50" w:rsidRDefault="00303E50" w:rsidP="0091793B">
      <w:pPr>
        <w:spacing w:line="360" w:lineRule="auto"/>
        <w:jc w:val="both"/>
        <w:rPr>
          <w:rFonts w:cs="Times New Roman"/>
          <w:szCs w:val="24"/>
        </w:rPr>
      </w:pPr>
    </w:p>
    <w:p w14:paraId="63BE924D" w14:textId="77777777" w:rsidR="007166EC" w:rsidRDefault="007166EC" w:rsidP="007166EC">
      <w:pPr>
        <w:spacing w:line="360" w:lineRule="auto"/>
        <w:jc w:val="both"/>
        <w:rPr>
          <w:rFonts w:cs="Times New Roman"/>
          <w:szCs w:val="24"/>
        </w:rPr>
      </w:pPr>
      <w:r>
        <w:rPr>
          <w:rFonts w:cs="Times New Roman"/>
          <w:szCs w:val="24"/>
        </w:rPr>
        <w:t xml:space="preserve">The full-core NESTLE model was re-run by varying the insertion of CBs until the constraints listed in Table VII were met at each depletion step. Weighting factors were attached to each constraint in relation to its importance. Since maintaining criticality and reducing the radial RPFs were of primary concern during the CB optimization the keff and RPF constraints were given more weight than the exposure constraints. </w:t>
      </w:r>
    </w:p>
    <w:p w14:paraId="710A0EC6" w14:textId="77777777" w:rsidR="00996308" w:rsidRDefault="00D43524" w:rsidP="0091793B">
      <w:pPr>
        <w:spacing w:line="360" w:lineRule="auto"/>
      </w:pPr>
      <w:r>
        <w:rPr>
          <w:noProof/>
        </w:rPr>
        <w:lastRenderedPageBreak/>
        <w:drawing>
          <wp:inline distT="0" distB="0" distL="0" distR="0" wp14:anchorId="519A04F5" wp14:editId="554FD897">
            <wp:extent cx="3431968" cy="307711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3446408" cy="3090062"/>
                    </a:xfrm>
                    <a:prstGeom prst="rect">
                      <a:avLst/>
                    </a:prstGeom>
                    <a:noFill/>
                  </pic:spPr>
                </pic:pic>
              </a:graphicData>
            </a:graphic>
          </wp:inline>
        </w:drawing>
      </w:r>
    </w:p>
    <w:p w14:paraId="29E5C1C3" w14:textId="77777777" w:rsidR="00303E50" w:rsidRDefault="00303E50" w:rsidP="0091793B">
      <w:pPr>
        <w:spacing w:line="360" w:lineRule="auto"/>
      </w:pPr>
      <w:bookmarkStart w:id="32" w:name="_Toc416993463"/>
      <w:r>
        <w:t xml:space="preserve">Figure </w:t>
      </w:r>
      <w:fldSimple w:instr=" SEQ Figure \* ARABIC ">
        <w:r w:rsidR="00F3244B">
          <w:rPr>
            <w:noProof/>
          </w:rPr>
          <w:t>24</w:t>
        </w:r>
      </w:fldSimple>
      <w:r>
        <w:t>: Control blade bank locations</w:t>
      </w:r>
      <w:bookmarkEnd w:id="32"/>
    </w:p>
    <w:p w14:paraId="6E471BBF" w14:textId="77777777" w:rsidR="00303E50" w:rsidRDefault="00303E50" w:rsidP="0091793B">
      <w:pPr>
        <w:spacing w:line="360" w:lineRule="auto"/>
        <w:rPr>
          <w:rFonts w:cs="Times New Roman"/>
          <w:szCs w:val="24"/>
        </w:rPr>
      </w:pPr>
    </w:p>
    <w:p w14:paraId="5D946B93" w14:textId="77777777" w:rsidR="00563708" w:rsidRDefault="00563708" w:rsidP="0091793B">
      <w:pPr>
        <w:spacing w:line="360" w:lineRule="auto"/>
        <w:jc w:val="both"/>
        <w:rPr>
          <w:rFonts w:cs="Times New Roman"/>
          <w:szCs w:val="24"/>
        </w:rPr>
      </w:pPr>
    </w:p>
    <w:p w14:paraId="21EFC411" w14:textId="77777777" w:rsidR="00303E50" w:rsidRDefault="00303E50" w:rsidP="006F0C75">
      <w:bookmarkStart w:id="33" w:name="_Toc416993429"/>
      <w:r>
        <w:t xml:space="preserve">Table </w:t>
      </w:r>
      <w:fldSimple w:instr=" SEQ Table \* ROMAN ">
        <w:r w:rsidR="00EC7A3E">
          <w:rPr>
            <w:noProof/>
          </w:rPr>
          <w:t>VII</w:t>
        </w:r>
      </w:fldSimple>
      <w:r>
        <w:t>: Control Blade Optimization Design Limits</w:t>
      </w:r>
      <w:bookmarkEnd w:id="33"/>
    </w:p>
    <w:tbl>
      <w:tblPr>
        <w:tblW w:w="6388" w:type="dxa"/>
        <w:jc w:val="center"/>
        <w:tblInd w:w="93" w:type="dxa"/>
        <w:tblLook w:val="04A0" w:firstRow="1" w:lastRow="0" w:firstColumn="1" w:lastColumn="0" w:noHBand="0" w:noVBand="1"/>
      </w:tblPr>
      <w:tblGrid>
        <w:gridCol w:w="4094"/>
        <w:gridCol w:w="46"/>
        <w:gridCol w:w="2248"/>
      </w:tblGrid>
      <w:tr w:rsidR="00303E50" w:rsidRPr="00793A99" w14:paraId="515A6727" w14:textId="77777777" w:rsidTr="00996308">
        <w:trPr>
          <w:trHeight w:val="368"/>
          <w:jc w:val="center"/>
        </w:trPr>
        <w:tc>
          <w:tcPr>
            <w:tcW w:w="4094" w:type="dxa"/>
            <w:tcBorders>
              <w:top w:val="single" w:sz="4" w:space="0" w:color="auto"/>
              <w:left w:val="nil"/>
              <w:bottom w:val="single" w:sz="4" w:space="0" w:color="auto"/>
              <w:right w:val="nil"/>
            </w:tcBorders>
            <w:shd w:val="clear" w:color="000000" w:fill="F2F2F2"/>
            <w:noWrap/>
            <w:vAlign w:val="center"/>
            <w:hideMark/>
          </w:tcPr>
          <w:p w14:paraId="0641759A"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Constraint</w:t>
            </w:r>
          </w:p>
        </w:tc>
        <w:tc>
          <w:tcPr>
            <w:tcW w:w="2294" w:type="dxa"/>
            <w:gridSpan w:val="2"/>
            <w:tcBorders>
              <w:top w:val="single" w:sz="4" w:space="0" w:color="auto"/>
              <w:left w:val="nil"/>
              <w:bottom w:val="single" w:sz="4" w:space="0" w:color="auto"/>
              <w:right w:val="nil"/>
            </w:tcBorders>
            <w:shd w:val="clear" w:color="000000" w:fill="F2F2F2"/>
            <w:vAlign w:val="center"/>
          </w:tcPr>
          <w:p w14:paraId="18495BFB"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Limit</w:t>
            </w:r>
          </w:p>
        </w:tc>
      </w:tr>
      <w:tr w:rsidR="00303E50" w:rsidRPr="00793A99" w14:paraId="15C7762E" w14:textId="77777777" w:rsidTr="00996308">
        <w:trPr>
          <w:trHeight w:val="368"/>
          <w:jc w:val="center"/>
        </w:trPr>
        <w:tc>
          <w:tcPr>
            <w:tcW w:w="4140" w:type="dxa"/>
            <w:gridSpan w:val="2"/>
            <w:tcBorders>
              <w:top w:val="nil"/>
              <w:left w:val="nil"/>
              <w:bottom w:val="nil"/>
              <w:right w:val="nil"/>
            </w:tcBorders>
            <w:shd w:val="clear" w:color="auto" w:fill="auto"/>
            <w:noWrap/>
            <w:vAlign w:val="center"/>
            <w:hideMark/>
          </w:tcPr>
          <w:p w14:paraId="14341B23" w14:textId="77777777" w:rsidR="00303E50" w:rsidRPr="006F0C75" w:rsidRDefault="00303E50" w:rsidP="006F0C75">
            <w:pPr>
              <w:spacing w:after="0"/>
              <w:rPr>
                <w:rFonts w:eastAsia="Times New Roman" w:cs="Times New Roman"/>
                <w:color w:val="000000"/>
                <w:szCs w:val="24"/>
                <w:vertAlign w:val="subscript"/>
              </w:rPr>
            </w:pPr>
            <w:r w:rsidRPr="006F0C75">
              <w:rPr>
                <w:rFonts w:eastAsia="Times New Roman" w:cs="Times New Roman"/>
                <w:color w:val="000000"/>
                <w:szCs w:val="24"/>
              </w:rPr>
              <w:t>Maximum k</w:t>
            </w:r>
            <w:r w:rsidRPr="006F0C75">
              <w:rPr>
                <w:rFonts w:eastAsia="Times New Roman" w:cs="Times New Roman"/>
                <w:color w:val="000000"/>
                <w:szCs w:val="24"/>
                <w:vertAlign w:val="subscript"/>
              </w:rPr>
              <w:t>eff</w:t>
            </w:r>
          </w:p>
        </w:tc>
        <w:tc>
          <w:tcPr>
            <w:tcW w:w="2248" w:type="dxa"/>
            <w:tcBorders>
              <w:top w:val="nil"/>
              <w:left w:val="nil"/>
              <w:bottom w:val="nil"/>
              <w:right w:val="nil"/>
            </w:tcBorders>
            <w:shd w:val="clear" w:color="auto" w:fill="auto"/>
            <w:noWrap/>
            <w:vAlign w:val="center"/>
            <w:hideMark/>
          </w:tcPr>
          <w:p w14:paraId="2E01CAA2"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1.001</w:t>
            </w:r>
          </w:p>
        </w:tc>
      </w:tr>
      <w:tr w:rsidR="00303E50" w:rsidRPr="00793A99" w14:paraId="7E47BF31" w14:textId="77777777" w:rsidTr="00996308">
        <w:trPr>
          <w:trHeight w:val="368"/>
          <w:jc w:val="center"/>
        </w:trPr>
        <w:tc>
          <w:tcPr>
            <w:tcW w:w="4140" w:type="dxa"/>
            <w:gridSpan w:val="2"/>
            <w:tcBorders>
              <w:top w:val="nil"/>
              <w:left w:val="nil"/>
              <w:bottom w:val="nil"/>
              <w:right w:val="nil"/>
            </w:tcBorders>
            <w:shd w:val="clear" w:color="auto" w:fill="auto"/>
            <w:noWrap/>
            <w:vAlign w:val="center"/>
            <w:hideMark/>
          </w:tcPr>
          <w:p w14:paraId="200D8793"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Minimum k</w:t>
            </w:r>
            <w:r w:rsidRPr="006F0C75">
              <w:rPr>
                <w:rFonts w:eastAsia="Times New Roman" w:cs="Times New Roman"/>
                <w:color w:val="000000"/>
                <w:szCs w:val="24"/>
                <w:vertAlign w:val="subscript"/>
              </w:rPr>
              <w:t>eff</w:t>
            </w:r>
          </w:p>
        </w:tc>
        <w:tc>
          <w:tcPr>
            <w:tcW w:w="2248" w:type="dxa"/>
            <w:tcBorders>
              <w:top w:val="nil"/>
              <w:left w:val="nil"/>
              <w:bottom w:val="nil"/>
              <w:right w:val="nil"/>
            </w:tcBorders>
            <w:shd w:val="clear" w:color="auto" w:fill="auto"/>
            <w:noWrap/>
            <w:vAlign w:val="center"/>
            <w:hideMark/>
          </w:tcPr>
          <w:p w14:paraId="4216C31B"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1.000</w:t>
            </w:r>
          </w:p>
        </w:tc>
      </w:tr>
      <w:tr w:rsidR="00303E50" w:rsidRPr="00793A99" w14:paraId="0DEA41BD" w14:textId="77777777" w:rsidTr="00996308">
        <w:trPr>
          <w:trHeight w:val="368"/>
          <w:jc w:val="center"/>
        </w:trPr>
        <w:tc>
          <w:tcPr>
            <w:tcW w:w="4140" w:type="dxa"/>
            <w:gridSpan w:val="2"/>
            <w:tcBorders>
              <w:top w:val="nil"/>
              <w:left w:val="nil"/>
              <w:bottom w:val="nil"/>
              <w:right w:val="nil"/>
            </w:tcBorders>
            <w:shd w:val="clear" w:color="auto" w:fill="auto"/>
            <w:noWrap/>
            <w:vAlign w:val="center"/>
            <w:hideMark/>
          </w:tcPr>
          <w:p w14:paraId="217EB995"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Radial RPF</w:t>
            </w:r>
          </w:p>
        </w:tc>
        <w:tc>
          <w:tcPr>
            <w:tcW w:w="2248" w:type="dxa"/>
            <w:tcBorders>
              <w:top w:val="nil"/>
              <w:left w:val="nil"/>
              <w:bottom w:val="nil"/>
              <w:right w:val="nil"/>
            </w:tcBorders>
            <w:shd w:val="clear" w:color="auto" w:fill="auto"/>
            <w:noWrap/>
            <w:vAlign w:val="center"/>
            <w:hideMark/>
          </w:tcPr>
          <w:p w14:paraId="15A2497F"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1.6</w:t>
            </w:r>
          </w:p>
        </w:tc>
      </w:tr>
      <w:tr w:rsidR="00303E50" w:rsidRPr="00793A99" w14:paraId="6D1AD9B5" w14:textId="77777777" w:rsidTr="00996308">
        <w:trPr>
          <w:trHeight w:val="368"/>
          <w:jc w:val="center"/>
        </w:trPr>
        <w:tc>
          <w:tcPr>
            <w:tcW w:w="4140" w:type="dxa"/>
            <w:gridSpan w:val="2"/>
            <w:tcBorders>
              <w:top w:val="nil"/>
              <w:left w:val="nil"/>
              <w:bottom w:val="nil"/>
              <w:right w:val="nil"/>
            </w:tcBorders>
            <w:shd w:val="clear" w:color="auto" w:fill="auto"/>
            <w:noWrap/>
            <w:vAlign w:val="center"/>
            <w:hideMark/>
          </w:tcPr>
          <w:p w14:paraId="6EE8B6C4"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Nodal RPF</w:t>
            </w:r>
          </w:p>
        </w:tc>
        <w:tc>
          <w:tcPr>
            <w:tcW w:w="2248" w:type="dxa"/>
            <w:tcBorders>
              <w:top w:val="nil"/>
              <w:left w:val="nil"/>
              <w:bottom w:val="nil"/>
              <w:right w:val="nil"/>
            </w:tcBorders>
            <w:shd w:val="clear" w:color="auto" w:fill="auto"/>
            <w:noWrap/>
            <w:vAlign w:val="center"/>
            <w:hideMark/>
          </w:tcPr>
          <w:p w14:paraId="70B86580"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2.0</w:t>
            </w:r>
          </w:p>
        </w:tc>
      </w:tr>
      <w:tr w:rsidR="00303E50" w:rsidRPr="00793A99" w14:paraId="2E4473A8" w14:textId="77777777" w:rsidTr="00996308">
        <w:trPr>
          <w:trHeight w:val="368"/>
          <w:jc w:val="center"/>
        </w:trPr>
        <w:tc>
          <w:tcPr>
            <w:tcW w:w="4140" w:type="dxa"/>
            <w:gridSpan w:val="2"/>
            <w:tcBorders>
              <w:top w:val="nil"/>
              <w:left w:val="nil"/>
              <w:bottom w:val="nil"/>
              <w:right w:val="nil"/>
            </w:tcBorders>
            <w:shd w:val="clear" w:color="auto" w:fill="auto"/>
            <w:noWrap/>
            <w:vAlign w:val="center"/>
            <w:hideMark/>
          </w:tcPr>
          <w:p w14:paraId="3A1ED87C"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Maximum Assembly Exposure</w:t>
            </w:r>
          </w:p>
        </w:tc>
        <w:tc>
          <w:tcPr>
            <w:tcW w:w="2248" w:type="dxa"/>
            <w:tcBorders>
              <w:top w:val="nil"/>
              <w:left w:val="nil"/>
              <w:bottom w:val="nil"/>
              <w:right w:val="nil"/>
            </w:tcBorders>
            <w:shd w:val="clear" w:color="auto" w:fill="auto"/>
            <w:noWrap/>
            <w:vAlign w:val="center"/>
            <w:hideMark/>
          </w:tcPr>
          <w:p w14:paraId="4C63DDE5"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55 GWd/MTU</w:t>
            </w:r>
          </w:p>
        </w:tc>
      </w:tr>
      <w:tr w:rsidR="00303E50" w:rsidRPr="00793A99" w14:paraId="2A442EBF" w14:textId="77777777" w:rsidTr="00996308">
        <w:trPr>
          <w:trHeight w:val="368"/>
          <w:jc w:val="center"/>
        </w:trPr>
        <w:tc>
          <w:tcPr>
            <w:tcW w:w="4140" w:type="dxa"/>
            <w:gridSpan w:val="2"/>
            <w:tcBorders>
              <w:top w:val="nil"/>
              <w:left w:val="nil"/>
              <w:bottom w:val="single" w:sz="4" w:space="0" w:color="auto"/>
              <w:right w:val="nil"/>
            </w:tcBorders>
            <w:shd w:val="clear" w:color="auto" w:fill="auto"/>
            <w:noWrap/>
            <w:vAlign w:val="center"/>
            <w:hideMark/>
          </w:tcPr>
          <w:p w14:paraId="1315C93A"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Maximum Nodal Exposure</w:t>
            </w:r>
          </w:p>
        </w:tc>
        <w:tc>
          <w:tcPr>
            <w:tcW w:w="2248" w:type="dxa"/>
            <w:tcBorders>
              <w:top w:val="nil"/>
              <w:left w:val="nil"/>
              <w:bottom w:val="single" w:sz="4" w:space="0" w:color="auto"/>
              <w:right w:val="nil"/>
            </w:tcBorders>
            <w:shd w:val="clear" w:color="auto" w:fill="auto"/>
            <w:noWrap/>
            <w:vAlign w:val="center"/>
            <w:hideMark/>
          </w:tcPr>
          <w:p w14:paraId="45D57DB4" w14:textId="77777777" w:rsidR="00303E50" w:rsidRPr="006F0C75" w:rsidRDefault="00303E50" w:rsidP="006F0C75">
            <w:pPr>
              <w:spacing w:after="0"/>
              <w:rPr>
                <w:rFonts w:eastAsia="Times New Roman" w:cs="Times New Roman"/>
                <w:color w:val="000000"/>
                <w:szCs w:val="24"/>
              </w:rPr>
            </w:pPr>
            <w:r w:rsidRPr="006F0C75">
              <w:rPr>
                <w:rFonts w:eastAsia="Times New Roman" w:cs="Times New Roman"/>
                <w:color w:val="000000"/>
                <w:szCs w:val="24"/>
              </w:rPr>
              <w:t>65 GWd/MTU</w:t>
            </w:r>
          </w:p>
        </w:tc>
      </w:tr>
    </w:tbl>
    <w:p w14:paraId="20FF911B" w14:textId="77777777" w:rsidR="007166EC" w:rsidRDefault="007166EC" w:rsidP="0091793B">
      <w:pPr>
        <w:spacing w:line="360" w:lineRule="auto"/>
        <w:jc w:val="both"/>
        <w:rPr>
          <w:rFonts w:cs="Times New Roman"/>
          <w:b/>
          <w:szCs w:val="24"/>
        </w:rPr>
      </w:pPr>
    </w:p>
    <w:p w14:paraId="076E7953" w14:textId="77777777" w:rsidR="007166EC" w:rsidRDefault="007166EC" w:rsidP="0091793B">
      <w:pPr>
        <w:spacing w:line="360" w:lineRule="auto"/>
        <w:jc w:val="both"/>
        <w:rPr>
          <w:rFonts w:cs="Times New Roman"/>
          <w:b/>
          <w:szCs w:val="24"/>
        </w:rPr>
      </w:pPr>
    </w:p>
    <w:p w14:paraId="343127B1" w14:textId="77777777" w:rsidR="007166EC" w:rsidRDefault="007166EC" w:rsidP="0091793B">
      <w:pPr>
        <w:spacing w:line="360" w:lineRule="auto"/>
        <w:jc w:val="both"/>
        <w:rPr>
          <w:rFonts w:cs="Times New Roman"/>
          <w:b/>
          <w:szCs w:val="24"/>
        </w:rPr>
      </w:pPr>
    </w:p>
    <w:p w14:paraId="5CCC702A" w14:textId="77777777" w:rsidR="007166EC" w:rsidRDefault="007166EC" w:rsidP="0091793B">
      <w:pPr>
        <w:spacing w:line="360" w:lineRule="auto"/>
        <w:jc w:val="both"/>
        <w:rPr>
          <w:rFonts w:cs="Times New Roman"/>
          <w:b/>
          <w:szCs w:val="24"/>
        </w:rPr>
      </w:pPr>
    </w:p>
    <w:p w14:paraId="14C20C63" w14:textId="53AF99D3" w:rsidR="00B36527" w:rsidRPr="00A81106" w:rsidRDefault="00CD06E6" w:rsidP="0091793B">
      <w:pPr>
        <w:spacing w:line="360" w:lineRule="auto"/>
        <w:jc w:val="both"/>
        <w:rPr>
          <w:rFonts w:cs="Times New Roman"/>
          <w:b/>
          <w:szCs w:val="24"/>
        </w:rPr>
      </w:pPr>
      <w:r>
        <w:rPr>
          <w:rFonts w:cs="Times New Roman"/>
          <w:b/>
          <w:szCs w:val="24"/>
        </w:rPr>
        <w:lastRenderedPageBreak/>
        <w:t>IV.C.5</w:t>
      </w:r>
      <w:r w:rsidR="009C3630" w:rsidRPr="00A81106">
        <w:rPr>
          <w:rFonts w:cs="Times New Roman"/>
          <w:b/>
          <w:szCs w:val="24"/>
        </w:rPr>
        <w:t>.</w:t>
      </w:r>
      <w:r w:rsidR="00B36527" w:rsidRPr="00A81106">
        <w:rPr>
          <w:rFonts w:cs="Times New Roman"/>
          <w:b/>
          <w:szCs w:val="24"/>
        </w:rPr>
        <w:t xml:space="preserve"> </w:t>
      </w:r>
      <w:r w:rsidR="001D553C">
        <w:rPr>
          <w:rFonts w:cs="Times New Roman"/>
          <w:b/>
          <w:szCs w:val="24"/>
        </w:rPr>
        <w:tab/>
      </w:r>
      <w:r w:rsidR="00893519">
        <w:rPr>
          <w:rFonts w:cs="Times New Roman"/>
          <w:b/>
          <w:szCs w:val="24"/>
        </w:rPr>
        <w:t xml:space="preserve">NESTLE </w:t>
      </w:r>
      <w:r w:rsidR="00B36527" w:rsidRPr="00A81106">
        <w:rPr>
          <w:rFonts w:cs="Times New Roman"/>
          <w:b/>
          <w:szCs w:val="24"/>
        </w:rPr>
        <w:t>Thermal Hydraulic Model</w:t>
      </w:r>
    </w:p>
    <w:p w14:paraId="7361F1E0" w14:textId="77777777" w:rsidR="002E35CF" w:rsidRDefault="00B36527" w:rsidP="0091793B">
      <w:pPr>
        <w:spacing w:line="360" w:lineRule="auto"/>
        <w:jc w:val="both"/>
        <w:rPr>
          <w:rFonts w:cs="Times New Roman"/>
          <w:szCs w:val="24"/>
        </w:rPr>
      </w:pPr>
      <w:r>
        <w:rPr>
          <w:rFonts w:cs="Times New Roman"/>
          <w:szCs w:val="24"/>
        </w:rPr>
        <w:t>As previously state</w:t>
      </w:r>
      <w:r w:rsidR="00265928">
        <w:rPr>
          <w:rFonts w:cs="Times New Roman"/>
          <w:szCs w:val="24"/>
        </w:rPr>
        <w:t>d</w:t>
      </w:r>
      <w:r>
        <w:rPr>
          <w:rFonts w:cs="Times New Roman"/>
          <w:szCs w:val="24"/>
        </w:rPr>
        <w:t xml:space="preserve">, the nodal simulator NESTLE couples thermal hydraulic </w:t>
      </w:r>
      <w:r w:rsidR="00A81106">
        <w:rPr>
          <w:rFonts w:cs="Times New Roman"/>
          <w:szCs w:val="24"/>
        </w:rPr>
        <w:t xml:space="preserve">feedback effects </w:t>
      </w:r>
      <w:r>
        <w:rPr>
          <w:rFonts w:cs="Times New Roman"/>
          <w:szCs w:val="24"/>
        </w:rPr>
        <w:t xml:space="preserve">within its criticality calculations. Therefore, coolant and fuel mechanics properties were </w:t>
      </w:r>
      <w:r w:rsidR="00A81106">
        <w:rPr>
          <w:rFonts w:cs="Times New Roman"/>
          <w:szCs w:val="24"/>
        </w:rPr>
        <w:t xml:space="preserve">gathered in simulating </w:t>
      </w:r>
      <w:r>
        <w:rPr>
          <w:rFonts w:cs="Times New Roman"/>
          <w:szCs w:val="24"/>
        </w:rPr>
        <w:t>the advanced BWR design.</w:t>
      </w:r>
      <w:r w:rsidR="00A81106">
        <w:rPr>
          <w:rFonts w:cs="Times New Roman"/>
          <w:szCs w:val="24"/>
        </w:rPr>
        <w:t xml:space="preserve"> Since the representative core shares many similarities with previously simulated reactors, some of the properties of water were gathered from existing Peach Bottom NESTLE models. In addition, throughout the alternate cladding parametric study, a fixed outer diameter was used so that the thermal hydraulic models would not be compromised when comparing designs. Therefore, the same coolant properties were used when modeling the </w:t>
      </w:r>
      <w:r w:rsidR="00C13A66">
        <w:rPr>
          <w:rFonts w:cs="Times New Roman"/>
          <w:szCs w:val="24"/>
        </w:rPr>
        <w:t>base case</w:t>
      </w:r>
      <w:r w:rsidR="00A81106">
        <w:rPr>
          <w:rFonts w:cs="Times New Roman"/>
          <w:szCs w:val="24"/>
        </w:rPr>
        <w:t xml:space="preserve"> Zircaloy and FeCrAl cladded cores.</w:t>
      </w:r>
      <w:r w:rsidR="00781F91">
        <w:rPr>
          <w:rFonts w:cs="Times New Roman"/>
          <w:szCs w:val="24"/>
        </w:rPr>
        <w:t xml:space="preserve"> Table </w:t>
      </w:r>
      <w:r w:rsidR="007B1B3B">
        <w:rPr>
          <w:rFonts w:cs="Times New Roman"/>
          <w:szCs w:val="24"/>
        </w:rPr>
        <w:t>VIII</w:t>
      </w:r>
      <w:r w:rsidR="00781F91">
        <w:rPr>
          <w:rFonts w:cs="Times New Roman"/>
          <w:szCs w:val="24"/>
        </w:rPr>
        <w:t xml:space="preserve"> lists the crucial core properties used in the thermal hydraulic model.</w:t>
      </w:r>
      <w:r w:rsidR="006319B9">
        <w:rPr>
          <w:rFonts w:cs="Times New Roman"/>
          <w:szCs w:val="24"/>
        </w:rPr>
        <w:tab/>
      </w:r>
    </w:p>
    <w:p w14:paraId="0F891C42" w14:textId="77777777" w:rsidR="006319B9" w:rsidRDefault="006319B9" w:rsidP="0091793B">
      <w:pPr>
        <w:spacing w:line="360" w:lineRule="auto"/>
        <w:jc w:val="both"/>
        <w:rPr>
          <w:rFonts w:cs="Times New Roman"/>
          <w:szCs w:val="24"/>
        </w:rPr>
      </w:pPr>
    </w:p>
    <w:p w14:paraId="1A0DC973" w14:textId="77777777" w:rsidR="00781F91" w:rsidRDefault="00B25C95" w:rsidP="003E4D27">
      <w:pPr>
        <w:rPr>
          <w:rFonts w:cs="Times New Roman"/>
          <w:szCs w:val="24"/>
        </w:rPr>
      </w:pPr>
      <w:bookmarkStart w:id="34" w:name="_Toc416993430"/>
      <w:r>
        <w:t xml:space="preserve">Table </w:t>
      </w:r>
      <w:fldSimple w:instr=" SEQ Table \* ROMAN ">
        <w:r w:rsidR="00EC7A3E">
          <w:rPr>
            <w:noProof/>
          </w:rPr>
          <w:t>VIII</w:t>
        </w:r>
      </w:fldSimple>
      <w:r>
        <w:t xml:space="preserve">. </w:t>
      </w:r>
      <w:r w:rsidR="0064019A">
        <w:t>C</w:t>
      </w:r>
      <w:r w:rsidRPr="001E244F">
        <w:t>ore properties for NESTLE BWR model</w:t>
      </w:r>
      <w:bookmarkEnd w:id="34"/>
    </w:p>
    <w:tbl>
      <w:tblPr>
        <w:tblW w:w="7620" w:type="dxa"/>
        <w:jc w:val="center"/>
        <w:tblInd w:w="93" w:type="dxa"/>
        <w:tblLook w:val="04A0" w:firstRow="1" w:lastRow="0" w:firstColumn="1" w:lastColumn="0" w:noHBand="0" w:noVBand="1"/>
      </w:tblPr>
      <w:tblGrid>
        <w:gridCol w:w="3125"/>
        <w:gridCol w:w="2131"/>
        <w:gridCol w:w="2364"/>
      </w:tblGrid>
      <w:tr w:rsidR="0030397F" w:rsidRPr="00795631" w14:paraId="09F7D9ED" w14:textId="77777777" w:rsidTr="00966244">
        <w:trPr>
          <w:trHeight w:val="311"/>
          <w:jc w:val="center"/>
        </w:trPr>
        <w:tc>
          <w:tcPr>
            <w:tcW w:w="3125" w:type="dxa"/>
            <w:tcBorders>
              <w:top w:val="single" w:sz="4" w:space="0" w:color="auto"/>
              <w:left w:val="nil"/>
              <w:bottom w:val="single" w:sz="4" w:space="0" w:color="auto"/>
              <w:right w:val="nil"/>
            </w:tcBorders>
            <w:shd w:val="clear" w:color="000000" w:fill="F2F2F2"/>
            <w:noWrap/>
            <w:vAlign w:val="center"/>
            <w:hideMark/>
          </w:tcPr>
          <w:p w14:paraId="1DF60078"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Parameter</w:t>
            </w:r>
          </w:p>
        </w:tc>
        <w:tc>
          <w:tcPr>
            <w:tcW w:w="2131" w:type="dxa"/>
            <w:tcBorders>
              <w:top w:val="single" w:sz="4" w:space="0" w:color="auto"/>
              <w:left w:val="nil"/>
              <w:bottom w:val="single" w:sz="4" w:space="0" w:color="auto"/>
              <w:right w:val="nil"/>
            </w:tcBorders>
            <w:shd w:val="clear" w:color="000000" w:fill="F2F2F2"/>
            <w:noWrap/>
            <w:vAlign w:val="center"/>
            <w:hideMark/>
          </w:tcPr>
          <w:p w14:paraId="017CBE36"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Value</w:t>
            </w:r>
          </w:p>
        </w:tc>
        <w:tc>
          <w:tcPr>
            <w:tcW w:w="2364" w:type="dxa"/>
            <w:tcBorders>
              <w:top w:val="single" w:sz="4" w:space="0" w:color="auto"/>
              <w:left w:val="nil"/>
              <w:bottom w:val="single" w:sz="4" w:space="0" w:color="auto"/>
              <w:right w:val="nil"/>
            </w:tcBorders>
            <w:shd w:val="clear" w:color="000000" w:fill="F2F2F2"/>
            <w:vAlign w:val="center"/>
          </w:tcPr>
          <w:p w14:paraId="2999BD17" w14:textId="77777777" w:rsidR="0030397F" w:rsidRDefault="00966244" w:rsidP="003E4D27">
            <w:pPr>
              <w:spacing w:after="0"/>
              <w:rPr>
                <w:rFonts w:eastAsia="Times New Roman" w:cs="Times New Roman"/>
                <w:color w:val="000000"/>
                <w:szCs w:val="24"/>
              </w:rPr>
            </w:pPr>
            <w:r>
              <w:rPr>
                <w:rFonts w:eastAsia="Times New Roman" w:cs="Times New Roman"/>
                <w:color w:val="000000"/>
                <w:szCs w:val="24"/>
              </w:rPr>
              <w:t>Units</w:t>
            </w:r>
          </w:p>
        </w:tc>
      </w:tr>
      <w:tr w:rsidR="0030397F" w:rsidRPr="00795631" w14:paraId="443A774A" w14:textId="77777777" w:rsidTr="00966244">
        <w:trPr>
          <w:trHeight w:val="311"/>
          <w:jc w:val="center"/>
        </w:trPr>
        <w:tc>
          <w:tcPr>
            <w:tcW w:w="3125" w:type="dxa"/>
            <w:tcBorders>
              <w:top w:val="nil"/>
              <w:left w:val="nil"/>
              <w:bottom w:val="nil"/>
              <w:right w:val="nil"/>
            </w:tcBorders>
            <w:shd w:val="clear" w:color="auto" w:fill="auto"/>
            <w:noWrap/>
            <w:vAlign w:val="center"/>
          </w:tcPr>
          <w:p w14:paraId="04700B6A" w14:textId="77777777" w:rsidR="0030397F" w:rsidRPr="00795631" w:rsidRDefault="00966244" w:rsidP="003E4D27">
            <w:pPr>
              <w:spacing w:after="0"/>
              <w:rPr>
                <w:rFonts w:eastAsia="Times New Roman" w:cs="Times New Roman"/>
                <w:color w:val="000000"/>
                <w:szCs w:val="24"/>
              </w:rPr>
            </w:pPr>
            <w:r>
              <w:rPr>
                <w:rFonts w:eastAsia="Times New Roman" w:cs="Times New Roman"/>
                <w:color w:val="000000"/>
                <w:szCs w:val="24"/>
              </w:rPr>
              <w:t>Bundle Pitch</w:t>
            </w:r>
          </w:p>
        </w:tc>
        <w:tc>
          <w:tcPr>
            <w:tcW w:w="2131" w:type="dxa"/>
            <w:tcBorders>
              <w:top w:val="nil"/>
              <w:left w:val="nil"/>
              <w:bottom w:val="nil"/>
              <w:right w:val="nil"/>
            </w:tcBorders>
            <w:shd w:val="clear" w:color="auto" w:fill="auto"/>
            <w:noWrap/>
            <w:vAlign w:val="center"/>
          </w:tcPr>
          <w:p w14:paraId="5972A714"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6.0</w:t>
            </w:r>
          </w:p>
        </w:tc>
        <w:tc>
          <w:tcPr>
            <w:tcW w:w="2364" w:type="dxa"/>
            <w:tcBorders>
              <w:top w:val="nil"/>
              <w:left w:val="nil"/>
              <w:bottom w:val="nil"/>
              <w:right w:val="nil"/>
            </w:tcBorders>
            <w:vAlign w:val="center"/>
          </w:tcPr>
          <w:p w14:paraId="1E8089FD" w14:textId="77777777" w:rsidR="0030397F" w:rsidRDefault="0030397F" w:rsidP="003E4D27">
            <w:pPr>
              <w:spacing w:after="0"/>
              <w:rPr>
                <w:rFonts w:eastAsia="Times New Roman" w:cs="Times New Roman"/>
                <w:color w:val="000000"/>
                <w:szCs w:val="24"/>
              </w:rPr>
            </w:pPr>
            <w:r>
              <w:rPr>
                <w:rFonts w:eastAsia="Times New Roman" w:cs="Times New Roman"/>
                <w:color w:val="000000"/>
                <w:szCs w:val="24"/>
              </w:rPr>
              <w:t>in</w:t>
            </w:r>
          </w:p>
        </w:tc>
      </w:tr>
      <w:tr w:rsidR="0030397F" w:rsidRPr="00795631" w14:paraId="50BF2E79" w14:textId="77777777" w:rsidTr="00966244">
        <w:trPr>
          <w:trHeight w:val="311"/>
          <w:jc w:val="center"/>
        </w:trPr>
        <w:tc>
          <w:tcPr>
            <w:tcW w:w="3125" w:type="dxa"/>
            <w:tcBorders>
              <w:top w:val="nil"/>
              <w:left w:val="nil"/>
              <w:bottom w:val="nil"/>
              <w:right w:val="nil"/>
            </w:tcBorders>
            <w:shd w:val="clear" w:color="auto" w:fill="auto"/>
            <w:noWrap/>
            <w:vAlign w:val="center"/>
          </w:tcPr>
          <w:p w14:paraId="11FF3D8F" w14:textId="77777777" w:rsidR="0030397F" w:rsidRPr="00795631" w:rsidRDefault="00966244" w:rsidP="003E4D27">
            <w:pPr>
              <w:spacing w:after="0"/>
              <w:rPr>
                <w:rFonts w:eastAsia="Times New Roman" w:cs="Times New Roman"/>
                <w:color w:val="000000"/>
                <w:szCs w:val="24"/>
              </w:rPr>
            </w:pPr>
            <w:r>
              <w:rPr>
                <w:rFonts w:eastAsia="Times New Roman" w:cs="Times New Roman"/>
                <w:color w:val="000000"/>
                <w:szCs w:val="24"/>
              </w:rPr>
              <w:t>Hydraulic Diameter</w:t>
            </w:r>
          </w:p>
        </w:tc>
        <w:tc>
          <w:tcPr>
            <w:tcW w:w="2131" w:type="dxa"/>
            <w:tcBorders>
              <w:top w:val="nil"/>
              <w:left w:val="nil"/>
              <w:bottom w:val="nil"/>
              <w:right w:val="nil"/>
            </w:tcBorders>
            <w:shd w:val="clear" w:color="auto" w:fill="auto"/>
            <w:noWrap/>
            <w:vAlign w:val="center"/>
          </w:tcPr>
          <w:p w14:paraId="07E94B1A"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0.429</w:t>
            </w:r>
          </w:p>
        </w:tc>
        <w:tc>
          <w:tcPr>
            <w:tcW w:w="2364" w:type="dxa"/>
            <w:tcBorders>
              <w:top w:val="nil"/>
              <w:left w:val="nil"/>
              <w:bottom w:val="nil"/>
              <w:right w:val="nil"/>
            </w:tcBorders>
            <w:vAlign w:val="center"/>
          </w:tcPr>
          <w:p w14:paraId="1BF2E81C" w14:textId="77777777" w:rsidR="0030397F" w:rsidRDefault="0030397F" w:rsidP="003E4D27">
            <w:pPr>
              <w:spacing w:after="0"/>
              <w:rPr>
                <w:rFonts w:eastAsia="Times New Roman" w:cs="Times New Roman"/>
                <w:color w:val="000000"/>
                <w:szCs w:val="24"/>
              </w:rPr>
            </w:pPr>
            <w:r>
              <w:rPr>
                <w:rFonts w:eastAsia="Times New Roman" w:cs="Times New Roman"/>
                <w:color w:val="000000"/>
                <w:szCs w:val="24"/>
              </w:rPr>
              <w:t>in</w:t>
            </w:r>
          </w:p>
        </w:tc>
      </w:tr>
      <w:tr w:rsidR="0030397F" w:rsidRPr="00795631" w14:paraId="586F9E47" w14:textId="77777777" w:rsidTr="00966244">
        <w:trPr>
          <w:trHeight w:val="311"/>
          <w:jc w:val="center"/>
        </w:trPr>
        <w:tc>
          <w:tcPr>
            <w:tcW w:w="3125" w:type="dxa"/>
            <w:tcBorders>
              <w:top w:val="nil"/>
              <w:left w:val="nil"/>
              <w:bottom w:val="nil"/>
              <w:right w:val="nil"/>
            </w:tcBorders>
            <w:shd w:val="clear" w:color="auto" w:fill="auto"/>
            <w:noWrap/>
            <w:vAlign w:val="center"/>
            <w:hideMark/>
          </w:tcPr>
          <w:p w14:paraId="5166A98E" w14:textId="77777777" w:rsidR="0030397F" w:rsidRPr="00795631" w:rsidRDefault="00966244" w:rsidP="003E4D27">
            <w:pPr>
              <w:spacing w:after="0"/>
              <w:rPr>
                <w:rFonts w:eastAsia="Times New Roman" w:cs="Times New Roman"/>
                <w:color w:val="000000"/>
                <w:szCs w:val="24"/>
              </w:rPr>
            </w:pPr>
            <w:r>
              <w:rPr>
                <w:rFonts w:eastAsia="Times New Roman" w:cs="Times New Roman"/>
                <w:color w:val="000000"/>
                <w:szCs w:val="24"/>
              </w:rPr>
              <w:t>Flow Rate</w:t>
            </w:r>
          </w:p>
        </w:tc>
        <w:tc>
          <w:tcPr>
            <w:tcW w:w="2131" w:type="dxa"/>
            <w:tcBorders>
              <w:top w:val="nil"/>
              <w:left w:val="nil"/>
              <w:bottom w:val="nil"/>
              <w:right w:val="nil"/>
            </w:tcBorders>
            <w:shd w:val="clear" w:color="auto" w:fill="auto"/>
            <w:noWrap/>
            <w:vAlign w:val="center"/>
            <w:hideMark/>
          </w:tcPr>
          <w:p w14:paraId="6A837F01" w14:textId="77777777" w:rsidR="0030397F" w:rsidRPr="00F221AC" w:rsidRDefault="0030397F" w:rsidP="003E4D27">
            <w:pPr>
              <w:spacing w:after="0"/>
              <w:rPr>
                <w:rFonts w:eastAsia="Times New Roman" w:cs="Times New Roman"/>
                <w:color w:val="000000"/>
                <w:szCs w:val="24"/>
                <w:vertAlign w:val="superscript"/>
              </w:rPr>
            </w:pPr>
            <w:r>
              <w:rPr>
                <w:rFonts w:eastAsia="Times New Roman" w:cs="Times New Roman"/>
                <w:color w:val="000000"/>
                <w:szCs w:val="24"/>
              </w:rPr>
              <w:t>6.15 × 10</w:t>
            </w:r>
            <w:r>
              <w:rPr>
                <w:rFonts w:eastAsia="Times New Roman" w:cs="Times New Roman"/>
                <w:color w:val="000000"/>
                <w:szCs w:val="24"/>
                <w:vertAlign w:val="superscript"/>
              </w:rPr>
              <w:t>7</w:t>
            </w:r>
          </w:p>
        </w:tc>
        <w:tc>
          <w:tcPr>
            <w:tcW w:w="2364" w:type="dxa"/>
            <w:tcBorders>
              <w:top w:val="nil"/>
              <w:left w:val="nil"/>
              <w:bottom w:val="nil"/>
              <w:right w:val="nil"/>
            </w:tcBorders>
            <w:vAlign w:val="center"/>
          </w:tcPr>
          <w:p w14:paraId="51AC4212" w14:textId="77777777" w:rsidR="0030397F" w:rsidRDefault="0030397F" w:rsidP="003E4D27">
            <w:pPr>
              <w:spacing w:after="0"/>
              <w:rPr>
                <w:rFonts w:eastAsia="Times New Roman" w:cs="Times New Roman"/>
                <w:color w:val="000000"/>
                <w:szCs w:val="24"/>
              </w:rPr>
            </w:pPr>
            <w:r>
              <w:rPr>
                <w:rFonts w:eastAsia="Times New Roman" w:cs="Times New Roman"/>
                <w:color w:val="000000"/>
                <w:szCs w:val="24"/>
              </w:rPr>
              <w:t>lb/hr</w:t>
            </w:r>
          </w:p>
        </w:tc>
      </w:tr>
      <w:tr w:rsidR="0030397F" w:rsidRPr="00795631" w14:paraId="097E699A" w14:textId="77777777" w:rsidTr="00966244">
        <w:trPr>
          <w:trHeight w:val="311"/>
          <w:jc w:val="center"/>
        </w:trPr>
        <w:tc>
          <w:tcPr>
            <w:tcW w:w="3125" w:type="dxa"/>
            <w:tcBorders>
              <w:top w:val="nil"/>
              <w:left w:val="nil"/>
              <w:bottom w:val="nil"/>
              <w:right w:val="nil"/>
            </w:tcBorders>
            <w:shd w:val="clear" w:color="auto" w:fill="auto"/>
            <w:noWrap/>
            <w:vAlign w:val="center"/>
            <w:hideMark/>
          </w:tcPr>
          <w:p w14:paraId="4D17FFA8" w14:textId="77777777" w:rsidR="0030397F" w:rsidRPr="00795631" w:rsidRDefault="0030397F" w:rsidP="003E4D27">
            <w:pPr>
              <w:spacing w:after="0"/>
              <w:rPr>
                <w:rFonts w:eastAsia="Times New Roman" w:cs="Times New Roman"/>
                <w:color w:val="000000"/>
                <w:szCs w:val="24"/>
              </w:rPr>
            </w:pPr>
            <w:r w:rsidRPr="00795631">
              <w:rPr>
                <w:rFonts w:eastAsia="Times New Roman" w:cs="Times New Roman"/>
                <w:color w:val="000000"/>
                <w:szCs w:val="24"/>
              </w:rPr>
              <w:t>Inlet Temperature</w:t>
            </w:r>
          </w:p>
        </w:tc>
        <w:tc>
          <w:tcPr>
            <w:tcW w:w="2131" w:type="dxa"/>
            <w:tcBorders>
              <w:top w:val="nil"/>
              <w:left w:val="nil"/>
              <w:bottom w:val="nil"/>
              <w:right w:val="nil"/>
            </w:tcBorders>
            <w:shd w:val="clear" w:color="auto" w:fill="auto"/>
            <w:noWrap/>
            <w:vAlign w:val="center"/>
            <w:hideMark/>
          </w:tcPr>
          <w:p w14:paraId="2CB79F28" w14:textId="77777777" w:rsidR="0030397F" w:rsidRPr="00795631" w:rsidRDefault="0030397F" w:rsidP="003E4D27">
            <w:pPr>
              <w:spacing w:after="0"/>
              <w:rPr>
                <w:rFonts w:eastAsia="Times New Roman" w:cs="Times New Roman"/>
                <w:color w:val="000000"/>
                <w:szCs w:val="24"/>
              </w:rPr>
            </w:pPr>
            <w:r w:rsidRPr="00795631">
              <w:rPr>
                <w:rFonts w:eastAsia="Times New Roman" w:cs="Times New Roman"/>
                <w:color w:val="000000"/>
                <w:szCs w:val="24"/>
              </w:rPr>
              <w:t>527.5</w:t>
            </w:r>
          </w:p>
        </w:tc>
        <w:tc>
          <w:tcPr>
            <w:tcW w:w="2364" w:type="dxa"/>
            <w:tcBorders>
              <w:top w:val="nil"/>
              <w:left w:val="nil"/>
              <w:bottom w:val="nil"/>
              <w:right w:val="nil"/>
            </w:tcBorders>
            <w:vAlign w:val="center"/>
          </w:tcPr>
          <w:p w14:paraId="1B61942E" w14:textId="77777777" w:rsidR="0030397F" w:rsidRPr="00795631" w:rsidRDefault="00966244" w:rsidP="003E4D27">
            <w:pPr>
              <w:spacing w:after="0"/>
              <w:rPr>
                <w:rFonts w:eastAsia="Times New Roman" w:cs="Times New Roman"/>
                <w:color w:val="000000"/>
                <w:szCs w:val="24"/>
              </w:rPr>
            </w:pPr>
            <w:r>
              <w:rPr>
                <w:rFonts w:eastAsia="Times New Roman" w:cs="Times New Roman"/>
                <w:color w:val="000000"/>
                <w:szCs w:val="24"/>
                <w:vertAlign w:val="superscript"/>
              </w:rPr>
              <w:t>o</w:t>
            </w:r>
            <w:r w:rsidR="0030397F">
              <w:rPr>
                <w:rFonts w:eastAsia="Times New Roman" w:cs="Times New Roman"/>
                <w:color w:val="000000"/>
                <w:szCs w:val="24"/>
              </w:rPr>
              <w:t>F</w:t>
            </w:r>
          </w:p>
        </w:tc>
      </w:tr>
      <w:tr w:rsidR="0030397F" w:rsidRPr="00795631" w14:paraId="780B78EF" w14:textId="77777777" w:rsidTr="00966244">
        <w:trPr>
          <w:trHeight w:val="311"/>
          <w:jc w:val="center"/>
        </w:trPr>
        <w:tc>
          <w:tcPr>
            <w:tcW w:w="3125" w:type="dxa"/>
            <w:tcBorders>
              <w:top w:val="nil"/>
              <w:left w:val="nil"/>
              <w:bottom w:val="nil"/>
              <w:right w:val="nil"/>
            </w:tcBorders>
            <w:shd w:val="clear" w:color="auto" w:fill="auto"/>
            <w:noWrap/>
            <w:vAlign w:val="center"/>
          </w:tcPr>
          <w:p w14:paraId="51A5F7F6"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Fuel Specific Heat</w:t>
            </w:r>
          </w:p>
        </w:tc>
        <w:tc>
          <w:tcPr>
            <w:tcW w:w="2131" w:type="dxa"/>
            <w:tcBorders>
              <w:top w:val="nil"/>
              <w:left w:val="nil"/>
              <w:bottom w:val="nil"/>
              <w:right w:val="nil"/>
            </w:tcBorders>
            <w:shd w:val="clear" w:color="auto" w:fill="auto"/>
            <w:noWrap/>
            <w:vAlign w:val="center"/>
          </w:tcPr>
          <w:p w14:paraId="672668FD"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0.0811</w:t>
            </w:r>
          </w:p>
        </w:tc>
        <w:tc>
          <w:tcPr>
            <w:tcW w:w="2364" w:type="dxa"/>
            <w:tcBorders>
              <w:top w:val="nil"/>
              <w:left w:val="nil"/>
              <w:bottom w:val="nil"/>
              <w:right w:val="nil"/>
            </w:tcBorders>
            <w:vAlign w:val="center"/>
          </w:tcPr>
          <w:p w14:paraId="47969CD5" w14:textId="77777777" w:rsidR="0030397F" w:rsidRDefault="0030397F" w:rsidP="003E4D27">
            <w:pPr>
              <w:spacing w:after="0"/>
              <w:rPr>
                <w:rFonts w:eastAsia="Times New Roman" w:cs="Times New Roman"/>
                <w:color w:val="000000"/>
                <w:szCs w:val="24"/>
              </w:rPr>
            </w:pPr>
            <w:r>
              <w:rPr>
                <w:rFonts w:eastAsia="Times New Roman" w:cs="Times New Roman"/>
                <w:color w:val="000000"/>
                <w:szCs w:val="24"/>
              </w:rPr>
              <w:t>BTU/lb-</w:t>
            </w:r>
            <w:r w:rsidR="00966244">
              <w:rPr>
                <w:rFonts w:eastAsia="Times New Roman" w:cs="Times New Roman"/>
                <w:color w:val="000000"/>
                <w:szCs w:val="24"/>
                <w:vertAlign w:val="superscript"/>
              </w:rPr>
              <w:t>o</w:t>
            </w:r>
            <w:r>
              <w:rPr>
                <w:rFonts w:eastAsia="Times New Roman" w:cs="Times New Roman"/>
                <w:color w:val="000000"/>
                <w:szCs w:val="24"/>
              </w:rPr>
              <w:t>F</w:t>
            </w:r>
          </w:p>
        </w:tc>
      </w:tr>
      <w:tr w:rsidR="0030397F" w:rsidRPr="00795631" w14:paraId="58393642" w14:textId="77777777" w:rsidTr="00966244">
        <w:trPr>
          <w:trHeight w:val="311"/>
          <w:jc w:val="center"/>
        </w:trPr>
        <w:tc>
          <w:tcPr>
            <w:tcW w:w="3125" w:type="dxa"/>
            <w:tcBorders>
              <w:top w:val="nil"/>
              <w:left w:val="nil"/>
              <w:bottom w:val="nil"/>
              <w:right w:val="nil"/>
            </w:tcBorders>
            <w:shd w:val="clear" w:color="auto" w:fill="auto"/>
            <w:noWrap/>
            <w:vAlign w:val="center"/>
          </w:tcPr>
          <w:p w14:paraId="6B2B55B1" w14:textId="77777777" w:rsidR="0030397F" w:rsidRPr="00D224A6" w:rsidRDefault="0030397F" w:rsidP="003E4D27">
            <w:pPr>
              <w:spacing w:after="0"/>
              <w:rPr>
                <w:rFonts w:eastAsia="Times New Roman" w:cs="Times New Roman"/>
                <w:color w:val="000000"/>
                <w:szCs w:val="24"/>
              </w:rPr>
            </w:pPr>
            <w:r>
              <w:rPr>
                <w:rFonts w:eastAsia="Times New Roman" w:cs="Times New Roman"/>
                <w:color w:val="000000"/>
                <w:szCs w:val="24"/>
              </w:rPr>
              <w:t>Saturation Coolant Density</w:t>
            </w:r>
          </w:p>
        </w:tc>
        <w:tc>
          <w:tcPr>
            <w:tcW w:w="2131" w:type="dxa"/>
            <w:tcBorders>
              <w:top w:val="nil"/>
              <w:left w:val="nil"/>
              <w:bottom w:val="nil"/>
              <w:right w:val="nil"/>
            </w:tcBorders>
            <w:shd w:val="clear" w:color="auto" w:fill="auto"/>
            <w:noWrap/>
            <w:vAlign w:val="center"/>
          </w:tcPr>
          <w:p w14:paraId="788364A7"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2.330</w:t>
            </w:r>
          </w:p>
        </w:tc>
        <w:tc>
          <w:tcPr>
            <w:tcW w:w="2364" w:type="dxa"/>
            <w:tcBorders>
              <w:top w:val="nil"/>
              <w:left w:val="nil"/>
              <w:bottom w:val="nil"/>
              <w:right w:val="nil"/>
            </w:tcBorders>
            <w:vAlign w:val="center"/>
          </w:tcPr>
          <w:p w14:paraId="63B95686" w14:textId="77777777" w:rsidR="0030397F" w:rsidRPr="00966244" w:rsidRDefault="00966244" w:rsidP="003E4D27">
            <w:pPr>
              <w:spacing w:after="0"/>
              <w:rPr>
                <w:rFonts w:eastAsia="Times New Roman" w:cs="Times New Roman"/>
                <w:color w:val="000000"/>
                <w:szCs w:val="24"/>
                <w:vertAlign w:val="superscript"/>
              </w:rPr>
            </w:pPr>
            <w:r>
              <w:rPr>
                <w:rFonts w:eastAsia="Times New Roman" w:cs="Times New Roman"/>
                <w:color w:val="000000"/>
                <w:szCs w:val="24"/>
              </w:rPr>
              <w:t>lb/ft</w:t>
            </w:r>
            <w:r>
              <w:rPr>
                <w:rFonts w:eastAsia="Times New Roman" w:cs="Times New Roman"/>
                <w:color w:val="000000"/>
                <w:szCs w:val="24"/>
                <w:vertAlign w:val="superscript"/>
              </w:rPr>
              <w:t>3</w:t>
            </w:r>
          </w:p>
        </w:tc>
      </w:tr>
      <w:tr w:rsidR="0030397F" w:rsidRPr="00795631" w14:paraId="50B88840" w14:textId="77777777" w:rsidTr="00966244">
        <w:trPr>
          <w:trHeight w:val="311"/>
          <w:jc w:val="center"/>
        </w:trPr>
        <w:tc>
          <w:tcPr>
            <w:tcW w:w="3125" w:type="dxa"/>
            <w:tcBorders>
              <w:top w:val="nil"/>
              <w:left w:val="nil"/>
              <w:bottom w:val="nil"/>
              <w:right w:val="nil"/>
            </w:tcBorders>
            <w:shd w:val="clear" w:color="auto" w:fill="auto"/>
            <w:noWrap/>
            <w:vAlign w:val="center"/>
          </w:tcPr>
          <w:p w14:paraId="25E36B2E"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Coolant Saturation Energy</w:t>
            </w:r>
          </w:p>
        </w:tc>
        <w:tc>
          <w:tcPr>
            <w:tcW w:w="2131" w:type="dxa"/>
            <w:tcBorders>
              <w:top w:val="nil"/>
              <w:left w:val="nil"/>
              <w:bottom w:val="nil"/>
              <w:right w:val="nil"/>
            </w:tcBorders>
            <w:shd w:val="clear" w:color="auto" w:fill="auto"/>
            <w:noWrap/>
            <w:vAlign w:val="center"/>
          </w:tcPr>
          <w:p w14:paraId="20937817"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1192</w:t>
            </w:r>
          </w:p>
        </w:tc>
        <w:tc>
          <w:tcPr>
            <w:tcW w:w="2364" w:type="dxa"/>
            <w:tcBorders>
              <w:top w:val="nil"/>
              <w:left w:val="nil"/>
              <w:bottom w:val="nil"/>
              <w:right w:val="nil"/>
            </w:tcBorders>
            <w:vAlign w:val="center"/>
          </w:tcPr>
          <w:p w14:paraId="5472BC8E" w14:textId="77777777" w:rsidR="0030397F" w:rsidRDefault="00966244" w:rsidP="003E4D27">
            <w:pPr>
              <w:spacing w:after="0"/>
              <w:rPr>
                <w:rFonts w:eastAsia="Times New Roman" w:cs="Times New Roman"/>
                <w:color w:val="000000"/>
                <w:szCs w:val="24"/>
              </w:rPr>
            </w:pPr>
            <w:r>
              <w:rPr>
                <w:rFonts w:eastAsia="Times New Roman" w:cs="Times New Roman"/>
                <w:color w:val="000000"/>
                <w:szCs w:val="24"/>
              </w:rPr>
              <w:t>BTU/lb</w:t>
            </w:r>
          </w:p>
        </w:tc>
      </w:tr>
      <w:tr w:rsidR="0030397F" w:rsidRPr="00795631" w14:paraId="1BF9ADCA" w14:textId="77777777" w:rsidTr="00966244">
        <w:trPr>
          <w:trHeight w:val="311"/>
          <w:jc w:val="center"/>
        </w:trPr>
        <w:tc>
          <w:tcPr>
            <w:tcW w:w="3125" w:type="dxa"/>
            <w:tcBorders>
              <w:top w:val="nil"/>
              <w:left w:val="nil"/>
              <w:bottom w:val="single" w:sz="4" w:space="0" w:color="auto"/>
              <w:right w:val="nil"/>
            </w:tcBorders>
            <w:shd w:val="clear" w:color="auto" w:fill="auto"/>
            <w:noWrap/>
            <w:vAlign w:val="center"/>
            <w:hideMark/>
          </w:tcPr>
          <w:p w14:paraId="524FD1F8" w14:textId="77777777" w:rsidR="0030397F" w:rsidRPr="00795631" w:rsidRDefault="0030397F" w:rsidP="003E4D27">
            <w:pPr>
              <w:spacing w:after="0"/>
              <w:rPr>
                <w:rFonts w:eastAsia="Times New Roman" w:cs="Times New Roman"/>
                <w:color w:val="000000"/>
                <w:szCs w:val="24"/>
              </w:rPr>
            </w:pPr>
            <w:r>
              <w:rPr>
                <w:rFonts w:eastAsia="Times New Roman" w:cs="Times New Roman"/>
                <w:color w:val="000000"/>
                <w:szCs w:val="24"/>
              </w:rPr>
              <w:t>Core Pressure</w:t>
            </w:r>
          </w:p>
        </w:tc>
        <w:tc>
          <w:tcPr>
            <w:tcW w:w="2131" w:type="dxa"/>
            <w:tcBorders>
              <w:top w:val="nil"/>
              <w:left w:val="nil"/>
              <w:bottom w:val="single" w:sz="4" w:space="0" w:color="auto"/>
              <w:right w:val="nil"/>
            </w:tcBorders>
            <w:shd w:val="clear" w:color="auto" w:fill="auto"/>
            <w:noWrap/>
            <w:vAlign w:val="center"/>
            <w:hideMark/>
          </w:tcPr>
          <w:p w14:paraId="5B370550" w14:textId="77777777" w:rsidR="0030397F" w:rsidRPr="00795631" w:rsidRDefault="0030397F" w:rsidP="003E4D27">
            <w:pPr>
              <w:spacing w:after="0"/>
              <w:rPr>
                <w:rFonts w:eastAsia="Times New Roman" w:cs="Times New Roman"/>
                <w:color w:val="000000"/>
                <w:szCs w:val="24"/>
              </w:rPr>
            </w:pPr>
            <w:r w:rsidRPr="00795631">
              <w:rPr>
                <w:rFonts w:eastAsia="Times New Roman" w:cs="Times New Roman"/>
                <w:color w:val="000000"/>
                <w:szCs w:val="24"/>
              </w:rPr>
              <w:t>1035</w:t>
            </w:r>
          </w:p>
        </w:tc>
        <w:tc>
          <w:tcPr>
            <w:tcW w:w="2364" w:type="dxa"/>
            <w:tcBorders>
              <w:top w:val="nil"/>
              <w:left w:val="nil"/>
              <w:bottom w:val="single" w:sz="4" w:space="0" w:color="auto"/>
              <w:right w:val="nil"/>
            </w:tcBorders>
            <w:vAlign w:val="center"/>
          </w:tcPr>
          <w:p w14:paraId="68D3AF51" w14:textId="77777777" w:rsidR="0030397F" w:rsidRPr="00795631" w:rsidRDefault="00966244" w:rsidP="003E4D27">
            <w:pPr>
              <w:spacing w:after="0"/>
              <w:rPr>
                <w:rFonts w:eastAsia="Times New Roman" w:cs="Times New Roman"/>
                <w:color w:val="000000"/>
                <w:szCs w:val="24"/>
              </w:rPr>
            </w:pPr>
            <w:r>
              <w:rPr>
                <w:rFonts w:eastAsia="Times New Roman" w:cs="Times New Roman"/>
                <w:color w:val="000000"/>
                <w:szCs w:val="24"/>
              </w:rPr>
              <w:t>psia</w:t>
            </w:r>
          </w:p>
        </w:tc>
      </w:tr>
    </w:tbl>
    <w:p w14:paraId="548CDF6B" w14:textId="77777777" w:rsidR="003E4D27" w:rsidRDefault="003E4D27" w:rsidP="0091793B">
      <w:pPr>
        <w:spacing w:line="360" w:lineRule="auto"/>
        <w:jc w:val="both"/>
        <w:rPr>
          <w:rFonts w:cs="Times New Roman"/>
          <w:szCs w:val="24"/>
        </w:rPr>
      </w:pPr>
    </w:p>
    <w:p w14:paraId="3B63FF30" w14:textId="77777777" w:rsidR="003E4D27" w:rsidRDefault="003E4D27" w:rsidP="0091793B">
      <w:pPr>
        <w:spacing w:line="360" w:lineRule="auto"/>
        <w:jc w:val="both"/>
        <w:rPr>
          <w:rFonts w:cs="Times New Roman"/>
          <w:szCs w:val="24"/>
        </w:rPr>
      </w:pPr>
    </w:p>
    <w:p w14:paraId="06419CD2" w14:textId="16AEEF4A" w:rsidR="00457D79" w:rsidRPr="007B1B3B" w:rsidRDefault="00781F91" w:rsidP="0091793B">
      <w:pPr>
        <w:spacing w:line="360" w:lineRule="auto"/>
        <w:jc w:val="both"/>
        <w:rPr>
          <w:rFonts w:cs="Times New Roman"/>
          <w:szCs w:val="24"/>
        </w:rPr>
      </w:pPr>
      <w:r>
        <w:rPr>
          <w:rFonts w:cs="Times New Roman"/>
          <w:szCs w:val="24"/>
        </w:rPr>
        <w:t xml:space="preserve">The saturation properties for water listed </w:t>
      </w:r>
      <w:r w:rsidR="007B5623">
        <w:rPr>
          <w:rFonts w:cs="Times New Roman"/>
          <w:szCs w:val="24"/>
        </w:rPr>
        <w:t>in Table VIII</w:t>
      </w:r>
      <w:r>
        <w:rPr>
          <w:rFonts w:cs="Times New Roman"/>
          <w:szCs w:val="24"/>
        </w:rPr>
        <w:t xml:space="preserve"> w</w:t>
      </w:r>
      <w:r w:rsidR="00B039B9">
        <w:rPr>
          <w:rFonts w:cs="Times New Roman"/>
          <w:szCs w:val="24"/>
        </w:rPr>
        <w:t>ere calculated using</w:t>
      </w:r>
      <w:r w:rsidR="00506B4A">
        <w:rPr>
          <w:rFonts w:cs="Times New Roman"/>
          <w:szCs w:val="24"/>
        </w:rPr>
        <w:t xml:space="preserve"> </w:t>
      </w:r>
      <w:r w:rsidR="00506B4A" w:rsidRPr="00CB7B4E">
        <w:rPr>
          <w:rFonts w:cs="Times New Roman"/>
          <w:szCs w:val="24"/>
        </w:rPr>
        <w:t>National Institute of Standards and Technology</w:t>
      </w:r>
      <w:r w:rsidR="00B039B9">
        <w:rPr>
          <w:rFonts w:cs="Times New Roman"/>
          <w:szCs w:val="24"/>
        </w:rPr>
        <w:t xml:space="preserve"> </w:t>
      </w:r>
      <w:r w:rsidR="00506B4A">
        <w:rPr>
          <w:rFonts w:cs="Times New Roman"/>
          <w:szCs w:val="24"/>
        </w:rPr>
        <w:t>(</w:t>
      </w:r>
      <w:r w:rsidR="00B039B9">
        <w:rPr>
          <w:rFonts w:cs="Times New Roman"/>
          <w:szCs w:val="24"/>
        </w:rPr>
        <w:t>NIST</w:t>
      </w:r>
      <w:r w:rsidR="00506B4A">
        <w:rPr>
          <w:rFonts w:cs="Times New Roman"/>
          <w:szCs w:val="24"/>
        </w:rPr>
        <w:t>)</w:t>
      </w:r>
      <w:r w:rsidR="00B039B9">
        <w:rPr>
          <w:rFonts w:cs="Times New Roman"/>
          <w:szCs w:val="24"/>
        </w:rPr>
        <w:t xml:space="preserve"> </w:t>
      </w:r>
      <w:r w:rsidR="00D00A8B">
        <w:rPr>
          <w:rFonts w:cs="Times New Roman"/>
          <w:szCs w:val="24"/>
        </w:rPr>
        <w:fldChar w:fldCharType="begin"/>
      </w:r>
      <w:r w:rsidR="00817846">
        <w:rPr>
          <w:rFonts w:cs="Times New Roman"/>
          <w:szCs w:val="24"/>
        </w:rPr>
        <w:instrText xml:space="preserve"> ADDIN EN.CITE &lt;EndNote&gt;&lt;Cite&gt;&lt;Author&gt;Lemmon&lt;/Author&gt;&lt;Year&gt;2007&lt;/Year&gt;&lt;RecNum&gt;46&lt;/RecNum&gt;&lt;DisplayText&gt;[54]&lt;/DisplayText&gt;&lt;record&gt;&lt;rec-number&gt;46&lt;/rec-number&gt;&lt;foreign-keys&gt;&lt;key app="EN" db-id="trfxzx057wwv0qe0vz1vttttwf0522tvtwpt" timestamp="1422130004"&gt;46&lt;/key&gt;&lt;/foreign-keys&gt;&lt;ref-type name="Generic"&gt;13&lt;/ref-type&gt;&lt;contributors&gt;&lt;authors&gt;&lt;author&gt;Lemmon, EW&lt;/author&gt;&lt;author&gt;Peskin, AP&lt;/author&gt;&lt;author&gt;McLinden, MO&lt;/author&gt;&lt;author&gt;Friend, DG&lt;/author&gt;&lt;/authors&gt;&lt;/contributors&gt;&lt;titles&gt;&lt;title&gt;NIST12 Thermodynamic and Transport Properties of Pure Fluids-NIST Standard Reference Database 23&lt;/title&gt;&lt;/titles&gt;&lt;dates&gt;&lt;year&gt;2007&lt;/year&gt;&lt;/dates&gt;&lt;publisher&gt;Version&lt;/publisher&gt;&lt;urls&gt;&lt;/urls&gt;&lt;/record&gt;&lt;/Cite&gt;&lt;/EndNote&gt;</w:instrText>
      </w:r>
      <w:r w:rsidR="00D00A8B">
        <w:rPr>
          <w:rFonts w:cs="Times New Roman"/>
          <w:szCs w:val="24"/>
        </w:rPr>
        <w:fldChar w:fldCharType="separate"/>
      </w:r>
      <w:r w:rsidR="00817846">
        <w:rPr>
          <w:rFonts w:cs="Times New Roman"/>
          <w:noProof/>
          <w:szCs w:val="24"/>
        </w:rPr>
        <w:t>[</w:t>
      </w:r>
      <w:hyperlink w:anchor="_ENREF_54" w:tooltip="Lemmon, 2007 #46" w:history="1">
        <w:r w:rsidR="00DF20CB">
          <w:rPr>
            <w:rFonts w:cs="Times New Roman"/>
            <w:noProof/>
            <w:szCs w:val="24"/>
          </w:rPr>
          <w:t>54</w:t>
        </w:r>
      </w:hyperlink>
      <w:r w:rsidR="00817846">
        <w:rPr>
          <w:rFonts w:cs="Times New Roman"/>
          <w:noProof/>
          <w:szCs w:val="24"/>
        </w:rPr>
        <w:t>]</w:t>
      </w:r>
      <w:r w:rsidR="00D00A8B">
        <w:rPr>
          <w:rFonts w:cs="Times New Roman"/>
          <w:szCs w:val="24"/>
        </w:rPr>
        <w:fldChar w:fldCharType="end"/>
      </w:r>
      <w:r>
        <w:rPr>
          <w:rFonts w:cs="Times New Roman"/>
          <w:szCs w:val="24"/>
        </w:rPr>
        <w:t xml:space="preserve"> software with respect to the core pressure. </w:t>
      </w:r>
      <w:r w:rsidR="00E744EA">
        <w:rPr>
          <w:rFonts w:eastAsiaTheme="minorEastAsia" w:cs="Times New Roman"/>
          <w:szCs w:val="24"/>
        </w:rPr>
        <w:t xml:space="preserve">Due to the negative </w:t>
      </w:r>
      <w:r w:rsidR="00D65CDA">
        <w:rPr>
          <w:rFonts w:eastAsiaTheme="minorEastAsia" w:cs="Times New Roman"/>
          <w:szCs w:val="24"/>
        </w:rPr>
        <w:t>MTC</w:t>
      </w:r>
      <w:r w:rsidR="00E744EA">
        <w:rPr>
          <w:rFonts w:eastAsiaTheme="minorEastAsia" w:cs="Times New Roman"/>
          <w:szCs w:val="24"/>
        </w:rPr>
        <w:t xml:space="preserve"> that exists in LWRs, the density of the coolant plays a major role in the thermalization of the neutron spectrum and thus reactivity. </w:t>
      </w:r>
      <w:r w:rsidR="002E35CF">
        <w:rPr>
          <w:rFonts w:eastAsiaTheme="minorEastAsia" w:cs="Times New Roman"/>
          <w:szCs w:val="24"/>
        </w:rPr>
        <w:t>Thus, f</w:t>
      </w:r>
      <w:r w:rsidR="003A6E52">
        <w:rPr>
          <w:rFonts w:eastAsiaTheme="minorEastAsia" w:cs="Times New Roman"/>
          <w:szCs w:val="24"/>
        </w:rPr>
        <w:t xml:space="preserve">luid densities </w:t>
      </w:r>
      <w:r w:rsidR="007B1B3B">
        <w:rPr>
          <w:rFonts w:eastAsiaTheme="minorEastAsia" w:cs="Times New Roman"/>
          <w:szCs w:val="24"/>
        </w:rPr>
        <w:t xml:space="preserve">were calculated by steam tables containing water properties such as temperature, pressure, entropy, etc. </w:t>
      </w:r>
      <w:r w:rsidR="007B1B3B">
        <w:rPr>
          <w:rFonts w:cs="Times New Roman"/>
          <w:szCs w:val="24"/>
        </w:rPr>
        <w:t>The temperature of the fuel pellet is heavily dependent on the power of the core at a given time step.</w:t>
      </w:r>
      <w:r w:rsidR="007B1B3B" w:rsidRPr="007B1B3B">
        <w:rPr>
          <w:rFonts w:cs="Times New Roman"/>
          <w:szCs w:val="24"/>
        </w:rPr>
        <w:t xml:space="preserve"> </w:t>
      </w:r>
      <w:r w:rsidR="002E35CF">
        <w:rPr>
          <w:rFonts w:cs="Times New Roman"/>
          <w:szCs w:val="24"/>
        </w:rPr>
        <w:lastRenderedPageBreak/>
        <w:t>Therefore the average and surface</w:t>
      </w:r>
      <w:r w:rsidR="007B1B3B">
        <w:rPr>
          <w:rFonts w:cs="Times New Roman"/>
          <w:szCs w:val="24"/>
        </w:rPr>
        <w:t xml:space="preserve"> temperature is calculated with polynomial equation as a function of linear power density</w:t>
      </w:r>
      <w:r w:rsidR="007B1B3B">
        <w:rPr>
          <w:rFonts w:eastAsiaTheme="minorEastAsia" w:cs="Times New Roman"/>
          <w:szCs w:val="24"/>
        </w:rPr>
        <w:t>.</w:t>
      </w:r>
      <w:r w:rsidR="002E35CF">
        <w:rPr>
          <w:rFonts w:cs="Times New Roman"/>
          <w:szCs w:val="24"/>
        </w:rPr>
        <w:t xml:space="preserve"> Once calculated, these properties </w:t>
      </w:r>
      <w:r w:rsidR="00483233">
        <w:rPr>
          <w:rFonts w:cs="Times New Roman"/>
          <w:szCs w:val="24"/>
        </w:rPr>
        <w:t>are fed directly into equation 4.3</w:t>
      </w:r>
      <w:r w:rsidR="002E35CF">
        <w:rPr>
          <w:rFonts w:cs="Times New Roman"/>
          <w:szCs w:val="24"/>
        </w:rPr>
        <w:t xml:space="preserve"> in order to update the cross-section data used to calculate the diffusion equation.</w:t>
      </w:r>
    </w:p>
    <w:p w14:paraId="1E29E99A" w14:textId="54BC44B6" w:rsidR="00CC5C54" w:rsidRDefault="00CC5C54" w:rsidP="0091793B">
      <w:pPr>
        <w:spacing w:line="360" w:lineRule="auto"/>
        <w:jc w:val="both"/>
        <w:rPr>
          <w:rFonts w:eastAsiaTheme="minorEastAsia" w:cs="Times New Roman"/>
          <w:szCs w:val="24"/>
        </w:rPr>
      </w:pPr>
      <w:r>
        <w:rPr>
          <w:rFonts w:eastAsiaTheme="minorEastAsia" w:cs="Times New Roman"/>
          <w:szCs w:val="24"/>
        </w:rPr>
        <w:t>The two-phase coolant present in a BWR can be modeled in a variety of ways, ranging on the desir</w:t>
      </w:r>
      <w:r w:rsidR="008149D6">
        <w:rPr>
          <w:rFonts w:eastAsiaTheme="minorEastAsia" w:cs="Times New Roman"/>
          <w:szCs w:val="24"/>
        </w:rPr>
        <w:t>ed level of complexity. The</w:t>
      </w:r>
      <w:r>
        <w:rPr>
          <w:rFonts w:eastAsiaTheme="minorEastAsia" w:cs="Times New Roman"/>
          <w:szCs w:val="24"/>
        </w:rPr>
        <w:t xml:space="preserve"> </w:t>
      </w:r>
      <w:r w:rsidR="003A01BC">
        <w:rPr>
          <w:rFonts w:eastAsiaTheme="minorEastAsia" w:cs="Times New Roman"/>
          <w:szCs w:val="24"/>
        </w:rPr>
        <w:t>DFM</w:t>
      </w:r>
      <w:r>
        <w:rPr>
          <w:rFonts w:eastAsiaTheme="minorEastAsia" w:cs="Times New Roman"/>
          <w:szCs w:val="24"/>
        </w:rPr>
        <w:t xml:space="preserve"> was </w:t>
      </w:r>
      <w:r w:rsidR="008149D6">
        <w:rPr>
          <w:rFonts w:eastAsiaTheme="minorEastAsia" w:cs="Times New Roman"/>
          <w:szCs w:val="24"/>
        </w:rPr>
        <w:t xml:space="preserve">thus </w:t>
      </w:r>
      <w:r>
        <w:rPr>
          <w:rFonts w:eastAsiaTheme="minorEastAsia" w:cs="Times New Roman"/>
          <w:szCs w:val="24"/>
        </w:rPr>
        <w:t>chosen to</w:t>
      </w:r>
      <w:r w:rsidR="008149D6">
        <w:rPr>
          <w:rFonts w:eastAsiaTheme="minorEastAsia" w:cs="Times New Roman"/>
          <w:szCs w:val="24"/>
        </w:rPr>
        <w:t xml:space="preserve"> simulate the flow within the thermal hydraulic model </w:t>
      </w:r>
      <w:r w:rsidR="00186A49">
        <w:rPr>
          <w:rFonts w:eastAsiaTheme="minorEastAsia" w:cs="Times New Roman"/>
          <w:szCs w:val="24"/>
        </w:rPr>
        <w:t>of NESTLE. As opposed to the HEM</w:t>
      </w:r>
      <w:r w:rsidR="008149D6">
        <w:rPr>
          <w:rFonts w:eastAsiaTheme="minorEastAsia" w:cs="Times New Roman"/>
          <w:szCs w:val="24"/>
        </w:rPr>
        <w:t xml:space="preserve"> which is typically used for PWRs, the DFM does not assume that the liquid and vapor velocities are identical. However, rather than solving the mass, momentum and energy equations explicitly for both fluids, the DFM reduces the six equations down to four: continuity of mass for the vapor and the entire mixture, momentum for the mixture and energy for the mixture</w:t>
      </w:r>
      <w:r w:rsidR="00DF20CB">
        <w:rPr>
          <w:rFonts w:eastAsiaTheme="minorEastAsia" w:cs="Times New Roman"/>
          <w:szCs w:val="24"/>
        </w:rPr>
        <w:t xml:space="preserve"> </w:t>
      </w:r>
      <w:r w:rsidR="00DF20CB">
        <w:rPr>
          <w:rFonts w:eastAsiaTheme="minorEastAsia" w:cs="Times New Roman"/>
          <w:szCs w:val="24"/>
        </w:rPr>
        <w:fldChar w:fldCharType="begin"/>
      </w:r>
      <w:r w:rsidR="00DF20CB">
        <w:rPr>
          <w:rFonts w:eastAsiaTheme="minorEastAsia" w:cs="Times New Roman"/>
          <w:szCs w:val="24"/>
        </w:rPr>
        <w:instrText xml:space="preserve"> ADDIN EN.CITE &lt;EndNote&gt;&lt;Cite&gt;&lt;Author&gt;Luciano&lt;/Author&gt;&lt;Year&gt;2012&lt;/Year&gt;&lt;RecNum&gt;105&lt;/RecNum&gt;&lt;DisplayText&gt;[55]&lt;/DisplayText&gt;&lt;record&gt;&lt;rec-number&gt;105&lt;/rec-number&gt;&lt;foreign-keys&gt;&lt;key app="EN" db-id="trfxzx057wwv0qe0vz1vttttwf0522tvtwpt" timestamp="1422392054"&gt;105&lt;/key&gt;&lt;/foreign-keys&gt;&lt;ref-type name="Journal Article"&gt;17&lt;/ref-type&gt;&lt;contributors&gt;&lt;authors&gt;&lt;author&gt;Luciano, Nick&lt;/author&gt;&lt;/authors&gt;&lt;/contributors&gt;&lt;titles&gt;&lt;title&gt;The Drift Flux Model as Implemented in NESTLE&lt;/title&gt;&lt;/titles&gt;&lt;dates&gt;&lt;year&gt;2012&lt;/year&gt;&lt;/dates&gt;&lt;urls&gt;&lt;/urls&gt;&lt;/record&gt;&lt;/Cite&gt;&lt;/EndNote&gt;</w:instrText>
      </w:r>
      <w:r w:rsidR="00DF20CB">
        <w:rPr>
          <w:rFonts w:eastAsiaTheme="minorEastAsia" w:cs="Times New Roman"/>
          <w:szCs w:val="24"/>
        </w:rPr>
        <w:fldChar w:fldCharType="separate"/>
      </w:r>
      <w:r w:rsidR="00DF20CB">
        <w:rPr>
          <w:rFonts w:eastAsiaTheme="minorEastAsia" w:cs="Times New Roman"/>
          <w:noProof/>
          <w:szCs w:val="24"/>
        </w:rPr>
        <w:t>[</w:t>
      </w:r>
      <w:hyperlink w:anchor="_ENREF_55" w:tooltip="Luciano, 2012 #105" w:history="1">
        <w:r w:rsidR="00DF20CB">
          <w:rPr>
            <w:rFonts w:eastAsiaTheme="minorEastAsia" w:cs="Times New Roman"/>
            <w:noProof/>
            <w:szCs w:val="24"/>
          </w:rPr>
          <w:t>55</w:t>
        </w:r>
      </w:hyperlink>
      <w:r w:rsidR="00DF20CB">
        <w:rPr>
          <w:rFonts w:eastAsiaTheme="minorEastAsia" w:cs="Times New Roman"/>
          <w:noProof/>
          <w:szCs w:val="24"/>
        </w:rPr>
        <w:t>]</w:t>
      </w:r>
      <w:r w:rsidR="00DF20CB">
        <w:rPr>
          <w:rFonts w:eastAsiaTheme="minorEastAsia" w:cs="Times New Roman"/>
          <w:szCs w:val="24"/>
        </w:rPr>
        <w:fldChar w:fldCharType="end"/>
      </w:r>
      <w:r w:rsidR="008149D6">
        <w:rPr>
          <w:rFonts w:eastAsiaTheme="minorEastAsia" w:cs="Times New Roman"/>
          <w:szCs w:val="24"/>
        </w:rPr>
        <w:t xml:space="preserve">. </w:t>
      </w:r>
    </w:p>
    <w:p w14:paraId="48F36D18" w14:textId="77777777" w:rsidR="00EA1A2C" w:rsidRPr="00A77E4F" w:rsidRDefault="004A16CF" w:rsidP="0091793B">
      <w:pPr>
        <w:spacing w:line="360" w:lineRule="auto"/>
        <w:jc w:val="both"/>
        <w:rPr>
          <w:rFonts w:eastAsiaTheme="minorEastAsia" w:cs="Times New Roman"/>
          <w:szCs w:val="24"/>
        </w:rPr>
      </w:pPr>
      <w:r>
        <w:rPr>
          <w:rFonts w:eastAsiaTheme="minorEastAsia" w:cs="Times New Roman"/>
          <w:szCs w:val="24"/>
        </w:rPr>
        <w:t xml:space="preserve">When calculating the energy and momentum equations, there are three different approaches available in NESTLE </w:t>
      </w:r>
      <w:r w:rsidR="00AB34B9">
        <w:rPr>
          <w:rFonts w:eastAsiaTheme="minorEastAsia" w:cs="Times New Roman"/>
          <w:szCs w:val="24"/>
        </w:rPr>
        <w:t xml:space="preserve">used </w:t>
      </w:r>
      <w:r>
        <w:rPr>
          <w:rFonts w:eastAsiaTheme="minorEastAsia" w:cs="Times New Roman"/>
          <w:szCs w:val="24"/>
        </w:rPr>
        <w:t>to relate the void fraction of the coolant with the other known parameters</w:t>
      </w:r>
      <w:r w:rsidR="00AB34B9">
        <w:rPr>
          <w:rFonts w:eastAsiaTheme="minorEastAsia" w:cs="Times New Roman"/>
          <w:szCs w:val="24"/>
        </w:rPr>
        <w:t>. Each model was run in NESTLE</w:t>
      </w:r>
      <w:r w:rsidR="00BE6BD2">
        <w:rPr>
          <w:rFonts w:eastAsiaTheme="minorEastAsia" w:cs="Times New Roman"/>
          <w:szCs w:val="24"/>
        </w:rPr>
        <w:t>,</w:t>
      </w:r>
      <w:r w:rsidR="00AB34B9">
        <w:rPr>
          <w:rFonts w:eastAsiaTheme="minorEastAsia" w:cs="Times New Roman"/>
          <w:szCs w:val="24"/>
        </w:rPr>
        <w:t xml:space="preserve"> varying the coolant density of each axial zone (described in section </w:t>
      </w:r>
      <w:r w:rsidR="00483233">
        <w:rPr>
          <w:rFonts w:eastAsiaTheme="minorEastAsia" w:cs="Times New Roman"/>
          <w:szCs w:val="24"/>
        </w:rPr>
        <w:t>VI.C.1.</w:t>
      </w:r>
      <w:r w:rsidR="00AB34B9">
        <w:rPr>
          <w:rFonts w:eastAsiaTheme="minorEastAsia" w:cs="Times New Roman"/>
          <w:szCs w:val="24"/>
        </w:rPr>
        <w:t xml:space="preserve">). After numerous criticality calculations were performed, the Zuber-Findlay Model (ZFM) was chosen due to its ability to </w:t>
      </w:r>
      <w:r w:rsidR="007B1B3B">
        <w:rPr>
          <w:rFonts w:eastAsiaTheme="minorEastAsia" w:cs="Times New Roman"/>
          <w:szCs w:val="24"/>
        </w:rPr>
        <w:t xml:space="preserve">reliably </w:t>
      </w:r>
      <w:r w:rsidR="00AB34B9">
        <w:rPr>
          <w:rFonts w:eastAsiaTheme="minorEastAsia" w:cs="Times New Roman"/>
          <w:szCs w:val="24"/>
        </w:rPr>
        <w:t>converge at each time</w:t>
      </w:r>
      <w:r w:rsidR="007B1B3B">
        <w:rPr>
          <w:rFonts w:eastAsiaTheme="minorEastAsia" w:cs="Times New Roman"/>
          <w:szCs w:val="24"/>
        </w:rPr>
        <w:t xml:space="preserve"> </w:t>
      </w:r>
      <w:r w:rsidR="00AB34B9">
        <w:rPr>
          <w:rFonts w:eastAsiaTheme="minorEastAsia" w:cs="Times New Roman"/>
          <w:szCs w:val="24"/>
        </w:rPr>
        <w:t xml:space="preserve">step </w:t>
      </w:r>
      <w:r w:rsidR="007B1B3B">
        <w:rPr>
          <w:rFonts w:eastAsiaTheme="minorEastAsia" w:cs="Times New Roman"/>
          <w:szCs w:val="24"/>
        </w:rPr>
        <w:t xml:space="preserve">under the </w:t>
      </w:r>
      <w:r w:rsidR="0072195F">
        <w:rPr>
          <w:rFonts w:eastAsiaTheme="minorEastAsia" w:cs="Times New Roman"/>
          <w:szCs w:val="24"/>
        </w:rPr>
        <w:t>fluctuating condition of the representative BWR core</w:t>
      </w:r>
      <w:r w:rsidR="007B1B3B">
        <w:rPr>
          <w:rFonts w:eastAsiaTheme="minorEastAsia" w:cs="Times New Roman"/>
          <w:szCs w:val="24"/>
        </w:rPr>
        <w:t>.</w:t>
      </w:r>
      <w:r w:rsidR="00AB34B9">
        <w:rPr>
          <w:rFonts w:eastAsiaTheme="minorEastAsia" w:cs="Times New Roman"/>
          <w:szCs w:val="24"/>
        </w:rPr>
        <w:t xml:space="preserve"> </w:t>
      </w:r>
    </w:p>
    <w:p w14:paraId="3DAD1BBE" w14:textId="77777777" w:rsidR="00594F37" w:rsidRDefault="00594F37" w:rsidP="0091793B">
      <w:pPr>
        <w:spacing w:line="360" w:lineRule="auto"/>
        <w:jc w:val="both"/>
        <w:rPr>
          <w:rFonts w:cs="Times New Roman"/>
          <w:szCs w:val="24"/>
        </w:rPr>
      </w:pPr>
    </w:p>
    <w:p w14:paraId="350E22B0" w14:textId="12AD033B" w:rsidR="00283ABD" w:rsidRDefault="000C774E" w:rsidP="00283ABD">
      <w:pPr>
        <w:widowControl w:val="0"/>
        <w:spacing w:before="240" w:after="0"/>
        <w:jc w:val="both"/>
        <w:rPr>
          <w:rFonts w:eastAsia="Times New Roman" w:cs="Times New Roman"/>
          <w:b/>
          <w:snapToGrid w:val="0"/>
          <w:sz w:val="28"/>
          <w:szCs w:val="24"/>
        </w:rPr>
      </w:pPr>
      <w:r>
        <w:rPr>
          <w:rFonts w:eastAsia="Times New Roman" w:cs="Times New Roman"/>
          <w:b/>
          <w:snapToGrid w:val="0"/>
          <w:sz w:val="28"/>
          <w:szCs w:val="24"/>
        </w:rPr>
        <w:t>IV</w:t>
      </w:r>
      <w:r w:rsidRPr="00AF6B03">
        <w:rPr>
          <w:rFonts w:eastAsia="Times New Roman" w:cs="Times New Roman"/>
          <w:b/>
          <w:snapToGrid w:val="0"/>
          <w:sz w:val="28"/>
          <w:szCs w:val="24"/>
        </w:rPr>
        <w:t>.</w:t>
      </w:r>
      <w:r w:rsidR="00CD06E6">
        <w:rPr>
          <w:rFonts w:eastAsia="Times New Roman" w:cs="Times New Roman"/>
          <w:b/>
          <w:snapToGrid w:val="0"/>
          <w:sz w:val="28"/>
          <w:szCs w:val="24"/>
        </w:rPr>
        <w:t>D</w:t>
      </w:r>
      <w:r w:rsidRPr="00AF6B03">
        <w:rPr>
          <w:rFonts w:eastAsia="Times New Roman" w:cs="Times New Roman"/>
          <w:b/>
          <w:snapToGrid w:val="0"/>
          <w:sz w:val="28"/>
          <w:szCs w:val="24"/>
        </w:rPr>
        <w:t xml:space="preserve">. </w:t>
      </w:r>
      <w:r w:rsidR="001D553C">
        <w:rPr>
          <w:rFonts w:eastAsia="Times New Roman" w:cs="Times New Roman"/>
          <w:b/>
          <w:snapToGrid w:val="0"/>
          <w:sz w:val="28"/>
          <w:szCs w:val="24"/>
        </w:rPr>
        <w:tab/>
      </w:r>
      <w:r>
        <w:rPr>
          <w:rFonts w:eastAsia="Times New Roman" w:cs="Times New Roman"/>
          <w:b/>
          <w:snapToGrid w:val="0"/>
          <w:sz w:val="28"/>
          <w:szCs w:val="24"/>
        </w:rPr>
        <w:t>Fuel Performance Model</w:t>
      </w:r>
    </w:p>
    <w:p w14:paraId="7A558B88" w14:textId="6ACE2B3D" w:rsidR="00283ABD" w:rsidRDefault="00007C03" w:rsidP="00283ABD">
      <w:pPr>
        <w:widowControl w:val="0"/>
        <w:spacing w:before="240" w:after="0" w:line="360" w:lineRule="auto"/>
        <w:jc w:val="both"/>
        <w:rPr>
          <w:rFonts w:eastAsia="Times New Roman" w:cs="Times New Roman"/>
          <w:b/>
          <w:snapToGrid w:val="0"/>
          <w:sz w:val="28"/>
          <w:szCs w:val="24"/>
        </w:rPr>
      </w:pPr>
      <w:r>
        <w:rPr>
          <w:rFonts w:cs="Times New Roman"/>
          <w:szCs w:val="24"/>
        </w:rPr>
        <w:t xml:space="preserve">BISON-CASL </w:t>
      </w:r>
      <w:r w:rsidR="000C774E">
        <w:rPr>
          <w:rFonts w:cs="Times New Roman"/>
          <w:szCs w:val="24"/>
        </w:rPr>
        <w:t xml:space="preserve">was used when analyzing the fuel performance changes accompanying the use of FeCrAl cladding over traditional zirconium-based alloys in a BWR environment. </w:t>
      </w:r>
      <w:r w:rsidR="001B1800">
        <w:rPr>
          <w:rFonts w:cs="Times New Roman"/>
          <w:szCs w:val="24"/>
        </w:rPr>
        <w:t>These calculations were carried out in collaboration with another research group at UTK which specializes in fuel performance evaluations and is led by Prof. Brian Wirth.  Thus, Mr.</w:t>
      </w:r>
      <w:r w:rsidR="000C774E">
        <w:rPr>
          <w:rFonts w:cs="Times New Roman"/>
          <w:szCs w:val="24"/>
        </w:rPr>
        <w:t xml:space="preserve"> Ryan Sweet, a </w:t>
      </w:r>
      <w:r w:rsidR="001B1800">
        <w:rPr>
          <w:rFonts w:cs="Times New Roman"/>
          <w:szCs w:val="24"/>
        </w:rPr>
        <w:t xml:space="preserve">PhD </w:t>
      </w:r>
      <w:r w:rsidR="000C774E">
        <w:rPr>
          <w:rFonts w:cs="Times New Roman"/>
          <w:szCs w:val="24"/>
        </w:rPr>
        <w:t xml:space="preserve">graduate student </w:t>
      </w:r>
      <w:r w:rsidR="001B1800">
        <w:rPr>
          <w:rFonts w:cs="Times New Roman"/>
          <w:szCs w:val="24"/>
        </w:rPr>
        <w:t>at UTK in Dr. Wirth’s research group undertook</w:t>
      </w:r>
      <w:r w:rsidR="000C774E">
        <w:rPr>
          <w:rFonts w:cs="Times New Roman"/>
          <w:szCs w:val="24"/>
        </w:rPr>
        <w:t xml:space="preserve"> these simulations.</w:t>
      </w:r>
      <w:r w:rsidR="002E35CF">
        <w:rPr>
          <w:rFonts w:cs="Times New Roman"/>
          <w:szCs w:val="24"/>
        </w:rPr>
        <w:t xml:space="preserve"> The following section will describe how the reactor physics results from NESTLE were </w:t>
      </w:r>
      <w:r w:rsidR="004747FF">
        <w:rPr>
          <w:rFonts w:cs="Times New Roman"/>
          <w:szCs w:val="24"/>
        </w:rPr>
        <w:t xml:space="preserve">generated and </w:t>
      </w:r>
      <w:r w:rsidR="002E35CF">
        <w:rPr>
          <w:rFonts w:cs="Times New Roman"/>
          <w:szCs w:val="24"/>
        </w:rPr>
        <w:t>used for eventual fuel performance analysis in BISON.</w:t>
      </w:r>
    </w:p>
    <w:p w14:paraId="3ED6D931" w14:textId="11E9D552" w:rsidR="0003299B" w:rsidRDefault="0003299B" w:rsidP="00283ABD">
      <w:pPr>
        <w:widowControl w:val="0"/>
        <w:spacing w:before="240" w:after="0" w:line="360" w:lineRule="auto"/>
        <w:contextualSpacing/>
        <w:jc w:val="both"/>
        <w:rPr>
          <w:rFonts w:eastAsia="Times New Roman" w:cs="Times New Roman"/>
          <w:b/>
          <w:snapToGrid w:val="0"/>
          <w:sz w:val="28"/>
          <w:szCs w:val="24"/>
        </w:rPr>
      </w:pPr>
    </w:p>
    <w:p w14:paraId="52A95413" w14:textId="77777777" w:rsidR="00066FB2" w:rsidRPr="00283ABD" w:rsidRDefault="00066FB2" w:rsidP="00283ABD">
      <w:pPr>
        <w:widowControl w:val="0"/>
        <w:spacing w:before="240" w:after="0" w:line="360" w:lineRule="auto"/>
        <w:contextualSpacing/>
        <w:jc w:val="both"/>
        <w:rPr>
          <w:rFonts w:eastAsia="Times New Roman" w:cs="Times New Roman"/>
          <w:b/>
          <w:snapToGrid w:val="0"/>
          <w:sz w:val="28"/>
          <w:szCs w:val="24"/>
        </w:rPr>
      </w:pPr>
    </w:p>
    <w:p w14:paraId="5356FF25" w14:textId="12619E2B" w:rsidR="00283ABD" w:rsidRDefault="000C774E" w:rsidP="00283ABD">
      <w:pPr>
        <w:widowControl w:val="0"/>
        <w:spacing w:before="240" w:after="0" w:line="360" w:lineRule="auto"/>
        <w:contextualSpacing/>
        <w:jc w:val="both"/>
        <w:rPr>
          <w:rFonts w:eastAsia="Times New Roman" w:cs="Times New Roman"/>
          <w:b/>
          <w:snapToGrid w:val="0"/>
          <w:szCs w:val="24"/>
        </w:rPr>
      </w:pPr>
      <w:r w:rsidRPr="00CF4C28">
        <w:rPr>
          <w:rFonts w:eastAsia="Times New Roman" w:cs="Times New Roman"/>
          <w:b/>
          <w:snapToGrid w:val="0"/>
          <w:szCs w:val="24"/>
        </w:rPr>
        <w:lastRenderedPageBreak/>
        <w:t>IV.</w:t>
      </w:r>
      <w:r w:rsidR="00CD06E6">
        <w:rPr>
          <w:rFonts w:eastAsia="Times New Roman" w:cs="Times New Roman"/>
          <w:b/>
          <w:snapToGrid w:val="0"/>
          <w:szCs w:val="24"/>
        </w:rPr>
        <w:t>D</w:t>
      </w:r>
      <w:r w:rsidRPr="00CF4C28">
        <w:rPr>
          <w:rFonts w:eastAsia="Times New Roman" w:cs="Times New Roman"/>
          <w:b/>
          <w:snapToGrid w:val="0"/>
          <w:szCs w:val="24"/>
        </w:rPr>
        <w:t>.</w:t>
      </w:r>
      <w:r w:rsidR="00CF4C28" w:rsidRPr="00CF4C28">
        <w:rPr>
          <w:rFonts w:eastAsia="Times New Roman" w:cs="Times New Roman"/>
          <w:b/>
          <w:snapToGrid w:val="0"/>
          <w:szCs w:val="24"/>
        </w:rPr>
        <w:t>1</w:t>
      </w:r>
      <w:r w:rsidRPr="00CF4C28">
        <w:rPr>
          <w:rFonts w:eastAsia="Times New Roman" w:cs="Times New Roman"/>
          <w:b/>
          <w:snapToGrid w:val="0"/>
          <w:szCs w:val="24"/>
        </w:rPr>
        <w:t xml:space="preserve"> </w:t>
      </w:r>
      <w:r w:rsidR="001D553C">
        <w:rPr>
          <w:rFonts w:eastAsia="Times New Roman" w:cs="Times New Roman"/>
          <w:b/>
          <w:snapToGrid w:val="0"/>
          <w:szCs w:val="24"/>
        </w:rPr>
        <w:tab/>
      </w:r>
      <w:r w:rsidRPr="00CF4C28">
        <w:rPr>
          <w:rFonts w:eastAsia="Times New Roman" w:cs="Times New Roman"/>
          <w:b/>
          <w:snapToGrid w:val="0"/>
          <w:szCs w:val="24"/>
        </w:rPr>
        <w:t>Coupling BISON-CASL and NESTLE</w:t>
      </w:r>
    </w:p>
    <w:p w14:paraId="4B87202F" w14:textId="77777777" w:rsidR="000C774E" w:rsidRPr="00283ABD" w:rsidRDefault="000C774E" w:rsidP="00283ABD">
      <w:pPr>
        <w:widowControl w:val="0"/>
        <w:spacing w:before="240" w:after="0" w:line="360" w:lineRule="auto"/>
        <w:jc w:val="both"/>
        <w:rPr>
          <w:rFonts w:eastAsia="Times New Roman" w:cs="Times New Roman"/>
          <w:b/>
          <w:snapToGrid w:val="0"/>
          <w:szCs w:val="24"/>
        </w:rPr>
      </w:pPr>
      <w:r>
        <w:rPr>
          <w:rFonts w:eastAsia="Times New Roman" w:cs="Times New Roman"/>
          <w:snapToGrid w:val="0"/>
          <w:szCs w:val="24"/>
        </w:rPr>
        <w:t>BWR linear heat rates were taken from the NESTLE neutronics results and fit axially to a 2D-RZ fuel rod model of BISON-CASL. It was decided that the most limiting fuel rod throughout the depletion cycle would be chosen for analysis in the fuel performance code. To determine which rod was limiting, axial and radial data was taken from the NESTLE equilibrium core as well as the CASMO lattice physics results. First, the hottest burning fuel assembly was chosen in NESTLE according to the hottest radial RPF throughout the depletion. Using this assembly, the axial RPFs were gathered at each tim</w:t>
      </w:r>
      <w:r w:rsidR="00CF4C28">
        <w:rPr>
          <w:rFonts w:eastAsia="Times New Roman" w:cs="Times New Roman"/>
          <w:snapToGrid w:val="0"/>
          <w:szCs w:val="24"/>
        </w:rPr>
        <w:t xml:space="preserve">e </w:t>
      </w:r>
      <w:r>
        <w:rPr>
          <w:rFonts w:eastAsia="Times New Roman" w:cs="Times New Roman"/>
          <w:snapToGrid w:val="0"/>
          <w:szCs w:val="24"/>
        </w:rPr>
        <w:t>step of the depletion sequence. These RPFs from the assembly-level were then fit to the hottest RPF fuel pin value from the CASMO depletion calculations. Multiplying the pin weighted RPF values to the average power of one fuel node effectively equated to the linear heat rate at each node at each time</w:t>
      </w:r>
      <w:r w:rsidR="00CF4C28">
        <w:rPr>
          <w:rFonts w:eastAsia="Times New Roman" w:cs="Times New Roman"/>
          <w:snapToGrid w:val="0"/>
          <w:szCs w:val="24"/>
        </w:rPr>
        <w:t xml:space="preserve"> </w:t>
      </w:r>
      <w:r>
        <w:rPr>
          <w:rFonts w:eastAsia="Times New Roman" w:cs="Times New Roman"/>
          <w:snapToGrid w:val="0"/>
          <w:szCs w:val="24"/>
        </w:rPr>
        <w:t xml:space="preserve">step. </w:t>
      </w:r>
    </w:p>
    <w:p w14:paraId="19EA7A93" w14:textId="77777777" w:rsidR="000C774E" w:rsidRDefault="000C774E" w:rsidP="00283ABD">
      <w:pPr>
        <w:widowControl w:val="0"/>
        <w:spacing w:before="240" w:after="0" w:line="360" w:lineRule="auto"/>
        <w:jc w:val="both"/>
        <w:rPr>
          <w:rFonts w:eastAsia="Times New Roman" w:cs="Times New Roman"/>
          <w:snapToGrid w:val="0"/>
          <w:szCs w:val="24"/>
        </w:rPr>
      </w:pPr>
      <w:r>
        <w:rPr>
          <w:rFonts w:eastAsia="Times New Roman" w:cs="Times New Roman"/>
          <w:snapToGrid w:val="0"/>
          <w:szCs w:val="24"/>
        </w:rPr>
        <w:t>This supplied sufficient data for the BISON-CASL model for the first cycle; however the goal of the fuel performance model was to simulate the entire life of the fuel rod. Therefore, using the EOC burnup data from the first assembly, an assembly within the equilibrium core that contained a similar BOC exposure was chosen to simulate the second cycle. This process was repeated again to produce linear heat rate values for all three 18-month cycles.</w:t>
      </w:r>
    </w:p>
    <w:p w14:paraId="536D2887" w14:textId="5ABB8322" w:rsidR="00283ABD" w:rsidRPr="00996885" w:rsidRDefault="0072195F" w:rsidP="00283ABD">
      <w:pPr>
        <w:widowControl w:val="0"/>
        <w:spacing w:before="240" w:after="0" w:line="360" w:lineRule="auto"/>
        <w:jc w:val="both"/>
        <w:rPr>
          <w:rFonts w:eastAsia="Times New Roman" w:cs="Times New Roman"/>
          <w:snapToGrid w:val="0"/>
          <w:szCs w:val="24"/>
        </w:rPr>
      </w:pPr>
      <w:r>
        <w:rPr>
          <w:rFonts w:eastAsia="Times New Roman" w:cs="Times New Roman"/>
          <w:snapToGrid w:val="0"/>
          <w:szCs w:val="24"/>
        </w:rPr>
        <w:t>N</w:t>
      </w:r>
      <w:r w:rsidR="000C774E">
        <w:rPr>
          <w:rFonts w:eastAsia="Times New Roman" w:cs="Times New Roman"/>
          <w:snapToGrid w:val="0"/>
          <w:szCs w:val="24"/>
        </w:rPr>
        <w:t xml:space="preserve">odal temperatures were </w:t>
      </w:r>
      <w:r w:rsidR="005C6C60">
        <w:rPr>
          <w:rFonts w:eastAsia="Times New Roman" w:cs="Times New Roman"/>
          <w:snapToGrid w:val="0"/>
          <w:szCs w:val="24"/>
        </w:rPr>
        <w:t xml:space="preserve">transferred </w:t>
      </w:r>
      <w:r w:rsidR="000C774E">
        <w:rPr>
          <w:rFonts w:eastAsia="Times New Roman" w:cs="Times New Roman"/>
          <w:snapToGrid w:val="0"/>
          <w:szCs w:val="24"/>
        </w:rPr>
        <w:t>from the thermal hydraulic results of NEST</w:t>
      </w:r>
      <w:r w:rsidR="005C6C60">
        <w:rPr>
          <w:rFonts w:eastAsia="Times New Roman" w:cs="Times New Roman"/>
          <w:snapToGrid w:val="0"/>
          <w:szCs w:val="24"/>
        </w:rPr>
        <w:t>L</w:t>
      </w:r>
      <w:r w:rsidR="000C774E">
        <w:rPr>
          <w:rFonts w:eastAsia="Times New Roman" w:cs="Times New Roman"/>
          <w:snapToGrid w:val="0"/>
          <w:szCs w:val="24"/>
        </w:rPr>
        <w:t>E for implementation in the fuel performance model. Throughout the depletion cycle, fluctuations in bulk coolant temperature were captured and used for boundary condition settings to establish the fuel rod temp</w:t>
      </w:r>
      <w:r w:rsidR="00283ABD">
        <w:rPr>
          <w:rFonts w:eastAsia="Times New Roman" w:cs="Times New Roman"/>
          <w:snapToGrid w:val="0"/>
          <w:szCs w:val="24"/>
        </w:rPr>
        <w:t xml:space="preserve">erature profile in BISON-CASL. </w:t>
      </w:r>
      <w:r>
        <w:rPr>
          <w:rFonts w:eastAsia="Times New Roman" w:cs="Times New Roman"/>
          <w:snapToGrid w:val="0"/>
          <w:szCs w:val="24"/>
        </w:rPr>
        <w:t>Lastly, the peak fast flux</w:t>
      </w:r>
      <w:r w:rsidR="005C6C60">
        <w:rPr>
          <w:rFonts w:eastAsia="Times New Roman" w:cs="Times New Roman"/>
          <w:snapToGrid w:val="0"/>
          <w:szCs w:val="24"/>
        </w:rPr>
        <w:t>es</w:t>
      </w:r>
      <w:r>
        <w:rPr>
          <w:rFonts w:eastAsia="Times New Roman" w:cs="Times New Roman"/>
          <w:snapToGrid w:val="0"/>
          <w:szCs w:val="24"/>
        </w:rPr>
        <w:t xml:space="preserve"> were gathered from both the Zircaloy and FeCrAl CASMO models at an energy range between 1 and 10 MeV. </w:t>
      </w:r>
    </w:p>
    <w:p w14:paraId="1DB895B1" w14:textId="45FD7FC8" w:rsidR="00996885" w:rsidRDefault="00CD06E6" w:rsidP="00293A39">
      <w:pPr>
        <w:widowControl w:val="0"/>
        <w:spacing w:before="240" w:after="0" w:line="360" w:lineRule="auto"/>
        <w:jc w:val="both"/>
        <w:rPr>
          <w:rFonts w:eastAsia="Times New Roman" w:cs="Times New Roman"/>
          <w:snapToGrid w:val="0"/>
          <w:szCs w:val="24"/>
        </w:rPr>
      </w:pPr>
      <w:r>
        <w:rPr>
          <w:rFonts w:eastAsia="Times New Roman" w:cs="Times New Roman"/>
          <w:b/>
          <w:snapToGrid w:val="0"/>
          <w:szCs w:val="24"/>
        </w:rPr>
        <w:t>IV.D</w:t>
      </w:r>
      <w:r w:rsidR="00CF4C28" w:rsidRPr="00CF4C28">
        <w:rPr>
          <w:rFonts w:eastAsia="Times New Roman" w:cs="Times New Roman"/>
          <w:b/>
          <w:snapToGrid w:val="0"/>
          <w:szCs w:val="24"/>
        </w:rPr>
        <w:t>.2</w:t>
      </w:r>
      <w:r w:rsidR="00CF4C28">
        <w:rPr>
          <w:rFonts w:eastAsia="Times New Roman" w:cs="Times New Roman"/>
          <w:b/>
          <w:snapToGrid w:val="0"/>
          <w:szCs w:val="24"/>
        </w:rPr>
        <w:t xml:space="preserve"> </w:t>
      </w:r>
      <w:r w:rsidR="001D553C">
        <w:rPr>
          <w:rFonts w:eastAsia="Times New Roman" w:cs="Times New Roman"/>
          <w:b/>
          <w:snapToGrid w:val="0"/>
          <w:szCs w:val="24"/>
        </w:rPr>
        <w:tab/>
      </w:r>
      <w:r w:rsidR="000C774E" w:rsidRPr="00CF4C28">
        <w:rPr>
          <w:rFonts w:eastAsia="Times New Roman" w:cs="Times New Roman"/>
          <w:b/>
          <w:snapToGrid w:val="0"/>
          <w:szCs w:val="24"/>
        </w:rPr>
        <w:t>BISON-CASL Simulations of FeCrAl and Zirconium</w:t>
      </w:r>
    </w:p>
    <w:p w14:paraId="4D536830" w14:textId="77777777" w:rsidR="000C774E" w:rsidRDefault="000C774E" w:rsidP="00293A39">
      <w:pPr>
        <w:widowControl w:val="0"/>
        <w:spacing w:before="240" w:after="0" w:line="360" w:lineRule="auto"/>
        <w:jc w:val="both"/>
        <w:rPr>
          <w:rFonts w:eastAsia="Times New Roman" w:cs="Times New Roman"/>
          <w:snapToGrid w:val="0"/>
          <w:szCs w:val="24"/>
        </w:rPr>
      </w:pPr>
      <w:r>
        <w:rPr>
          <w:rFonts w:eastAsia="Times New Roman" w:cs="Times New Roman"/>
          <w:snapToGrid w:val="0"/>
          <w:szCs w:val="24"/>
        </w:rPr>
        <w:t>Using th</w:t>
      </w:r>
      <w:r w:rsidR="00293A39">
        <w:rPr>
          <w:rFonts w:eastAsia="Times New Roman" w:cs="Times New Roman"/>
          <w:snapToGrid w:val="0"/>
          <w:szCs w:val="24"/>
        </w:rPr>
        <w:t>e data provided from the NESTLE full-core results,</w:t>
      </w:r>
      <w:r>
        <w:rPr>
          <w:rFonts w:eastAsia="Times New Roman" w:cs="Times New Roman"/>
          <w:snapToGrid w:val="0"/>
          <w:szCs w:val="24"/>
        </w:rPr>
        <w:t xml:space="preserve"> a 2D BISON-CASL simulation input and a geometric fuel rod model </w:t>
      </w:r>
      <w:r>
        <w:rPr>
          <w:rFonts w:eastAsia="Times New Roman" w:cs="Times New Roman"/>
          <w:b/>
          <w:snapToGrid w:val="0"/>
          <w:szCs w:val="24"/>
        </w:rPr>
        <w:t>(</w:t>
      </w:r>
      <w:r>
        <w:rPr>
          <w:rFonts w:eastAsia="Times New Roman" w:cs="Times New Roman"/>
          <w:snapToGrid w:val="0"/>
          <w:szCs w:val="24"/>
        </w:rPr>
        <w:t xml:space="preserve">shown </w:t>
      </w:r>
      <w:r w:rsidRPr="00563708">
        <w:rPr>
          <w:rFonts w:eastAsia="Times New Roman" w:cs="Times New Roman"/>
          <w:snapToGrid w:val="0"/>
          <w:szCs w:val="24"/>
        </w:rPr>
        <w:t xml:space="preserve">in </w:t>
      </w:r>
      <w:r w:rsidR="00563708" w:rsidRPr="00563708">
        <w:rPr>
          <w:rFonts w:eastAsia="Times New Roman" w:cs="Times New Roman"/>
          <w:snapToGrid w:val="0"/>
          <w:szCs w:val="24"/>
        </w:rPr>
        <w:t>Figure 25</w:t>
      </w:r>
      <w:r w:rsidRPr="00563708">
        <w:rPr>
          <w:rFonts w:eastAsia="Times New Roman" w:cs="Times New Roman"/>
          <w:snapToGrid w:val="0"/>
          <w:szCs w:val="24"/>
        </w:rPr>
        <w:t>)</w:t>
      </w:r>
      <w:r>
        <w:rPr>
          <w:rFonts w:eastAsia="Times New Roman" w:cs="Times New Roman"/>
          <w:snapToGrid w:val="0"/>
          <w:szCs w:val="24"/>
        </w:rPr>
        <w:t xml:space="preserve"> were developed. The fuel in the geometric model is simplified by using a single smeared fuel pellet s</w:t>
      </w:r>
      <w:r w:rsidR="00283ABD">
        <w:rPr>
          <w:rFonts w:eastAsia="Times New Roman" w:cs="Times New Roman"/>
          <w:snapToGrid w:val="0"/>
          <w:szCs w:val="24"/>
        </w:rPr>
        <w:t>panning the length of the rod. Red cells indicate the UO</w:t>
      </w:r>
      <w:r w:rsidR="00283ABD">
        <w:rPr>
          <w:rFonts w:eastAsia="Times New Roman" w:cs="Times New Roman"/>
          <w:snapToGrid w:val="0"/>
          <w:szCs w:val="24"/>
        </w:rPr>
        <w:softHyphen/>
      </w:r>
      <w:r w:rsidR="00283ABD">
        <w:rPr>
          <w:rFonts w:eastAsia="Times New Roman" w:cs="Times New Roman"/>
          <w:snapToGrid w:val="0"/>
          <w:szCs w:val="24"/>
          <w:vertAlign w:val="subscript"/>
        </w:rPr>
        <w:t>2</w:t>
      </w:r>
      <w:r w:rsidR="00283ABD">
        <w:rPr>
          <w:rFonts w:eastAsia="Times New Roman" w:cs="Times New Roman"/>
          <w:snapToGrid w:val="0"/>
          <w:szCs w:val="24"/>
        </w:rPr>
        <w:t xml:space="preserve"> fuel region while blue represents the cladding. </w:t>
      </w:r>
    </w:p>
    <w:p w14:paraId="13D0DED2" w14:textId="77777777" w:rsidR="00293A39" w:rsidRDefault="00293A39" w:rsidP="000C774E">
      <w:pPr>
        <w:widowControl w:val="0"/>
        <w:spacing w:before="240" w:after="0"/>
        <w:contextualSpacing/>
        <w:jc w:val="both"/>
        <w:rPr>
          <w:rFonts w:eastAsia="Times New Roman" w:cs="Times New Roman"/>
          <w:snapToGrid w:val="0"/>
          <w:szCs w:val="24"/>
        </w:rPr>
      </w:pPr>
    </w:p>
    <w:p w14:paraId="4F00C88C" w14:textId="77777777" w:rsidR="00293A39" w:rsidRDefault="00293A39" w:rsidP="000C774E">
      <w:pPr>
        <w:widowControl w:val="0"/>
        <w:spacing w:before="240" w:after="0"/>
        <w:contextualSpacing/>
        <w:jc w:val="both"/>
        <w:rPr>
          <w:rFonts w:eastAsia="Times New Roman" w:cs="Times New Roman"/>
          <w:snapToGrid w:val="0"/>
          <w:szCs w:val="24"/>
        </w:rPr>
      </w:pPr>
    </w:p>
    <w:p w14:paraId="6C1A8DC8" w14:textId="77777777" w:rsidR="00293A39" w:rsidRDefault="00293A39" w:rsidP="00293A39">
      <w:pPr>
        <w:widowControl w:val="0"/>
        <w:spacing w:before="240" w:after="0"/>
        <w:rPr>
          <w:rFonts w:eastAsia="Times New Roman" w:cs="Times New Roman"/>
          <w:snapToGrid w:val="0"/>
          <w:szCs w:val="24"/>
        </w:rPr>
      </w:pPr>
      <w:r>
        <w:rPr>
          <w:rFonts w:eastAsia="Times New Roman" w:cs="Times New Roman"/>
          <w:noProof/>
          <w:szCs w:val="24"/>
        </w:rPr>
        <w:drawing>
          <wp:inline distT="0" distB="0" distL="0" distR="0" wp14:anchorId="1DD69CF5" wp14:editId="4D502757">
            <wp:extent cx="1943100" cy="2794635"/>
            <wp:effectExtent l="0" t="0" r="12700" b="0"/>
            <wp:docPr id="8" name="Picture 8" descr="Mac OS:Users:rsweet1:Desktop:Screen Shot 2015-02-24 at 8.41.13 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 OS:Users:rsweet1:Desktop:Screen Shot 2015-02-24 at 8.41.13 AM.png"/>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943100" cy="2794635"/>
                    </a:xfrm>
                    <a:prstGeom prst="rect">
                      <a:avLst/>
                    </a:prstGeom>
                    <a:noFill/>
                    <a:ln>
                      <a:noFill/>
                    </a:ln>
                  </pic:spPr>
                </pic:pic>
              </a:graphicData>
            </a:graphic>
          </wp:inline>
        </w:drawing>
      </w:r>
    </w:p>
    <w:p w14:paraId="51BE1336" w14:textId="77777777" w:rsidR="00293A39" w:rsidRDefault="00293A39" w:rsidP="00293A39">
      <w:pPr>
        <w:rPr>
          <w:rFonts w:eastAsia="Times New Roman" w:cs="Times New Roman"/>
          <w:b/>
          <w:snapToGrid w:val="0"/>
          <w:sz w:val="22"/>
          <w:szCs w:val="24"/>
        </w:rPr>
      </w:pPr>
      <w:bookmarkStart w:id="35" w:name="_Toc416993464"/>
      <w:r>
        <w:t xml:space="preserve">Figure </w:t>
      </w:r>
      <w:fldSimple w:instr=" SEQ Figure \* ARABIC ">
        <w:r w:rsidR="00F3244B">
          <w:rPr>
            <w:noProof/>
          </w:rPr>
          <w:t>25</w:t>
        </w:r>
      </w:fldSimple>
      <w:r w:rsidR="008A5A33">
        <w:rPr>
          <w:noProof/>
        </w:rPr>
        <w:t>:</w:t>
      </w:r>
      <w:r>
        <w:t xml:space="preserve"> Mesh of smeared pellet fuel rod model with 300 </w:t>
      </w:r>
      <w:r>
        <w:rPr>
          <w:rFonts w:cs="Times New Roman"/>
        </w:rPr>
        <w:t>μ</w:t>
      </w:r>
      <w:r>
        <w:t>m cladding</w:t>
      </w:r>
      <w:bookmarkEnd w:id="35"/>
    </w:p>
    <w:p w14:paraId="03F3EBA4" w14:textId="77777777" w:rsidR="00293A39" w:rsidRPr="00283ABD" w:rsidRDefault="00293A39" w:rsidP="000C774E">
      <w:pPr>
        <w:widowControl w:val="0"/>
        <w:spacing w:before="240" w:after="0"/>
        <w:contextualSpacing/>
        <w:jc w:val="both"/>
        <w:rPr>
          <w:rFonts w:eastAsia="Times New Roman" w:cs="Times New Roman"/>
          <w:b/>
          <w:snapToGrid w:val="0"/>
          <w:sz w:val="28"/>
          <w:szCs w:val="24"/>
        </w:rPr>
      </w:pPr>
    </w:p>
    <w:p w14:paraId="3FA3B112" w14:textId="6D056FD0" w:rsidR="00293A39" w:rsidRDefault="000C774E" w:rsidP="00293A39">
      <w:pPr>
        <w:widowControl w:val="0"/>
        <w:spacing w:before="240" w:after="0" w:line="360" w:lineRule="auto"/>
        <w:jc w:val="both"/>
        <w:rPr>
          <w:rFonts w:eastAsia="Times New Roman" w:cs="Times New Roman"/>
          <w:snapToGrid w:val="0"/>
          <w:szCs w:val="24"/>
        </w:rPr>
      </w:pPr>
      <w:r>
        <w:rPr>
          <w:rFonts w:eastAsia="Times New Roman" w:cs="Times New Roman"/>
          <w:snapToGrid w:val="0"/>
          <w:szCs w:val="24"/>
        </w:rPr>
        <w:t>BISON-CASL simulations utilize the provided power history and axial peaking factors of the fuel rod to determine to the power produced in the fuel rod at a specific time. This, in turn, allows the temperature to be calculated along with other dependent material properties th</w:t>
      </w:r>
      <w:r w:rsidR="0004111C">
        <w:rPr>
          <w:rFonts w:eastAsia="Times New Roman" w:cs="Times New Roman"/>
          <w:snapToGrid w:val="0"/>
          <w:szCs w:val="24"/>
        </w:rPr>
        <w:t>rough the lifetime of the fuel.</w:t>
      </w:r>
      <w:r>
        <w:rPr>
          <w:rFonts w:eastAsia="Times New Roman" w:cs="Times New Roman"/>
          <w:snapToGrid w:val="0"/>
          <w:szCs w:val="24"/>
        </w:rPr>
        <w:t xml:space="preserve"> To simulate the UO</w:t>
      </w:r>
      <w:r>
        <w:rPr>
          <w:rFonts w:eastAsia="Times New Roman" w:cs="Times New Roman"/>
          <w:snapToGrid w:val="0"/>
          <w:szCs w:val="24"/>
          <w:vertAlign w:val="subscript"/>
        </w:rPr>
        <w:t>2</w:t>
      </w:r>
      <w:r>
        <w:rPr>
          <w:rFonts w:eastAsia="Times New Roman" w:cs="Times New Roman"/>
          <w:snapToGrid w:val="0"/>
          <w:szCs w:val="24"/>
        </w:rPr>
        <w:t xml:space="preserve"> fuel, these properties were determined using previously developed models including; NFIR data on thermal properties based on temperature and burnup dependence; temperature dependent mechanical properties; fuel swelling, densification, and relocation; thermal and irradiation creep; and fission gas release. The gap and plenum regions of the fuel are modeled by heat transfer from the fuel to the clad and an applied pressure on the inside of the cladding and outside of the fuel which is based on the composition and amount of fission gas released into the regions as well as the volume that it occu</w:t>
      </w:r>
      <w:r w:rsidR="00CF4C28">
        <w:rPr>
          <w:rFonts w:eastAsia="Times New Roman" w:cs="Times New Roman"/>
          <w:snapToGrid w:val="0"/>
          <w:szCs w:val="24"/>
        </w:rPr>
        <w:t>pies. Models used for the Zirca</w:t>
      </w:r>
      <w:r>
        <w:rPr>
          <w:rFonts w:eastAsia="Times New Roman" w:cs="Times New Roman"/>
          <w:snapToGrid w:val="0"/>
          <w:szCs w:val="24"/>
        </w:rPr>
        <w:t xml:space="preserve">loy cladding include thermal and mechanical properties based on temperature dependence, thermal and irradiation creep, and irradiation </w:t>
      </w:r>
      <w:r w:rsidRPr="00283ABD">
        <w:rPr>
          <w:rFonts w:eastAsia="Times New Roman" w:cs="Times New Roman"/>
          <w:snapToGrid w:val="0"/>
          <w:szCs w:val="24"/>
        </w:rPr>
        <w:t>growth</w:t>
      </w:r>
      <w:r w:rsidR="00DF20CB">
        <w:rPr>
          <w:rFonts w:eastAsia="Times New Roman" w:cs="Times New Roman"/>
          <w:snapToGrid w:val="0"/>
          <w:szCs w:val="24"/>
        </w:rPr>
        <w:t xml:space="preserve"> </w:t>
      </w:r>
      <w:r w:rsidR="00DF20CB">
        <w:fldChar w:fldCharType="begin"/>
      </w:r>
      <w:r w:rsidR="00DF20CB">
        <w:instrText xml:space="preserve"> ADDIN EN.CITE &lt;EndNote&gt;&lt;Cite&gt;&lt;Author&gt;George&lt;/Author&gt;&lt;Year&gt;2015&lt;/Year&gt;&lt;RecNum&gt;114&lt;/RecNum&gt;&lt;DisplayText&gt;[26]&lt;/DisplayText&gt;&lt;record&gt;&lt;rec-number&gt;114&lt;/rec-number&gt;&lt;foreign-keys&gt;&lt;key app="EN" db-id="trfxzx057wwv0qe0vz1vttttwf0522tvtwpt" timestamp="1424837981"&gt;114&lt;/key&gt;&lt;/foreign-keys&gt;&lt;ref-type name="Journal Article"&gt;17&lt;/ref-type&gt;&lt;contributors&gt;&lt;authors&gt;&lt;author&gt;George, Nathan M, et al.&lt;/author&gt;&lt;/authors&gt;&lt;/contributors&gt;&lt;titles&gt;&lt;title&gt;Full-core Evaluation of Enhanced Alternate Cladding Concepts in BWRs (in review)&lt;/title&gt;&lt;/titles&gt;&lt;dates&gt;&lt;year&gt;2015&lt;/year&gt;&lt;/dates&gt;&lt;urls&gt;&lt;/urls&gt;&lt;/record&gt;&lt;/Cite&gt;&lt;/EndNote&gt;</w:instrText>
      </w:r>
      <w:r w:rsidR="00DF20CB">
        <w:fldChar w:fldCharType="separate"/>
      </w:r>
      <w:r w:rsidR="00DF20CB">
        <w:rPr>
          <w:noProof/>
        </w:rPr>
        <w:t>[</w:t>
      </w:r>
      <w:hyperlink w:anchor="_ENREF_26" w:tooltip="George, 2015 #114" w:history="1">
        <w:r w:rsidR="00DF20CB">
          <w:rPr>
            <w:noProof/>
          </w:rPr>
          <w:t>26</w:t>
        </w:r>
      </w:hyperlink>
      <w:r w:rsidR="00DF20CB">
        <w:rPr>
          <w:noProof/>
        </w:rPr>
        <w:t>]</w:t>
      </w:r>
      <w:r w:rsidR="00DF20CB">
        <w:fldChar w:fldCharType="end"/>
      </w:r>
      <w:r w:rsidRPr="00283ABD">
        <w:rPr>
          <w:rFonts w:eastAsia="Times New Roman" w:cs="Times New Roman"/>
          <w:snapToGrid w:val="0"/>
          <w:szCs w:val="24"/>
        </w:rPr>
        <w:t xml:space="preserve">. </w:t>
      </w:r>
    </w:p>
    <w:p w14:paraId="05CCC5C0" w14:textId="0D6A38B9" w:rsidR="004034B1" w:rsidRDefault="00293A39" w:rsidP="004034B1">
      <w:pPr>
        <w:widowControl w:val="0"/>
        <w:spacing w:before="240" w:after="0" w:line="360" w:lineRule="auto"/>
        <w:jc w:val="both"/>
        <w:rPr>
          <w:rFonts w:eastAsia="Times New Roman" w:cs="Times New Roman"/>
          <w:snapToGrid w:val="0"/>
          <w:szCs w:val="24"/>
        </w:rPr>
      </w:pPr>
      <w:r>
        <w:t xml:space="preserve">In order for BISON-CASL to simulate different materials, models of these materials must be created first. These models contain data about the chemical, mechanical, and thermal properties </w:t>
      </w:r>
      <w:r>
        <w:lastRenderedPageBreak/>
        <w:t xml:space="preserve">of the material, and are as complex or simple as the situation warrants. Material models for FeCrAl were made using datasheets for several FeCrAl alloys </w:t>
      </w:r>
      <w:r>
        <w:fldChar w:fldCharType="begin"/>
      </w:r>
      <w:r w:rsidR="00817846">
        <w:instrText xml:space="preserve"> ADDIN EN.CITE &lt;EndNote&gt;&lt;Cite ExcludeYear="1"&gt;&lt;Author&gt;Kanthal&lt;/Author&gt;&lt;RecNum&gt;104&lt;/RecNum&gt;&lt;DisplayText&gt;[41]&lt;/DisplayText&gt;&lt;record&gt;&lt;rec-number&gt;104&lt;/rec-number&gt;&lt;foreign-keys&gt;&lt;key app="EN" db-id="trfxzx057wwv0qe0vz1vttttwf0522tvtwpt" timestamp="1422391924"&gt;104&lt;/key&gt;&lt;/foreign-keys&gt;&lt;ref-type name="Journal Article"&gt;17&lt;/ref-type&gt;&lt;contributors&gt;&lt;authors&gt;&lt;author&gt;Kanthal, APM&lt;/author&gt;&lt;/authors&gt;&lt;/contributors&gt;&lt;titles&gt;&lt;title&gt;APMT Tube Material datasheet&lt;/title&gt;&lt;secondary-title&gt;AB Sandvik group, Sandviken, Sweden&lt;/secondary-title&gt;&lt;/titles&gt;&lt;periodical&gt;&lt;full-title&gt;AB Sandvik group, Sandviken, Sweden&lt;/full-title&gt;&lt;/periodical&gt;&lt;dates&gt;&lt;/dates&gt;&lt;urls&gt;&lt;/urls&gt;&lt;/record&gt;&lt;/Cite&gt;&lt;/EndNote&gt;</w:instrText>
      </w:r>
      <w:r>
        <w:fldChar w:fldCharType="separate"/>
      </w:r>
      <w:r w:rsidR="00817846">
        <w:rPr>
          <w:noProof/>
        </w:rPr>
        <w:t>[</w:t>
      </w:r>
      <w:hyperlink w:anchor="_ENREF_41" w:tooltip="Kanthal,  #104" w:history="1">
        <w:r w:rsidR="00DF20CB">
          <w:rPr>
            <w:noProof/>
          </w:rPr>
          <w:t>41</w:t>
        </w:r>
      </w:hyperlink>
      <w:r w:rsidR="00817846">
        <w:rPr>
          <w:noProof/>
        </w:rPr>
        <w:t>]</w:t>
      </w:r>
      <w:r>
        <w:fldChar w:fldCharType="end"/>
      </w:r>
      <w:r>
        <w:t>. Various material properties were taken and fit to curves based on its dependencies for use in the BISON-CASL models. These models are based on available thermophysical, mechanical, and irradiation properties and include thermal conductivity, specific heat, elastic modulus, density, thermal strain, and irradiation swelling among others</w:t>
      </w:r>
      <w:r w:rsidR="00DF20CB">
        <w:t xml:space="preserve"> </w:t>
      </w:r>
      <w:r w:rsidR="00DF20CB">
        <w:fldChar w:fldCharType="begin"/>
      </w:r>
      <w:r w:rsidR="00DF20CB">
        <w:instrText xml:space="preserve"> ADDIN EN.CITE &lt;EndNote&gt;&lt;Cite&gt;&lt;Author&gt;George&lt;/Author&gt;&lt;Year&gt;2015&lt;/Year&gt;&lt;RecNum&gt;114&lt;/RecNum&gt;&lt;DisplayText&gt;[26]&lt;/DisplayText&gt;&lt;record&gt;&lt;rec-number&gt;114&lt;/rec-number&gt;&lt;foreign-keys&gt;&lt;key app="EN" db-id="trfxzx057wwv0qe0vz1vttttwf0522tvtwpt" timestamp="1424837981"&gt;114&lt;/key&gt;&lt;/foreign-keys&gt;&lt;ref-type name="Journal Article"&gt;17&lt;/ref-type&gt;&lt;contributors&gt;&lt;authors&gt;&lt;author&gt;George, Nathan M, et al.&lt;/author&gt;&lt;/authors&gt;&lt;/contributors&gt;&lt;titles&gt;&lt;title&gt;Full-core Evaluation of Enhanced Alternate Cladding Concepts in BWRs (in review)&lt;/title&gt;&lt;/titles&gt;&lt;dates&gt;&lt;year&gt;2015&lt;/year&gt;&lt;/dates&gt;&lt;urls&gt;&lt;/urls&gt;&lt;/record&gt;&lt;/Cite&gt;&lt;/EndNote&gt;</w:instrText>
      </w:r>
      <w:r w:rsidR="00DF20CB">
        <w:fldChar w:fldCharType="separate"/>
      </w:r>
      <w:r w:rsidR="00DF20CB">
        <w:rPr>
          <w:noProof/>
        </w:rPr>
        <w:t>[</w:t>
      </w:r>
      <w:hyperlink w:anchor="_ENREF_26" w:tooltip="George, 2015 #114" w:history="1">
        <w:r w:rsidR="00DF20CB">
          <w:rPr>
            <w:noProof/>
          </w:rPr>
          <w:t>26</w:t>
        </w:r>
      </w:hyperlink>
      <w:r w:rsidR="00DF20CB">
        <w:rPr>
          <w:noProof/>
        </w:rPr>
        <w:t>]</w:t>
      </w:r>
      <w:r w:rsidR="00DF20CB">
        <w:fldChar w:fldCharType="end"/>
      </w:r>
      <w:r>
        <w:t xml:space="preserve">. </w:t>
      </w:r>
    </w:p>
    <w:p w14:paraId="1BCB11CC" w14:textId="144E3F4B" w:rsidR="004034B1" w:rsidRPr="004034B1" w:rsidRDefault="004034B1" w:rsidP="004034B1">
      <w:pPr>
        <w:widowControl w:val="0"/>
        <w:spacing w:before="240" w:after="0" w:line="360" w:lineRule="auto"/>
        <w:jc w:val="both"/>
        <w:rPr>
          <w:rFonts w:eastAsia="Times New Roman" w:cs="Times New Roman"/>
          <w:snapToGrid w:val="0"/>
          <w:szCs w:val="24"/>
        </w:rPr>
      </w:pPr>
      <w:r>
        <w:rPr>
          <w:rFonts w:cs="Times New Roman"/>
        </w:rPr>
        <w:t xml:space="preserve">Three simulations were run using BISON-CASL to analyze differences in the fuel performance between FeCrAl and traditional Zircaloy cladded fuel elements during normal reactor operation.  The simulations are designed to demonstrate the irradiation swelling effect in FeCrAl cladding, as well as Zircaloy cladding to allow a comparison of the two cladding types.  </w:t>
      </w:r>
      <w:r w:rsidR="00CE594E">
        <w:rPr>
          <w:rFonts w:cs="Times New Roman"/>
        </w:rPr>
        <w:t xml:space="preserve">The axial and radial displacements are useful for determining if the cladding will expand or swell too during operation. If the cladding elongates excessively in the axial direction, the fuel risks bowing or deforming due to size constraints; if the cladding radius increases too much, the fuel risks increased contact with the </w:t>
      </w:r>
      <w:r w:rsidR="00CE594E" w:rsidRPr="006B2777">
        <w:rPr>
          <w:rFonts w:cs="Times New Roman"/>
        </w:rPr>
        <w:t xml:space="preserve">fuel assembly spacer grid and possibly increased fretting wear. </w:t>
      </w:r>
      <w:r>
        <w:rPr>
          <w:rFonts w:cs="Times New Roman"/>
        </w:rPr>
        <w:t xml:space="preserve">The fuel rods geometries were generated based on the rough specifications of the representative BWR core, and the expected requirements of using a FeCrAl alloy (Shown in </w:t>
      </w:r>
      <w:r w:rsidRPr="00D13F3E">
        <w:rPr>
          <w:rFonts w:cs="Times New Roman"/>
        </w:rPr>
        <w:t xml:space="preserve">Table </w:t>
      </w:r>
      <w:r>
        <w:rPr>
          <w:rFonts w:cs="Times New Roman"/>
        </w:rPr>
        <w:t>I</w:t>
      </w:r>
      <w:r w:rsidRPr="00D13F3E">
        <w:rPr>
          <w:rFonts w:cs="Times New Roman"/>
        </w:rPr>
        <w:t>X</w:t>
      </w:r>
      <w:r>
        <w:rPr>
          <w:rFonts w:cs="Times New Roman"/>
        </w:rPr>
        <w:t xml:space="preserve">). </w:t>
      </w:r>
    </w:p>
    <w:p w14:paraId="587677AE" w14:textId="77777777" w:rsidR="004034B1" w:rsidRDefault="004034B1" w:rsidP="004034B1">
      <w:pPr>
        <w:jc w:val="both"/>
        <w:rPr>
          <w:rFonts w:cs="Times New Roman"/>
        </w:rPr>
      </w:pPr>
    </w:p>
    <w:p w14:paraId="53DA2D5E" w14:textId="77777777" w:rsidR="004034B1" w:rsidRDefault="004034B1" w:rsidP="004034B1">
      <w:pPr>
        <w:jc w:val="both"/>
        <w:rPr>
          <w:rFonts w:cs="Times New Roman"/>
        </w:rPr>
      </w:pPr>
    </w:p>
    <w:p w14:paraId="740B6336" w14:textId="77777777" w:rsidR="004034B1" w:rsidRPr="00EC7A3E" w:rsidRDefault="004034B1" w:rsidP="004034B1">
      <w:pPr>
        <w:pStyle w:val="Heading4"/>
        <w:rPr>
          <w:b w:val="0"/>
        </w:rPr>
      </w:pPr>
      <w:bookmarkStart w:id="36" w:name="_Toc416993431"/>
      <w:r w:rsidRPr="00EC7A3E">
        <w:rPr>
          <w:b w:val="0"/>
        </w:rPr>
        <w:t xml:space="preserve">Table </w:t>
      </w:r>
      <w:r w:rsidRPr="00EC7A3E">
        <w:rPr>
          <w:b w:val="0"/>
        </w:rPr>
        <w:fldChar w:fldCharType="begin"/>
      </w:r>
      <w:r w:rsidRPr="00EC7A3E">
        <w:rPr>
          <w:b w:val="0"/>
        </w:rPr>
        <w:instrText xml:space="preserve"> SEQ Table \* ROMAN </w:instrText>
      </w:r>
      <w:r w:rsidRPr="00EC7A3E">
        <w:rPr>
          <w:b w:val="0"/>
        </w:rPr>
        <w:fldChar w:fldCharType="separate"/>
      </w:r>
      <w:r>
        <w:rPr>
          <w:b w:val="0"/>
          <w:noProof/>
        </w:rPr>
        <w:t>IX</w:t>
      </w:r>
      <w:r w:rsidRPr="00EC7A3E">
        <w:rPr>
          <w:b w:val="0"/>
        </w:rPr>
        <w:fldChar w:fldCharType="end"/>
      </w:r>
      <w:r w:rsidRPr="00EC7A3E">
        <w:rPr>
          <w:b w:val="0"/>
        </w:rPr>
        <w:t>: Fuel performance geometry specifications</w:t>
      </w:r>
      <w:bookmarkEnd w:id="36"/>
    </w:p>
    <w:p w14:paraId="73E9F651" w14:textId="77777777" w:rsidR="004034B1" w:rsidRPr="00EC7A3E" w:rsidRDefault="004034B1" w:rsidP="004034B1">
      <w:pPr>
        <w:contextualSpacing/>
      </w:pPr>
    </w:p>
    <w:tbl>
      <w:tblPr>
        <w:tblW w:w="9307" w:type="dxa"/>
        <w:tblInd w:w="93" w:type="dxa"/>
        <w:tblLook w:val="04A0" w:firstRow="1" w:lastRow="0" w:firstColumn="1" w:lastColumn="0" w:noHBand="0" w:noVBand="1"/>
      </w:tblPr>
      <w:tblGrid>
        <w:gridCol w:w="1281"/>
        <w:gridCol w:w="1345"/>
        <w:gridCol w:w="1393"/>
        <w:gridCol w:w="1393"/>
        <w:gridCol w:w="1050"/>
        <w:gridCol w:w="1281"/>
        <w:gridCol w:w="1564"/>
      </w:tblGrid>
      <w:tr w:rsidR="004034B1" w:rsidRPr="00EC7A3E" w14:paraId="113678FC" w14:textId="77777777" w:rsidTr="00BE75C4">
        <w:trPr>
          <w:trHeight w:val="672"/>
        </w:trPr>
        <w:tc>
          <w:tcPr>
            <w:tcW w:w="1281" w:type="dxa"/>
            <w:vMerge w:val="restart"/>
            <w:tcBorders>
              <w:top w:val="single" w:sz="8" w:space="0" w:color="auto"/>
              <w:left w:val="nil"/>
              <w:bottom w:val="single" w:sz="8" w:space="0" w:color="000000"/>
              <w:right w:val="nil"/>
            </w:tcBorders>
            <w:shd w:val="clear" w:color="000000" w:fill="F2F2F2"/>
            <w:vAlign w:val="center"/>
            <w:hideMark/>
          </w:tcPr>
          <w:p w14:paraId="719B6A3F"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Cladding Type</w:t>
            </w:r>
          </w:p>
        </w:tc>
        <w:tc>
          <w:tcPr>
            <w:tcW w:w="1345" w:type="dxa"/>
            <w:vMerge w:val="restart"/>
            <w:tcBorders>
              <w:top w:val="single" w:sz="8" w:space="0" w:color="auto"/>
              <w:left w:val="nil"/>
              <w:bottom w:val="single" w:sz="8" w:space="0" w:color="000000"/>
              <w:right w:val="nil"/>
            </w:tcBorders>
            <w:shd w:val="clear" w:color="000000" w:fill="F2F2F2"/>
            <w:vAlign w:val="center"/>
            <w:hideMark/>
          </w:tcPr>
          <w:p w14:paraId="7247F795"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Fuel Radius (microns)</w:t>
            </w:r>
          </w:p>
        </w:tc>
        <w:tc>
          <w:tcPr>
            <w:tcW w:w="1393" w:type="dxa"/>
            <w:vMerge w:val="restart"/>
            <w:tcBorders>
              <w:top w:val="single" w:sz="8" w:space="0" w:color="auto"/>
              <w:left w:val="nil"/>
              <w:bottom w:val="single" w:sz="8" w:space="0" w:color="000000"/>
              <w:right w:val="nil"/>
            </w:tcBorders>
            <w:shd w:val="clear" w:color="000000" w:fill="F2F2F2"/>
            <w:vAlign w:val="center"/>
            <w:hideMark/>
          </w:tcPr>
          <w:p w14:paraId="4DF20358"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Gap Thickness (μm)</w:t>
            </w:r>
          </w:p>
        </w:tc>
        <w:tc>
          <w:tcPr>
            <w:tcW w:w="1393" w:type="dxa"/>
            <w:vMerge w:val="restart"/>
            <w:tcBorders>
              <w:top w:val="single" w:sz="8" w:space="0" w:color="auto"/>
              <w:left w:val="nil"/>
              <w:bottom w:val="single" w:sz="8" w:space="0" w:color="000000"/>
              <w:right w:val="nil"/>
            </w:tcBorders>
            <w:shd w:val="clear" w:color="000000" w:fill="F2F2F2"/>
            <w:vAlign w:val="center"/>
            <w:hideMark/>
          </w:tcPr>
          <w:p w14:paraId="58771651"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Cladding Thickness (μm)</w:t>
            </w:r>
          </w:p>
        </w:tc>
        <w:tc>
          <w:tcPr>
            <w:tcW w:w="1050" w:type="dxa"/>
            <w:vMerge w:val="restart"/>
            <w:tcBorders>
              <w:top w:val="single" w:sz="8" w:space="0" w:color="auto"/>
              <w:left w:val="nil"/>
              <w:bottom w:val="single" w:sz="8" w:space="0" w:color="000000"/>
              <w:right w:val="nil"/>
            </w:tcBorders>
            <w:shd w:val="clear" w:color="000000" w:fill="F2F2F2"/>
            <w:vAlign w:val="center"/>
            <w:hideMark/>
          </w:tcPr>
          <w:p w14:paraId="6BA008F9"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Fuel Length (m)</w:t>
            </w:r>
          </w:p>
        </w:tc>
        <w:tc>
          <w:tcPr>
            <w:tcW w:w="1281" w:type="dxa"/>
            <w:vMerge w:val="restart"/>
            <w:tcBorders>
              <w:top w:val="single" w:sz="8" w:space="0" w:color="auto"/>
              <w:left w:val="nil"/>
              <w:bottom w:val="single" w:sz="8" w:space="0" w:color="000000"/>
              <w:right w:val="nil"/>
            </w:tcBorders>
            <w:shd w:val="clear" w:color="000000" w:fill="F2F2F2"/>
            <w:vAlign w:val="center"/>
            <w:hideMark/>
          </w:tcPr>
          <w:p w14:paraId="758539B5"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Cladding Length (m)</w:t>
            </w:r>
          </w:p>
        </w:tc>
        <w:tc>
          <w:tcPr>
            <w:tcW w:w="1564" w:type="dxa"/>
            <w:vMerge w:val="restart"/>
            <w:tcBorders>
              <w:top w:val="single" w:sz="8" w:space="0" w:color="auto"/>
              <w:left w:val="nil"/>
              <w:bottom w:val="single" w:sz="8" w:space="0" w:color="000000"/>
              <w:right w:val="nil"/>
            </w:tcBorders>
            <w:shd w:val="clear" w:color="000000" w:fill="F2F2F2"/>
            <w:vAlign w:val="center"/>
            <w:hideMark/>
          </w:tcPr>
          <w:p w14:paraId="1303BB55"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Enrichment     (% U-235)</w:t>
            </w:r>
          </w:p>
        </w:tc>
      </w:tr>
      <w:tr w:rsidR="004034B1" w:rsidRPr="00EC7A3E" w14:paraId="21D5C66C" w14:textId="77777777" w:rsidTr="00BE75C4">
        <w:trPr>
          <w:trHeight w:val="378"/>
        </w:trPr>
        <w:tc>
          <w:tcPr>
            <w:tcW w:w="1281" w:type="dxa"/>
            <w:vMerge/>
            <w:tcBorders>
              <w:top w:val="single" w:sz="8" w:space="0" w:color="auto"/>
              <w:left w:val="nil"/>
              <w:bottom w:val="single" w:sz="8" w:space="0" w:color="000000"/>
              <w:right w:val="nil"/>
            </w:tcBorders>
            <w:vAlign w:val="center"/>
            <w:hideMark/>
          </w:tcPr>
          <w:p w14:paraId="71CC0B80" w14:textId="77777777" w:rsidR="004034B1" w:rsidRPr="00EC7A3E" w:rsidRDefault="004034B1" w:rsidP="002C5284">
            <w:pPr>
              <w:spacing w:after="0" w:line="240" w:lineRule="auto"/>
              <w:jc w:val="left"/>
              <w:rPr>
                <w:rFonts w:eastAsia="Times New Roman" w:cs="Times New Roman"/>
                <w:color w:val="000000"/>
                <w:szCs w:val="24"/>
              </w:rPr>
            </w:pPr>
          </w:p>
        </w:tc>
        <w:tc>
          <w:tcPr>
            <w:tcW w:w="1345" w:type="dxa"/>
            <w:vMerge/>
            <w:tcBorders>
              <w:top w:val="single" w:sz="8" w:space="0" w:color="auto"/>
              <w:left w:val="nil"/>
              <w:bottom w:val="single" w:sz="8" w:space="0" w:color="000000"/>
              <w:right w:val="nil"/>
            </w:tcBorders>
            <w:vAlign w:val="center"/>
            <w:hideMark/>
          </w:tcPr>
          <w:p w14:paraId="3BE210EE" w14:textId="77777777" w:rsidR="004034B1" w:rsidRPr="00EC7A3E" w:rsidRDefault="004034B1" w:rsidP="002C5284">
            <w:pPr>
              <w:spacing w:after="0" w:line="240" w:lineRule="auto"/>
              <w:jc w:val="left"/>
              <w:rPr>
                <w:rFonts w:eastAsia="Times New Roman" w:cs="Times New Roman"/>
                <w:color w:val="000000"/>
                <w:szCs w:val="24"/>
              </w:rPr>
            </w:pPr>
          </w:p>
        </w:tc>
        <w:tc>
          <w:tcPr>
            <w:tcW w:w="1393" w:type="dxa"/>
            <w:vMerge/>
            <w:tcBorders>
              <w:top w:val="single" w:sz="8" w:space="0" w:color="auto"/>
              <w:left w:val="nil"/>
              <w:bottom w:val="single" w:sz="8" w:space="0" w:color="000000"/>
              <w:right w:val="nil"/>
            </w:tcBorders>
            <w:vAlign w:val="center"/>
            <w:hideMark/>
          </w:tcPr>
          <w:p w14:paraId="6AB055CC" w14:textId="77777777" w:rsidR="004034B1" w:rsidRPr="00EC7A3E" w:rsidRDefault="004034B1" w:rsidP="002C5284">
            <w:pPr>
              <w:spacing w:after="0" w:line="240" w:lineRule="auto"/>
              <w:jc w:val="left"/>
              <w:rPr>
                <w:rFonts w:eastAsia="Times New Roman" w:cs="Times New Roman"/>
                <w:color w:val="000000"/>
                <w:szCs w:val="24"/>
              </w:rPr>
            </w:pPr>
          </w:p>
        </w:tc>
        <w:tc>
          <w:tcPr>
            <w:tcW w:w="1393" w:type="dxa"/>
            <w:vMerge/>
            <w:tcBorders>
              <w:top w:val="single" w:sz="8" w:space="0" w:color="auto"/>
              <w:left w:val="nil"/>
              <w:bottom w:val="single" w:sz="8" w:space="0" w:color="000000"/>
              <w:right w:val="nil"/>
            </w:tcBorders>
            <w:vAlign w:val="center"/>
            <w:hideMark/>
          </w:tcPr>
          <w:p w14:paraId="09D85D10" w14:textId="77777777" w:rsidR="004034B1" w:rsidRPr="00EC7A3E" w:rsidRDefault="004034B1" w:rsidP="002C5284">
            <w:pPr>
              <w:spacing w:after="0" w:line="240" w:lineRule="auto"/>
              <w:jc w:val="left"/>
              <w:rPr>
                <w:rFonts w:eastAsia="Times New Roman" w:cs="Times New Roman"/>
                <w:color w:val="000000"/>
                <w:szCs w:val="24"/>
              </w:rPr>
            </w:pPr>
          </w:p>
        </w:tc>
        <w:tc>
          <w:tcPr>
            <w:tcW w:w="1050" w:type="dxa"/>
            <w:vMerge/>
            <w:tcBorders>
              <w:top w:val="single" w:sz="8" w:space="0" w:color="auto"/>
              <w:left w:val="nil"/>
              <w:bottom w:val="single" w:sz="8" w:space="0" w:color="000000"/>
              <w:right w:val="nil"/>
            </w:tcBorders>
            <w:vAlign w:val="center"/>
            <w:hideMark/>
          </w:tcPr>
          <w:p w14:paraId="4C76DC25" w14:textId="77777777" w:rsidR="004034B1" w:rsidRPr="00EC7A3E" w:rsidRDefault="004034B1" w:rsidP="002C5284">
            <w:pPr>
              <w:spacing w:after="0" w:line="240" w:lineRule="auto"/>
              <w:jc w:val="left"/>
              <w:rPr>
                <w:rFonts w:eastAsia="Times New Roman" w:cs="Times New Roman"/>
                <w:color w:val="000000"/>
                <w:szCs w:val="24"/>
              </w:rPr>
            </w:pPr>
          </w:p>
        </w:tc>
        <w:tc>
          <w:tcPr>
            <w:tcW w:w="1281" w:type="dxa"/>
            <w:vMerge/>
            <w:tcBorders>
              <w:top w:val="single" w:sz="8" w:space="0" w:color="auto"/>
              <w:left w:val="nil"/>
              <w:bottom w:val="single" w:sz="8" w:space="0" w:color="000000"/>
              <w:right w:val="nil"/>
            </w:tcBorders>
            <w:vAlign w:val="center"/>
            <w:hideMark/>
          </w:tcPr>
          <w:p w14:paraId="06E84D2A" w14:textId="77777777" w:rsidR="004034B1" w:rsidRPr="00EC7A3E" w:rsidRDefault="004034B1" w:rsidP="002C5284">
            <w:pPr>
              <w:spacing w:after="0" w:line="240" w:lineRule="auto"/>
              <w:jc w:val="left"/>
              <w:rPr>
                <w:rFonts w:eastAsia="Times New Roman" w:cs="Times New Roman"/>
                <w:color w:val="000000"/>
                <w:szCs w:val="24"/>
              </w:rPr>
            </w:pPr>
          </w:p>
        </w:tc>
        <w:tc>
          <w:tcPr>
            <w:tcW w:w="1564" w:type="dxa"/>
            <w:vMerge/>
            <w:tcBorders>
              <w:top w:val="single" w:sz="8" w:space="0" w:color="auto"/>
              <w:left w:val="nil"/>
              <w:bottom w:val="single" w:sz="8" w:space="0" w:color="000000"/>
              <w:right w:val="nil"/>
            </w:tcBorders>
            <w:vAlign w:val="center"/>
            <w:hideMark/>
          </w:tcPr>
          <w:p w14:paraId="18E4EFF2" w14:textId="77777777" w:rsidR="004034B1" w:rsidRPr="00EC7A3E" w:rsidRDefault="004034B1" w:rsidP="002C5284">
            <w:pPr>
              <w:spacing w:after="0" w:line="240" w:lineRule="auto"/>
              <w:jc w:val="left"/>
              <w:rPr>
                <w:rFonts w:eastAsia="Times New Roman" w:cs="Times New Roman"/>
                <w:color w:val="000000"/>
                <w:szCs w:val="24"/>
              </w:rPr>
            </w:pPr>
          </w:p>
        </w:tc>
      </w:tr>
      <w:tr w:rsidR="004034B1" w:rsidRPr="00EC7A3E" w14:paraId="05CBDA09" w14:textId="77777777" w:rsidTr="00BE75C4">
        <w:trPr>
          <w:trHeight w:val="337"/>
        </w:trPr>
        <w:tc>
          <w:tcPr>
            <w:tcW w:w="1281" w:type="dxa"/>
            <w:tcBorders>
              <w:top w:val="nil"/>
              <w:left w:val="nil"/>
              <w:bottom w:val="nil"/>
              <w:right w:val="nil"/>
            </w:tcBorders>
            <w:shd w:val="clear" w:color="auto" w:fill="auto"/>
            <w:vAlign w:val="center"/>
            <w:hideMark/>
          </w:tcPr>
          <w:p w14:paraId="2129D6DB" w14:textId="77777777" w:rsidR="004034B1" w:rsidRPr="00EC7A3E" w:rsidRDefault="004034B1" w:rsidP="002C5284">
            <w:pPr>
              <w:spacing w:after="0" w:line="240" w:lineRule="auto"/>
              <w:rPr>
                <w:rFonts w:eastAsia="Times New Roman" w:cs="Times New Roman"/>
                <w:b/>
                <w:bCs/>
                <w:color w:val="000000"/>
                <w:szCs w:val="24"/>
              </w:rPr>
            </w:pPr>
            <w:r w:rsidRPr="00EC7A3E">
              <w:rPr>
                <w:rFonts w:eastAsia="Times New Roman" w:cs="Times New Roman"/>
                <w:b/>
                <w:bCs/>
                <w:color w:val="000000"/>
                <w:szCs w:val="24"/>
              </w:rPr>
              <w:t>Zircaloy</w:t>
            </w:r>
          </w:p>
        </w:tc>
        <w:tc>
          <w:tcPr>
            <w:tcW w:w="1345" w:type="dxa"/>
            <w:tcBorders>
              <w:top w:val="nil"/>
              <w:left w:val="nil"/>
              <w:bottom w:val="nil"/>
              <w:right w:val="nil"/>
            </w:tcBorders>
            <w:shd w:val="clear" w:color="auto" w:fill="auto"/>
            <w:vAlign w:val="center"/>
            <w:hideMark/>
          </w:tcPr>
          <w:p w14:paraId="5D245D2F"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4400</w:t>
            </w:r>
          </w:p>
        </w:tc>
        <w:tc>
          <w:tcPr>
            <w:tcW w:w="1393" w:type="dxa"/>
            <w:tcBorders>
              <w:top w:val="nil"/>
              <w:left w:val="nil"/>
              <w:bottom w:val="nil"/>
              <w:right w:val="nil"/>
            </w:tcBorders>
            <w:shd w:val="clear" w:color="auto" w:fill="auto"/>
            <w:vAlign w:val="center"/>
            <w:hideMark/>
          </w:tcPr>
          <w:p w14:paraId="5717B4CE"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100</w:t>
            </w:r>
          </w:p>
        </w:tc>
        <w:tc>
          <w:tcPr>
            <w:tcW w:w="1393" w:type="dxa"/>
            <w:tcBorders>
              <w:top w:val="nil"/>
              <w:left w:val="nil"/>
              <w:bottom w:val="nil"/>
              <w:right w:val="nil"/>
            </w:tcBorders>
            <w:shd w:val="clear" w:color="auto" w:fill="auto"/>
            <w:vAlign w:val="center"/>
            <w:hideMark/>
          </w:tcPr>
          <w:p w14:paraId="43802FC8"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600</w:t>
            </w:r>
          </w:p>
        </w:tc>
        <w:tc>
          <w:tcPr>
            <w:tcW w:w="1050" w:type="dxa"/>
            <w:vMerge w:val="restart"/>
            <w:tcBorders>
              <w:top w:val="nil"/>
              <w:left w:val="nil"/>
              <w:bottom w:val="single" w:sz="8" w:space="0" w:color="000000"/>
              <w:right w:val="nil"/>
            </w:tcBorders>
            <w:shd w:val="clear" w:color="auto" w:fill="auto"/>
            <w:vAlign w:val="center"/>
            <w:hideMark/>
          </w:tcPr>
          <w:p w14:paraId="27B5E98B"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3.66</w:t>
            </w:r>
          </w:p>
        </w:tc>
        <w:tc>
          <w:tcPr>
            <w:tcW w:w="1281" w:type="dxa"/>
            <w:vMerge w:val="restart"/>
            <w:tcBorders>
              <w:top w:val="nil"/>
              <w:left w:val="nil"/>
              <w:bottom w:val="single" w:sz="8" w:space="0" w:color="000000"/>
              <w:right w:val="nil"/>
            </w:tcBorders>
            <w:shd w:val="clear" w:color="auto" w:fill="auto"/>
            <w:vAlign w:val="center"/>
            <w:hideMark/>
          </w:tcPr>
          <w:p w14:paraId="08CD43D4"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4.08</w:t>
            </w:r>
          </w:p>
        </w:tc>
        <w:tc>
          <w:tcPr>
            <w:tcW w:w="1564" w:type="dxa"/>
            <w:tcBorders>
              <w:top w:val="nil"/>
              <w:left w:val="nil"/>
              <w:bottom w:val="nil"/>
              <w:right w:val="nil"/>
            </w:tcBorders>
            <w:shd w:val="clear" w:color="auto" w:fill="auto"/>
            <w:vAlign w:val="center"/>
            <w:hideMark/>
          </w:tcPr>
          <w:p w14:paraId="45AFD6AF"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4.11</w:t>
            </w:r>
          </w:p>
        </w:tc>
      </w:tr>
      <w:tr w:rsidR="004034B1" w:rsidRPr="00EC7A3E" w14:paraId="218022D7" w14:textId="77777777" w:rsidTr="00BE75C4">
        <w:trPr>
          <w:trHeight w:val="351"/>
        </w:trPr>
        <w:tc>
          <w:tcPr>
            <w:tcW w:w="1281" w:type="dxa"/>
            <w:tcBorders>
              <w:top w:val="nil"/>
              <w:left w:val="nil"/>
              <w:bottom w:val="single" w:sz="8" w:space="0" w:color="auto"/>
              <w:right w:val="nil"/>
            </w:tcBorders>
            <w:shd w:val="clear" w:color="auto" w:fill="auto"/>
            <w:vAlign w:val="center"/>
            <w:hideMark/>
          </w:tcPr>
          <w:p w14:paraId="7878324E" w14:textId="77777777" w:rsidR="004034B1" w:rsidRPr="00EC7A3E" w:rsidRDefault="004034B1" w:rsidP="002C5284">
            <w:pPr>
              <w:spacing w:after="0" w:line="240" w:lineRule="auto"/>
              <w:rPr>
                <w:rFonts w:eastAsia="Times New Roman" w:cs="Times New Roman"/>
                <w:b/>
                <w:bCs/>
                <w:color w:val="000000"/>
                <w:szCs w:val="24"/>
              </w:rPr>
            </w:pPr>
            <w:r w:rsidRPr="00EC7A3E">
              <w:rPr>
                <w:rFonts w:eastAsia="Times New Roman" w:cs="Times New Roman"/>
                <w:b/>
                <w:bCs/>
                <w:color w:val="000000"/>
                <w:szCs w:val="24"/>
              </w:rPr>
              <w:t>FeCrAl</w:t>
            </w:r>
          </w:p>
        </w:tc>
        <w:tc>
          <w:tcPr>
            <w:tcW w:w="1345" w:type="dxa"/>
            <w:tcBorders>
              <w:top w:val="nil"/>
              <w:left w:val="nil"/>
              <w:bottom w:val="single" w:sz="8" w:space="0" w:color="auto"/>
              <w:right w:val="nil"/>
            </w:tcBorders>
            <w:shd w:val="clear" w:color="auto" w:fill="auto"/>
            <w:vAlign w:val="center"/>
            <w:hideMark/>
          </w:tcPr>
          <w:p w14:paraId="362ECC87"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4700</w:t>
            </w:r>
          </w:p>
        </w:tc>
        <w:tc>
          <w:tcPr>
            <w:tcW w:w="1393" w:type="dxa"/>
            <w:tcBorders>
              <w:top w:val="nil"/>
              <w:left w:val="nil"/>
              <w:bottom w:val="single" w:sz="8" w:space="0" w:color="auto"/>
              <w:right w:val="nil"/>
            </w:tcBorders>
            <w:shd w:val="clear" w:color="auto" w:fill="auto"/>
            <w:vAlign w:val="center"/>
            <w:hideMark/>
          </w:tcPr>
          <w:p w14:paraId="3C6929FD"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100</w:t>
            </w:r>
          </w:p>
        </w:tc>
        <w:tc>
          <w:tcPr>
            <w:tcW w:w="1393" w:type="dxa"/>
            <w:tcBorders>
              <w:top w:val="nil"/>
              <w:left w:val="nil"/>
              <w:bottom w:val="single" w:sz="8" w:space="0" w:color="auto"/>
              <w:right w:val="nil"/>
            </w:tcBorders>
            <w:shd w:val="clear" w:color="auto" w:fill="auto"/>
            <w:vAlign w:val="center"/>
            <w:hideMark/>
          </w:tcPr>
          <w:p w14:paraId="297CABAC"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300</w:t>
            </w:r>
          </w:p>
        </w:tc>
        <w:tc>
          <w:tcPr>
            <w:tcW w:w="1050" w:type="dxa"/>
            <w:vMerge/>
            <w:tcBorders>
              <w:top w:val="nil"/>
              <w:left w:val="nil"/>
              <w:bottom w:val="single" w:sz="8" w:space="0" w:color="000000"/>
              <w:right w:val="nil"/>
            </w:tcBorders>
            <w:vAlign w:val="center"/>
            <w:hideMark/>
          </w:tcPr>
          <w:p w14:paraId="2ED2BA61" w14:textId="77777777" w:rsidR="004034B1" w:rsidRPr="00EC7A3E" w:rsidRDefault="004034B1" w:rsidP="002C5284">
            <w:pPr>
              <w:spacing w:after="0" w:line="240" w:lineRule="auto"/>
              <w:jc w:val="left"/>
              <w:rPr>
                <w:rFonts w:eastAsia="Times New Roman" w:cs="Times New Roman"/>
                <w:color w:val="000000"/>
                <w:szCs w:val="24"/>
              </w:rPr>
            </w:pPr>
          </w:p>
        </w:tc>
        <w:tc>
          <w:tcPr>
            <w:tcW w:w="1281" w:type="dxa"/>
            <w:vMerge/>
            <w:tcBorders>
              <w:top w:val="nil"/>
              <w:left w:val="nil"/>
              <w:bottom w:val="single" w:sz="8" w:space="0" w:color="000000"/>
              <w:right w:val="nil"/>
            </w:tcBorders>
            <w:vAlign w:val="center"/>
            <w:hideMark/>
          </w:tcPr>
          <w:p w14:paraId="6544ED5C" w14:textId="77777777" w:rsidR="004034B1" w:rsidRPr="00EC7A3E" w:rsidRDefault="004034B1" w:rsidP="002C5284">
            <w:pPr>
              <w:spacing w:after="0" w:line="240" w:lineRule="auto"/>
              <w:jc w:val="left"/>
              <w:rPr>
                <w:rFonts w:eastAsia="Times New Roman" w:cs="Times New Roman"/>
                <w:color w:val="000000"/>
                <w:szCs w:val="24"/>
              </w:rPr>
            </w:pPr>
          </w:p>
        </w:tc>
        <w:tc>
          <w:tcPr>
            <w:tcW w:w="1564" w:type="dxa"/>
            <w:tcBorders>
              <w:top w:val="nil"/>
              <w:left w:val="nil"/>
              <w:bottom w:val="single" w:sz="8" w:space="0" w:color="auto"/>
              <w:right w:val="nil"/>
            </w:tcBorders>
            <w:shd w:val="clear" w:color="auto" w:fill="auto"/>
            <w:vAlign w:val="center"/>
            <w:hideMark/>
          </w:tcPr>
          <w:p w14:paraId="2052BF43" w14:textId="77777777" w:rsidR="004034B1" w:rsidRPr="00EC7A3E" w:rsidRDefault="004034B1" w:rsidP="002C5284">
            <w:pPr>
              <w:spacing w:after="0" w:line="240" w:lineRule="auto"/>
              <w:rPr>
                <w:rFonts w:eastAsia="Times New Roman" w:cs="Times New Roman"/>
                <w:color w:val="000000"/>
                <w:szCs w:val="24"/>
              </w:rPr>
            </w:pPr>
            <w:r w:rsidRPr="00EC7A3E">
              <w:rPr>
                <w:rFonts w:eastAsia="Times New Roman" w:cs="Times New Roman"/>
                <w:color w:val="000000"/>
                <w:szCs w:val="24"/>
              </w:rPr>
              <w:t>4.68</w:t>
            </w:r>
          </w:p>
        </w:tc>
      </w:tr>
    </w:tbl>
    <w:p w14:paraId="4BC5601B" w14:textId="77777777" w:rsidR="004034B1" w:rsidRDefault="004034B1" w:rsidP="004034B1">
      <w:pPr>
        <w:jc w:val="both"/>
        <w:rPr>
          <w:rFonts w:cs="Times New Roman"/>
        </w:rPr>
      </w:pPr>
    </w:p>
    <w:p w14:paraId="6E04C904" w14:textId="77777777" w:rsidR="004034B1" w:rsidRDefault="004034B1" w:rsidP="004034B1">
      <w:pPr>
        <w:jc w:val="both"/>
        <w:rPr>
          <w:rFonts w:cs="Times New Roman"/>
        </w:rPr>
      </w:pPr>
    </w:p>
    <w:p w14:paraId="48A09D28" w14:textId="77777777" w:rsidR="004034B1" w:rsidRDefault="004034B1" w:rsidP="004034B1">
      <w:pPr>
        <w:spacing w:line="360" w:lineRule="auto"/>
        <w:jc w:val="both"/>
        <w:rPr>
          <w:rFonts w:cs="Times New Roman"/>
        </w:rPr>
      </w:pPr>
      <w:r>
        <w:rPr>
          <w:rFonts w:cs="Times New Roman"/>
        </w:rPr>
        <w:t xml:space="preserve">For the preliminary comparison of the FeCrAl alloy simulations and the Zircaloy simulations the peak fuel centerline temperature, the axial and radial elongation, and the gap closure time were </w:t>
      </w:r>
      <w:r>
        <w:rPr>
          <w:rFonts w:cs="Times New Roman"/>
        </w:rPr>
        <w:lastRenderedPageBreak/>
        <w:t>compared. Determining the fuel centerline temperature is useful in fuel performance to gauge how close the UO</w:t>
      </w:r>
      <w:r>
        <w:rPr>
          <w:rFonts w:cs="Times New Roman"/>
          <w:vertAlign w:val="subscript"/>
        </w:rPr>
        <w:t>2</w:t>
      </w:r>
      <w:r>
        <w:rPr>
          <w:rFonts w:cs="Times New Roman"/>
        </w:rPr>
        <w:t xml:space="preserve"> fuel is to its melting temperature (~3100K). As the fuel reaches the melting temperature, it will begin to deform and compromise the </w:t>
      </w:r>
      <w:r w:rsidRPr="006B2777">
        <w:rPr>
          <w:rFonts w:cs="Times New Roman"/>
        </w:rPr>
        <w:t xml:space="preserve">fuel geometry. </w:t>
      </w:r>
      <w:r w:rsidR="00CE594E">
        <w:rPr>
          <w:rFonts w:cs="Times New Roman"/>
        </w:rPr>
        <w:t xml:space="preserve">The onset of gap closure is important because it marks the onset of phenomena including increased heat transfer from the fuel to the </w:t>
      </w:r>
      <w:r w:rsidR="00F965BB">
        <w:rPr>
          <w:rFonts w:cs="Times New Roman"/>
        </w:rPr>
        <w:t>cladding by eliminating the gap. This in turn</w:t>
      </w:r>
      <w:r w:rsidR="00CE594E">
        <w:rPr>
          <w:rFonts w:cs="Times New Roman"/>
        </w:rPr>
        <w:t xml:space="preserve"> increases tensile azimuthal stresses in the cladding </w:t>
      </w:r>
      <w:r w:rsidR="00F965BB">
        <w:rPr>
          <w:rFonts w:cs="Times New Roman"/>
        </w:rPr>
        <w:t>as</w:t>
      </w:r>
      <w:r w:rsidR="00CE594E">
        <w:rPr>
          <w:rFonts w:cs="Times New Roman"/>
        </w:rPr>
        <w:t xml:space="preserve"> the fuel is </w:t>
      </w:r>
      <w:r w:rsidR="00F965BB">
        <w:rPr>
          <w:rFonts w:cs="Times New Roman"/>
        </w:rPr>
        <w:t>adds</w:t>
      </w:r>
      <w:r w:rsidR="00CE594E">
        <w:rPr>
          <w:rFonts w:cs="Times New Roman"/>
        </w:rPr>
        <w:t xml:space="preserve"> additional force</w:t>
      </w:r>
      <w:r w:rsidR="00F965BB">
        <w:rPr>
          <w:rFonts w:cs="Times New Roman"/>
        </w:rPr>
        <w:t>s</w:t>
      </w:r>
      <w:r w:rsidR="00CE594E">
        <w:rPr>
          <w:rFonts w:cs="Times New Roman"/>
        </w:rPr>
        <w:t xml:space="preserve"> to the </w:t>
      </w:r>
      <w:r w:rsidR="00F965BB">
        <w:rPr>
          <w:rFonts w:cs="Times New Roman"/>
        </w:rPr>
        <w:t>inner</w:t>
      </w:r>
      <w:r w:rsidR="00CE594E">
        <w:rPr>
          <w:rFonts w:cs="Times New Roman"/>
        </w:rPr>
        <w:t xml:space="preserve"> surface of the cladding.</w:t>
      </w:r>
    </w:p>
    <w:p w14:paraId="54B9E75D" w14:textId="77777777" w:rsidR="000C774E" w:rsidRDefault="000C774E" w:rsidP="000C774E">
      <w:pPr>
        <w:jc w:val="left"/>
        <w:rPr>
          <w:rFonts w:eastAsia="Times New Roman" w:cs="Times New Roman"/>
          <w:snapToGrid w:val="0"/>
          <w:szCs w:val="24"/>
        </w:rPr>
      </w:pPr>
    </w:p>
    <w:p w14:paraId="7AEDC0D6" w14:textId="77777777" w:rsidR="00293A39" w:rsidRDefault="00293A39" w:rsidP="000C774E">
      <w:pPr>
        <w:jc w:val="left"/>
        <w:rPr>
          <w:rFonts w:eastAsia="Times New Roman" w:cs="Times New Roman"/>
          <w:snapToGrid w:val="0"/>
          <w:szCs w:val="24"/>
        </w:rPr>
      </w:pPr>
    </w:p>
    <w:p w14:paraId="0E0BBAB8" w14:textId="77777777" w:rsidR="00293A39" w:rsidRDefault="00293A39" w:rsidP="000C774E">
      <w:pPr>
        <w:jc w:val="left"/>
        <w:rPr>
          <w:rFonts w:eastAsia="Times New Roman" w:cs="Times New Roman"/>
          <w:snapToGrid w:val="0"/>
          <w:szCs w:val="24"/>
        </w:rPr>
      </w:pPr>
    </w:p>
    <w:p w14:paraId="7306EAC0" w14:textId="77777777" w:rsidR="00293A39" w:rsidRDefault="00293A39" w:rsidP="000C774E">
      <w:pPr>
        <w:jc w:val="left"/>
        <w:rPr>
          <w:rFonts w:eastAsia="Times New Roman" w:cs="Times New Roman"/>
          <w:snapToGrid w:val="0"/>
          <w:szCs w:val="24"/>
        </w:rPr>
      </w:pPr>
    </w:p>
    <w:p w14:paraId="6B68B3A5" w14:textId="77777777" w:rsidR="004034B1" w:rsidRDefault="004034B1" w:rsidP="000C774E">
      <w:pPr>
        <w:jc w:val="left"/>
        <w:rPr>
          <w:rFonts w:eastAsia="Times New Roman" w:cs="Times New Roman"/>
          <w:snapToGrid w:val="0"/>
          <w:szCs w:val="24"/>
        </w:rPr>
      </w:pPr>
    </w:p>
    <w:p w14:paraId="2AC0B05D" w14:textId="77777777" w:rsidR="004034B1" w:rsidRDefault="004034B1" w:rsidP="000C774E">
      <w:pPr>
        <w:jc w:val="left"/>
        <w:rPr>
          <w:rFonts w:eastAsia="Times New Roman" w:cs="Times New Roman"/>
          <w:snapToGrid w:val="0"/>
          <w:szCs w:val="24"/>
        </w:rPr>
      </w:pPr>
    </w:p>
    <w:p w14:paraId="3D3A9728" w14:textId="77777777" w:rsidR="004034B1" w:rsidRDefault="004034B1" w:rsidP="000C774E">
      <w:pPr>
        <w:jc w:val="left"/>
        <w:rPr>
          <w:rFonts w:eastAsia="Times New Roman" w:cs="Times New Roman"/>
          <w:snapToGrid w:val="0"/>
          <w:szCs w:val="24"/>
        </w:rPr>
      </w:pPr>
    </w:p>
    <w:p w14:paraId="0BC5BC4A" w14:textId="77777777" w:rsidR="006319B9" w:rsidRDefault="006319B9" w:rsidP="000C774E">
      <w:pPr>
        <w:jc w:val="left"/>
        <w:rPr>
          <w:rFonts w:eastAsia="Times New Roman" w:cs="Times New Roman"/>
          <w:snapToGrid w:val="0"/>
          <w:szCs w:val="24"/>
        </w:rPr>
      </w:pPr>
    </w:p>
    <w:p w14:paraId="3BD525CB" w14:textId="77777777" w:rsidR="006319B9" w:rsidRDefault="006319B9" w:rsidP="000C774E">
      <w:pPr>
        <w:jc w:val="left"/>
        <w:rPr>
          <w:rFonts w:eastAsia="Times New Roman" w:cs="Times New Roman"/>
          <w:snapToGrid w:val="0"/>
          <w:szCs w:val="24"/>
        </w:rPr>
      </w:pPr>
    </w:p>
    <w:p w14:paraId="7B17BE73" w14:textId="77777777" w:rsidR="006319B9" w:rsidRDefault="006319B9" w:rsidP="000C774E">
      <w:pPr>
        <w:jc w:val="left"/>
        <w:rPr>
          <w:rFonts w:eastAsia="Times New Roman" w:cs="Times New Roman"/>
          <w:snapToGrid w:val="0"/>
          <w:szCs w:val="24"/>
        </w:rPr>
      </w:pPr>
    </w:p>
    <w:p w14:paraId="58F23C95" w14:textId="77777777" w:rsidR="006319B9" w:rsidRDefault="006319B9" w:rsidP="000C774E">
      <w:pPr>
        <w:jc w:val="left"/>
        <w:rPr>
          <w:rFonts w:eastAsia="Times New Roman" w:cs="Times New Roman"/>
          <w:snapToGrid w:val="0"/>
          <w:szCs w:val="24"/>
        </w:rPr>
      </w:pPr>
    </w:p>
    <w:p w14:paraId="600B153D" w14:textId="77777777" w:rsidR="006319B9" w:rsidRDefault="006319B9" w:rsidP="000C774E">
      <w:pPr>
        <w:jc w:val="left"/>
        <w:rPr>
          <w:rFonts w:eastAsia="Times New Roman" w:cs="Times New Roman"/>
          <w:snapToGrid w:val="0"/>
          <w:szCs w:val="24"/>
        </w:rPr>
      </w:pPr>
    </w:p>
    <w:p w14:paraId="243AC1B1" w14:textId="77777777" w:rsidR="006319B9" w:rsidRDefault="006319B9" w:rsidP="000C774E">
      <w:pPr>
        <w:jc w:val="left"/>
        <w:rPr>
          <w:rFonts w:eastAsia="Times New Roman" w:cs="Times New Roman"/>
          <w:snapToGrid w:val="0"/>
          <w:szCs w:val="24"/>
        </w:rPr>
      </w:pPr>
    </w:p>
    <w:p w14:paraId="7D2578CA" w14:textId="77777777" w:rsidR="006319B9" w:rsidRDefault="006319B9" w:rsidP="000C774E">
      <w:pPr>
        <w:jc w:val="left"/>
        <w:rPr>
          <w:rFonts w:eastAsia="Times New Roman" w:cs="Times New Roman"/>
          <w:snapToGrid w:val="0"/>
          <w:szCs w:val="24"/>
        </w:rPr>
      </w:pPr>
    </w:p>
    <w:p w14:paraId="2197E741" w14:textId="77777777" w:rsidR="006319B9" w:rsidRDefault="006319B9" w:rsidP="000C774E">
      <w:pPr>
        <w:jc w:val="left"/>
        <w:rPr>
          <w:rFonts w:eastAsia="Times New Roman" w:cs="Times New Roman"/>
          <w:snapToGrid w:val="0"/>
          <w:szCs w:val="24"/>
        </w:rPr>
      </w:pPr>
    </w:p>
    <w:p w14:paraId="5B8F647B" w14:textId="77777777" w:rsidR="006319B9" w:rsidRDefault="006319B9" w:rsidP="000C774E">
      <w:pPr>
        <w:jc w:val="left"/>
        <w:rPr>
          <w:rFonts w:eastAsia="Times New Roman" w:cs="Times New Roman"/>
          <w:snapToGrid w:val="0"/>
          <w:szCs w:val="24"/>
        </w:rPr>
      </w:pPr>
    </w:p>
    <w:p w14:paraId="270EA18B" w14:textId="77777777" w:rsidR="006319B9" w:rsidRDefault="006319B9" w:rsidP="000C774E">
      <w:pPr>
        <w:jc w:val="left"/>
        <w:rPr>
          <w:rFonts w:eastAsia="Times New Roman" w:cs="Times New Roman"/>
          <w:snapToGrid w:val="0"/>
          <w:szCs w:val="24"/>
        </w:rPr>
      </w:pPr>
    </w:p>
    <w:p w14:paraId="775829AF" w14:textId="77777777" w:rsidR="006319B9" w:rsidRDefault="006319B9" w:rsidP="000C774E">
      <w:pPr>
        <w:jc w:val="left"/>
        <w:rPr>
          <w:rFonts w:eastAsia="Times New Roman" w:cs="Times New Roman"/>
          <w:snapToGrid w:val="0"/>
          <w:szCs w:val="24"/>
        </w:rPr>
      </w:pPr>
    </w:p>
    <w:p w14:paraId="291C0349" w14:textId="77777777" w:rsidR="001D553C" w:rsidRDefault="001D553C" w:rsidP="0091793B">
      <w:pPr>
        <w:spacing w:line="360" w:lineRule="auto"/>
        <w:jc w:val="both"/>
        <w:rPr>
          <w:rFonts w:eastAsia="Times New Roman" w:cs="Times New Roman"/>
          <w:snapToGrid w:val="0"/>
          <w:szCs w:val="24"/>
        </w:rPr>
      </w:pPr>
    </w:p>
    <w:p w14:paraId="1CACC7CB" w14:textId="77777777" w:rsidR="002F6460" w:rsidRDefault="002F6460" w:rsidP="0091793B">
      <w:pPr>
        <w:spacing w:line="360" w:lineRule="auto"/>
        <w:jc w:val="both"/>
        <w:rPr>
          <w:rFonts w:cs="Times New Roman"/>
          <w:b/>
          <w:sz w:val="32"/>
          <w:szCs w:val="24"/>
        </w:rPr>
      </w:pPr>
      <w:r w:rsidRPr="002F6460">
        <w:rPr>
          <w:rFonts w:cs="Times New Roman"/>
          <w:b/>
          <w:sz w:val="32"/>
          <w:szCs w:val="24"/>
        </w:rPr>
        <w:lastRenderedPageBreak/>
        <w:t>V.</w:t>
      </w:r>
      <w:r w:rsidRPr="002F6460">
        <w:rPr>
          <w:rFonts w:cs="Times New Roman"/>
          <w:b/>
          <w:sz w:val="32"/>
          <w:szCs w:val="24"/>
        </w:rPr>
        <w:tab/>
      </w:r>
      <w:r w:rsidRPr="002F6460">
        <w:rPr>
          <w:rFonts w:cs="Times New Roman"/>
          <w:b/>
          <w:sz w:val="32"/>
          <w:szCs w:val="24"/>
        </w:rPr>
        <w:tab/>
      </w:r>
      <w:r w:rsidR="00893519">
        <w:rPr>
          <w:rFonts w:cs="Times New Roman"/>
          <w:b/>
          <w:sz w:val="32"/>
          <w:szCs w:val="24"/>
        </w:rPr>
        <w:t xml:space="preserve">PWR </w:t>
      </w:r>
      <w:r w:rsidRPr="002F6460">
        <w:rPr>
          <w:rFonts w:cs="Times New Roman"/>
          <w:b/>
          <w:sz w:val="32"/>
          <w:szCs w:val="24"/>
        </w:rPr>
        <w:t>RESULTS</w:t>
      </w:r>
    </w:p>
    <w:p w14:paraId="2B797BAF" w14:textId="66A2975A" w:rsidR="00E662B3" w:rsidRDefault="00E662B3" w:rsidP="0091793B">
      <w:pPr>
        <w:spacing w:line="360" w:lineRule="auto"/>
        <w:jc w:val="both"/>
        <w:rPr>
          <w:rFonts w:cs="Times New Roman"/>
          <w:b/>
          <w:szCs w:val="24"/>
        </w:rPr>
      </w:pPr>
      <w:r w:rsidRPr="00374694">
        <w:rPr>
          <w:rFonts w:cs="Times New Roman"/>
          <w:szCs w:val="24"/>
        </w:rPr>
        <w:t xml:space="preserve">The following section presents </w:t>
      </w:r>
      <w:r w:rsidR="00606D1A">
        <w:rPr>
          <w:rFonts w:cs="Times New Roman"/>
          <w:szCs w:val="24"/>
        </w:rPr>
        <w:t xml:space="preserve">work completed on </w:t>
      </w:r>
      <w:r w:rsidR="00255C7D">
        <w:rPr>
          <w:rFonts w:cs="Times New Roman"/>
          <w:szCs w:val="24"/>
        </w:rPr>
        <w:t>ATFs</w:t>
      </w:r>
      <w:r w:rsidR="00606D1A" w:rsidRPr="00606D1A">
        <w:rPr>
          <w:rFonts w:cs="Times New Roman"/>
          <w:szCs w:val="24"/>
        </w:rPr>
        <w:t xml:space="preserve"> </w:t>
      </w:r>
      <w:r w:rsidR="001E5DD5">
        <w:rPr>
          <w:rFonts w:cs="Times New Roman"/>
          <w:szCs w:val="24"/>
        </w:rPr>
        <w:t xml:space="preserve">in </w:t>
      </w:r>
      <w:r w:rsidR="00606D1A">
        <w:rPr>
          <w:rFonts w:cs="Times New Roman"/>
          <w:szCs w:val="24"/>
        </w:rPr>
        <w:t>PWR environment</w:t>
      </w:r>
      <w:r w:rsidR="001E5DD5">
        <w:rPr>
          <w:rFonts w:cs="Times New Roman"/>
          <w:szCs w:val="24"/>
        </w:rPr>
        <w:t>s</w:t>
      </w:r>
      <w:r w:rsidR="00374694">
        <w:rPr>
          <w:rFonts w:cs="Times New Roman"/>
          <w:szCs w:val="24"/>
        </w:rPr>
        <w:t>: FCM fuel an</w:t>
      </w:r>
      <w:r w:rsidR="00606D1A">
        <w:rPr>
          <w:rFonts w:cs="Times New Roman"/>
          <w:szCs w:val="24"/>
        </w:rPr>
        <w:t xml:space="preserve">d alternate cladding concepts. The section </w:t>
      </w:r>
      <w:r w:rsidR="00374694">
        <w:rPr>
          <w:rFonts w:cs="Times New Roman"/>
          <w:szCs w:val="24"/>
        </w:rPr>
        <w:t>begin</w:t>
      </w:r>
      <w:r w:rsidR="00606D1A">
        <w:rPr>
          <w:rFonts w:cs="Times New Roman"/>
          <w:szCs w:val="24"/>
        </w:rPr>
        <w:t>s</w:t>
      </w:r>
      <w:r w:rsidR="00374694">
        <w:rPr>
          <w:rFonts w:cs="Times New Roman"/>
          <w:szCs w:val="24"/>
        </w:rPr>
        <w:t xml:space="preserve"> with pin cell level calculations which include a parametric study </w:t>
      </w:r>
      <w:r w:rsidR="00606D1A">
        <w:rPr>
          <w:rFonts w:cs="Times New Roman"/>
          <w:szCs w:val="24"/>
        </w:rPr>
        <w:t xml:space="preserve">optimizing both </w:t>
      </w:r>
      <w:r w:rsidR="00374694">
        <w:rPr>
          <w:rFonts w:cs="Times New Roman"/>
          <w:szCs w:val="24"/>
        </w:rPr>
        <w:t>fuel form</w:t>
      </w:r>
      <w:r w:rsidR="00606D1A">
        <w:rPr>
          <w:rFonts w:cs="Times New Roman"/>
          <w:szCs w:val="24"/>
        </w:rPr>
        <w:t>s to meet</w:t>
      </w:r>
      <w:r w:rsidR="00374694">
        <w:rPr>
          <w:rFonts w:cs="Times New Roman"/>
          <w:szCs w:val="24"/>
        </w:rPr>
        <w:t xml:space="preserve"> reactivity </w:t>
      </w:r>
      <w:r w:rsidR="00606D1A">
        <w:rPr>
          <w:rFonts w:cs="Times New Roman"/>
          <w:szCs w:val="24"/>
        </w:rPr>
        <w:t>lifetime requirements of standard PWR fuel</w:t>
      </w:r>
      <w:r w:rsidR="00374694">
        <w:rPr>
          <w:rFonts w:cs="Times New Roman"/>
          <w:szCs w:val="24"/>
        </w:rPr>
        <w:t>. Neutro</w:t>
      </w:r>
      <w:r w:rsidR="00033895">
        <w:rPr>
          <w:rFonts w:cs="Times New Roman"/>
          <w:szCs w:val="24"/>
        </w:rPr>
        <w:t>n</w:t>
      </w:r>
      <w:r w:rsidR="00374694">
        <w:rPr>
          <w:rFonts w:cs="Times New Roman"/>
          <w:szCs w:val="24"/>
        </w:rPr>
        <w:t xml:space="preserve"> flux</w:t>
      </w:r>
      <w:r w:rsidR="00606D1A">
        <w:rPr>
          <w:rFonts w:cs="Times New Roman"/>
          <w:szCs w:val="24"/>
        </w:rPr>
        <w:t xml:space="preserve"> analysis was completed revealing</w:t>
      </w:r>
      <w:r w:rsidR="00374694">
        <w:rPr>
          <w:rFonts w:cs="Times New Roman"/>
          <w:szCs w:val="24"/>
        </w:rPr>
        <w:t xml:space="preserve"> spectral shifts in the fuel as a function of exposure. Moderator reactivity coefficients </w:t>
      </w:r>
      <w:r w:rsidR="00442FCA">
        <w:rPr>
          <w:rFonts w:cs="Times New Roman"/>
          <w:szCs w:val="24"/>
        </w:rPr>
        <w:t xml:space="preserve">and void fractions </w:t>
      </w:r>
      <w:r w:rsidR="00374694">
        <w:rPr>
          <w:rFonts w:cs="Times New Roman"/>
          <w:szCs w:val="24"/>
        </w:rPr>
        <w:t xml:space="preserve">of </w:t>
      </w:r>
      <w:r w:rsidR="00442FCA">
        <w:rPr>
          <w:rFonts w:cs="Times New Roman"/>
          <w:szCs w:val="24"/>
        </w:rPr>
        <w:t xml:space="preserve">the </w:t>
      </w:r>
      <w:r w:rsidR="00374694">
        <w:rPr>
          <w:rFonts w:cs="Times New Roman"/>
          <w:szCs w:val="24"/>
        </w:rPr>
        <w:t xml:space="preserve">alternate cladding materials </w:t>
      </w:r>
      <w:r w:rsidR="00606D1A">
        <w:rPr>
          <w:rFonts w:cs="Times New Roman"/>
          <w:szCs w:val="24"/>
        </w:rPr>
        <w:t>were</w:t>
      </w:r>
      <w:r w:rsidR="00374694">
        <w:rPr>
          <w:rFonts w:cs="Times New Roman"/>
          <w:szCs w:val="24"/>
        </w:rPr>
        <w:t xml:space="preserve"> compared to standard </w:t>
      </w:r>
      <w:r w:rsidR="00F4572D">
        <w:rPr>
          <w:rFonts w:cs="Times New Roman"/>
          <w:szCs w:val="24"/>
        </w:rPr>
        <w:t>Zircaloy</w:t>
      </w:r>
      <w:r w:rsidR="00374694">
        <w:rPr>
          <w:rFonts w:cs="Times New Roman"/>
          <w:szCs w:val="24"/>
        </w:rPr>
        <w:t xml:space="preserve"> cladding. </w:t>
      </w:r>
      <w:r w:rsidR="00606D1A">
        <w:rPr>
          <w:rFonts w:cs="Times New Roman"/>
          <w:szCs w:val="24"/>
        </w:rPr>
        <w:t>Finally, moving on to</w:t>
      </w:r>
      <w:r w:rsidR="00374694">
        <w:rPr>
          <w:rFonts w:cs="Times New Roman"/>
          <w:szCs w:val="24"/>
        </w:rPr>
        <w:t xml:space="preserve"> lattice level calculations</w:t>
      </w:r>
      <w:r w:rsidR="00606D1A">
        <w:rPr>
          <w:rFonts w:cs="Times New Roman"/>
          <w:szCs w:val="24"/>
        </w:rPr>
        <w:t>,</w:t>
      </w:r>
      <w:r w:rsidR="00374694">
        <w:rPr>
          <w:rFonts w:cs="Times New Roman"/>
          <w:szCs w:val="24"/>
        </w:rPr>
        <w:t xml:space="preserve"> </w:t>
      </w:r>
      <w:r w:rsidR="00606D1A">
        <w:rPr>
          <w:rFonts w:cs="Times New Roman"/>
          <w:szCs w:val="24"/>
        </w:rPr>
        <w:t>pin</w:t>
      </w:r>
      <w:r w:rsidR="00374694">
        <w:rPr>
          <w:rFonts w:cs="Times New Roman"/>
          <w:szCs w:val="24"/>
        </w:rPr>
        <w:t xml:space="preserve"> peaking and power sharing </w:t>
      </w:r>
      <w:r w:rsidR="00606D1A">
        <w:rPr>
          <w:rFonts w:cs="Times New Roman"/>
          <w:szCs w:val="24"/>
        </w:rPr>
        <w:t>comparisons were made between FCM fuel and</w:t>
      </w:r>
      <w:r w:rsidR="00374694">
        <w:rPr>
          <w:rFonts w:cs="Times New Roman"/>
          <w:szCs w:val="24"/>
        </w:rPr>
        <w:t xml:space="preserve"> standard UO</w:t>
      </w:r>
      <w:r w:rsidR="00374694">
        <w:rPr>
          <w:rFonts w:cs="Times New Roman"/>
          <w:szCs w:val="24"/>
          <w:vertAlign w:val="subscript"/>
        </w:rPr>
        <w:t>2</w:t>
      </w:r>
      <w:r w:rsidR="00374694">
        <w:rPr>
          <w:rFonts w:cs="Times New Roman"/>
          <w:szCs w:val="24"/>
        </w:rPr>
        <w:t xml:space="preserve"> pellet fuel</w:t>
      </w:r>
      <w:r w:rsidR="00606D1A">
        <w:rPr>
          <w:rFonts w:cs="Times New Roman"/>
          <w:szCs w:val="24"/>
        </w:rPr>
        <w:t xml:space="preserve"> assemblies</w:t>
      </w:r>
      <w:r w:rsidR="00374694" w:rsidRPr="00563708">
        <w:rPr>
          <w:rFonts w:cs="Times New Roman"/>
          <w:szCs w:val="24"/>
        </w:rPr>
        <w:t xml:space="preserve">. </w:t>
      </w:r>
      <w:r w:rsidR="00C94F60" w:rsidRPr="00563708">
        <w:rPr>
          <w:rFonts w:cs="Times New Roman"/>
          <w:szCs w:val="24"/>
        </w:rPr>
        <w:t xml:space="preserve">It is very important to note, </w:t>
      </w:r>
      <w:r w:rsidR="001C5FF9" w:rsidRPr="00563708">
        <w:rPr>
          <w:rFonts w:cs="Times New Roman"/>
          <w:szCs w:val="24"/>
        </w:rPr>
        <w:t>a</w:t>
      </w:r>
      <w:r w:rsidR="00C94F60" w:rsidRPr="00563708">
        <w:rPr>
          <w:rFonts w:cs="Times New Roman"/>
          <w:szCs w:val="24"/>
        </w:rPr>
        <w:t xml:space="preserve">ll </w:t>
      </w:r>
      <w:r w:rsidR="001C5FF9" w:rsidRPr="00563708">
        <w:rPr>
          <w:rFonts w:cs="Times New Roman"/>
          <w:szCs w:val="24"/>
        </w:rPr>
        <w:t>results pertaining to FCM fuel</w:t>
      </w:r>
      <w:r w:rsidR="00C94F60" w:rsidRPr="00563708">
        <w:rPr>
          <w:rFonts w:cs="Times New Roman"/>
          <w:szCs w:val="24"/>
        </w:rPr>
        <w:t xml:space="preserve"> were done using </w:t>
      </w:r>
      <w:r w:rsidR="00F4572D" w:rsidRPr="00563708">
        <w:rPr>
          <w:rFonts w:cs="Times New Roman"/>
          <w:szCs w:val="24"/>
        </w:rPr>
        <w:t>Zircaloy</w:t>
      </w:r>
      <w:r w:rsidR="00C94F60" w:rsidRPr="00563708">
        <w:rPr>
          <w:rFonts w:cs="Times New Roman"/>
          <w:szCs w:val="24"/>
        </w:rPr>
        <w:t xml:space="preserve"> cladding. Whereas, results pertaining to alternate cladding materials were done using UO</w:t>
      </w:r>
      <w:r w:rsidR="00C94F60" w:rsidRPr="00563708">
        <w:rPr>
          <w:rFonts w:cs="Times New Roman"/>
          <w:szCs w:val="24"/>
          <w:vertAlign w:val="subscript"/>
        </w:rPr>
        <w:t>2</w:t>
      </w:r>
      <w:r w:rsidR="00C94F60" w:rsidRPr="00563708">
        <w:rPr>
          <w:rFonts w:cs="Times New Roman"/>
          <w:szCs w:val="24"/>
        </w:rPr>
        <w:t xml:space="preserve"> fuel pellets. The two studies were done comple</w:t>
      </w:r>
      <w:r w:rsidR="001C5FF9" w:rsidRPr="00563708">
        <w:rPr>
          <w:rFonts w:cs="Times New Roman"/>
          <w:szCs w:val="24"/>
        </w:rPr>
        <w:t>tely independent of one another and do not overlap in any way.</w:t>
      </w:r>
      <w:r w:rsidR="001C5FF9">
        <w:rPr>
          <w:rFonts w:cs="Times New Roman"/>
          <w:b/>
          <w:szCs w:val="24"/>
        </w:rPr>
        <w:t xml:space="preserve"> </w:t>
      </w:r>
    </w:p>
    <w:p w14:paraId="6E8AA03E" w14:textId="77777777" w:rsidR="00C94F60" w:rsidRPr="00C94F60" w:rsidRDefault="00C94F60" w:rsidP="0091793B">
      <w:pPr>
        <w:spacing w:line="360" w:lineRule="auto"/>
        <w:jc w:val="both"/>
        <w:rPr>
          <w:rFonts w:cs="Times New Roman"/>
          <w:szCs w:val="24"/>
        </w:rPr>
      </w:pPr>
    </w:p>
    <w:p w14:paraId="57326927" w14:textId="77777777" w:rsidR="002F6460" w:rsidRPr="00013BA1" w:rsidRDefault="002F6460" w:rsidP="0091793B">
      <w:pPr>
        <w:spacing w:line="360" w:lineRule="auto"/>
        <w:jc w:val="both"/>
        <w:rPr>
          <w:rFonts w:cs="Times New Roman"/>
          <w:b/>
          <w:szCs w:val="24"/>
        </w:rPr>
      </w:pPr>
      <w:proofErr w:type="gramStart"/>
      <w:r>
        <w:rPr>
          <w:rFonts w:cs="Times New Roman"/>
          <w:b/>
          <w:sz w:val="28"/>
          <w:szCs w:val="24"/>
        </w:rPr>
        <w:t>V.A.</w:t>
      </w:r>
      <w:proofErr w:type="gramEnd"/>
      <w:r>
        <w:rPr>
          <w:rFonts w:cs="Times New Roman"/>
          <w:b/>
          <w:sz w:val="28"/>
          <w:szCs w:val="24"/>
        </w:rPr>
        <w:tab/>
      </w:r>
      <w:r>
        <w:rPr>
          <w:rFonts w:cs="Times New Roman"/>
          <w:b/>
          <w:sz w:val="28"/>
          <w:szCs w:val="24"/>
        </w:rPr>
        <w:tab/>
      </w:r>
      <w:r w:rsidR="00E662B3">
        <w:rPr>
          <w:rFonts w:cs="Times New Roman"/>
          <w:b/>
          <w:sz w:val="28"/>
          <w:szCs w:val="24"/>
        </w:rPr>
        <w:t>Preliminary Pin Cell Calculations</w:t>
      </w:r>
      <w:r w:rsidRPr="002F6460">
        <w:rPr>
          <w:rFonts w:cs="Times New Roman"/>
          <w:b/>
          <w:sz w:val="28"/>
          <w:szCs w:val="24"/>
        </w:rPr>
        <w:tab/>
      </w:r>
      <w:r w:rsidRPr="002F6460">
        <w:rPr>
          <w:rFonts w:cs="Times New Roman"/>
          <w:b/>
          <w:szCs w:val="24"/>
        </w:rPr>
        <w:tab/>
      </w:r>
    </w:p>
    <w:p w14:paraId="43F8D61C" w14:textId="77777777" w:rsidR="002F6460" w:rsidRPr="00013BA1" w:rsidRDefault="00013BA1" w:rsidP="0091793B">
      <w:pPr>
        <w:spacing w:line="360" w:lineRule="auto"/>
        <w:jc w:val="both"/>
        <w:rPr>
          <w:rFonts w:cs="Times New Roman"/>
          <w:b/>
          <w:szCs w:val="24"/>
        </w:rPr>
      </w:pPr>
      <w:r w:rsidRPr="00013BA1">
        <w:rPr>
          <w:rFonts w:cs="Times New Roman"/>
          <w:b/>
          <w:szCs w:val="24"/>
        </w:rPr>
        <w:t>V</w:t>
      </w:r>
      <w:r w:rsidR="002F6460" w:rsidRPr="00013BA1">
        <w:rPr>
          <w:rFonts w:cs="Times New Roman"/>
          <w:b/>
          <w:szCs w:val="24"/>
        </w:rPr>
        <w:t>.A.</w:t>
      </w:r>
      <w:r w:rsidRPr="00013BA1">
        <w:rPr>
          <w:rFonts w:cs="Times New Roman"/>
          <w:b/>
          <w:szCs w:val="24"/>
        </w:rPr>
        <w:t>1</w:t>
      </w:r>
      <w:r w:rsidRPr="00013BA1">
        <w:rPr>
          <w:rFonts w:cs="Times New Roman"/>
          <w:b/>
          <w:szCs w:val="24"/>
        </w:rPr>
        <w:tab/>
      </w:r>
      <w:r w:rsidRPr="00013BA1">
        <w:rPr>
          <w:rFonts w:cs="Times New Roman"/>
          <w:b/>
          <w:szCs w:val="24"/>
        </w:rPr>
        <w:tab/>
      </w:r>
      <w:r w:rsidR="00E662B3">
        <w:rPr>
          <w:rFonts w:cs="Times New Roman"/>
          <w:b/>
          <w:szCs w:val="24"/>
        </w:rPr>
        <w:t>Assessment of Insufficient Reactivity in FCM Fuel</w:t>
      </w:r>
    </w:p>
    <w:p w14:paraId="3C3ABAF3" w14:textId="77777777" w:rsidR="001C5FF9" w:rsidRPr="00013BA1" w:rsidRDefault="002F6460" w:rsidP="0091793B">
      <w:pPr>
        <w:spacing w:line="360" w:lineRule="auto"/>
        <w:jc w:val="both"/>
        <w:rPr>
          <w:rFonts w:cs="Times New Roman"/>
          <w:szCs w:val="24"/>
        </w:rPr>
      </w:pPr>
      <w:r w:rsidRPr="00013BA1">
        <w:rPr>
          <w:rFonts w:cs="Times New Roman"/>
          <w:szCs w:val="24"/>
        </w:rPr>
        <w:t>Single pin cell calculations were performed using SCALE to compare the UO</w:t>
      </w:r>
      <w:r w:rsidRPr="00013BA1">
        <w:rPr>
          <w:rFonts w:cs="Times New Roman"/>
          <w:szCs w:val="24"/>
          <w:vertAlign w:val="subscript"/>
        </w:rPr>
        <w:t xml:space="preserve">2 </w:t>
      </w:r>
      <w:r w:rsidRPr="00013BA1">
        <w:rPr>
          <w:rFonts w:cs="Times New Roman"/>
          <w:szCs w:val="24"/>
        </w:rPr>
        <w:t xml:space="preserve">FCM design to that of a standard PWR pin cell. Initially, the multiplication factor of the FCM fuel was plotted vs exposure by varying </w:t>
      </w:r>
      <w:r w:rsidR="00043FE7">
        <w:rPr>
          <w:rFonts w:cs="Times New Roman"/>
          <w:szCs w:val="24"/>
        </w:rPr>
        <w:t xml:space="preserve">the </w:t>
      </w:r>
      <w:r w:rsidRPr="00013BA1">
        <w:rPr>
          <w:rFonts w:cs="Times New Roman"/>
          <w:szCs w:val="24"/>
        </w:rPr>
        <w:t>KD from 500 to 1,000 µm. By increasing KD and keeping the outer layer thicknesses constant (buffer layer</w:t>
      </w:r>
      <w:r w:rsidR="00373287">
        <w:rPr>
          <w:rFonts w:cs="Times New Roman"/>
          <w:szCs w:val="24"/>
        </w:rPr>
        <w:t xml:space="preserve"> (BL)</w:t>
      </w:r>
      <w:r w:rsidRPr="00013BA1">
        <w:rPr>
          <w:rFonts w:cs="Times New Roman"/>
          <w:szCs w:val="24"/>
        </w:rPr>
        <w:t xml:space="preserve"> = 100 µm, IPyC = 35 µm, SiC = 35 µm, and OPyC = 40 µm), the PF of the fuel to the matrix and particle materials increases. This allows more fuel to be inserted and is advantageous in attempting to maximize the reactivity of the fuel. Given fuel fabrication and performance considerations, increasing KD beyond 1,000 µm was not considered.</w:t>
      </w:r>
    </w:p>
    <w:p w14:paraId="3422E0C2" w14:textId="77777777" w:rsidR="002F6460" w:rsidRPr="00013BA1" w:rsidRDefault="00563708" w:rsidP="0091793B">
      <w:pPr>
        <w:spacing w:line="360" w:lineRule="auto"/>
        <w:jc w:val="both"/>
        <w:rPr>
          <w:rFonts w:cs="Times New Roman"/>
          <w:szCs w:val="24"/>
        </w:rPr>
      </w:pPr>
      <w:r>
        <w:rPr>
          <w:rFonts w:cs="Times New Roman"/>
          <w:szCs w:val="24"/>
        </w:rPr>
        <w:t>Figure 26</w:t>
      </w:r>
      <w:r w:rsidR="002F6460" w:rsidRPr="00013BA1">
        <w:rPr>
          <w:rFonts w:cs="Times New Roman"/>
          <w:szCs w:val="24"/>
        </w:rPr>
        <w:t xml:space="preserve"> provides the results of the calculations, presenting the differences in the multiplication factor by increasing KD. With UO</w:t>
      </w:r>
      <w:r w:rsidR="002F6460" w:rsidRPr="00013BA1">
        <w:rPr>
          <w:rFonts w:cs="Times New Roman"/>
          <w:szCs w:val="24"/>
          <w:vertAlign w:val="subscript"/>
        </w:rPr>
        <w:t>2</w:t>
      </w:r>
      <w:r w:rsidR="002F6460" w:rsidRPr="00013BA1">
        <w:rPr>
          <w:rFonts w:cs="Times New Roman"/>
          <w:szCs w:val="24"/>
        </w:rPr>
        <w:t xml:space="preserve"> fuel, none of these cases provided sufficient reactivity to </w:t>
      </w:r>
      <w:r w:rsidR="002F6460" w:rsidRPr="00013BA1">
        <w:rPr>
          <w:rFonts w:cs="Times New Roman"/>
          <w:szCs w:val="24"/>
        </w:rPr>
        <w:lastRenderedPageBreak/>
        <w:t>obtain an 18-month batch cycle. It is not possible to load sufficient fissile fuel with these fuel design parameters.</w:t>
      </w:r>
    </w:p>
    <w:p w14:paraId="39153C35" w14:textId="77777777" w:rsidR="002F6460" w:rsidRPr="00013BA1" w:rsidRDefault="002F6460" w:rsidP="0091793B">
      <w:pPr>
        <w:spacing w:line="360" w:lineRule="auto"/>
        <w:rPr>
          <w:rFonts w:cs="Times New Roman"/>
          <w:b/>
          <w:szCs w:val="24"/>
        </w:rPr>
      </w:pPr>
      <w:r w:rsidRPr="00013BA1">
        <w:rPr>
          <w:rFonts w:cs="Times New Roman"/>
          <w:noProof/>
          <w:szCs w:val="24"/>
        </w:rPr>
        <w:drawing>
          <wp:inline distT="0" distB="0" distL="0" distR="0" wp14:anchorId="17020143" wp14:editId="42F713D9">
            <wp:extent cx="3395207" cy="3212327"/>
            <wp:effectExtent l="0" t="0" r="15240" b="26670"/>
            <wp:docPr id="7178" name="Chart 7178"/>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EB38CE6" w14:textId="239BCFFE" w:rsidR="002F6460" w:rsidRPr="00013BA1" w:rsidRDefault="009E4E51" w:rsidP="0091793B">
      <w:pPr>
        <w:spacing w:line="360" w:lineRule="auto"/>
        <w:rPr>
          <w:rFonts w:cs="Times New Roman"/>
          <w:szCs w:val="24"/>
        </w:rPr>
      </w:pPr>
      <w:bookmarkStart w:id="37" w:name="_Toc416993465"/>
      <w:r>
        <w:t xml:space="preserve">Figure </w:t>
      </w:r>
      <w:fldSimple w:instr=" SEQ Figure \* ARABIC ">
        <w:r w:rsidR="00F3244B">
          <w:rPr>
            <w:noProof/>
          </w:rPr>
          <w:t>26</w:t>
        </w:r>
      </w:fldSimple>
      <w:r>
        <w:t xml:space="preserve">: </w:t>
      </w:r>
      <w:r w:rsidRPr="00B211AC">
        <w:t>Infinite Multiplication factor vs effective full-power days for a range of UO2 kernel diameters</w:t>
      </w:r>
      <w:bookmarkEnd w:id="37"/>
    </w:p>
    <w:p w14:paraId="493156FB" w14:textId="77777777" w:rsidR="001C5FF9" w:rsidRDefault="001C5FF9" w:rsidP="0091793B">
      <w:pPr>
        <w:spacing w:line="360" w:lineRule="auto"/>
        <w:jc w:val="both"/>
        <w:rPr>
          <w:rFonts w:cs="Times New Roman"/>
          <w:szCs w:val="24"/>
        </w:rPr>
      </w:pPr>
    </w:p>
    <w:p w14:paraId="04E2A5BE" w14:textId="600B03EA" w:rsidR="001C5FF9" w:rsidRPr="001C5FF9" w:rsidRDefault="007B3EA9" w:rsidP="0091793B">
      <w:pPr>
        <w:spacing w:line="360" w:lineRule="auto"/>
        <w:jc w:val="both"/>
        <w:rPr>
          <w:rFonts w:cs="Times New Roman"/>
          <w:color w:val="000000"/>
          <w:szCs w:val="24"/>
        </w:rPr>
      </w:pPr>
      <w:r w:rsidRPr="00013BA1">
        <w:rPr>
          <w:rFonts w:cs="Times New Roman"/>
          <w:szCs w:val="24"/>
        </w:rPr>
        <w:t>To obtain higher uranium loadings,</w:t>
      </w:r>
      <w:r>
        <w:rPr>
          <w:rFonts w:cs="Times New Roman"/>
          <w:szCs w:val="24"/>
        </w:rPr>
        <w:t xml:space="preserve"> </w:t>
      </w:r>
      <w:r w:rsidR="001C5FF9">
        <w:rPr>
          <w:rFonts w:cs="Times New Roman"/>
          <w:color w:val="000000"/>
          <w:szCs w:val="24"/>
        </w:rPr>
        <w:t>UN and mixed</w:t>
      </w:r>
      <w:r w:rsidR="00A91830">
        <w:rPr>
          <w:rFonts w:cs="Times New Roman"/>
          <w:color w:val="000000"/>
          <w:szCs w:val="24"/>
        </w:rPr>
        <w:t xml:space="preserve"> </w:t>
      </w:r>
      <w:r w:rsidR="001C5FF9">
        <w:rPr>
          <w:rFonts w:cs="Times New Roman"/>
          <w:color w:val="000000"/>
          <w:szCs w:val="24"/>
        </w:rPr>
        <w:t>UCO</w:t>
      </w:r>
      <w:r w:rsidR="001C5FF9" w:rsidRPr="00A66592">
        <w:rPr>
          <w:rFonts w:cs="Times New Roman"/>
          <w:color w:val="000000"/>
          <w:szCs w:val="24"/>
        </w:rPr>
        <w:t xml:space="preserve"> kernels were simulated with identical geometries to those of the UO</w:t>
      </w:r>
      <w:r w:rsidR="001C5FF9" w:rsidRPr="00A76E53">
        <w:rPr>
          <w:rFonts w:cs="Times New Roman"/>
          <w:color w:val="000000"/>
          <w:szCs w:val="24"/>
          <w:vertAlign w:val="subscript"/>
        </w:rPr>
        <w:t>2</w:t>
      </w:r>
      <w:r w:rsidR="00414C90">
        <w:rPr>
          <w:rFonts w:cs="Times New Roman"/>
          <w:color w:val="000000"/>
          <w:szCs w:val="24"/>
        </w:rPr>
        <w:t xml:space="preserve"> FCM fuel. As shown in </w:t>
      </w:r>
      <w:r w:rsidR="00563708">
        <w:rPr>
          <w:rFonts w:cs="Times New Roman"/>
          <w:color w:val="000000"/>
          <w:szCs w:val="24"/>
        </w:rPr>
        <w:t>Figure 27</w:t>
      </w:r>
      <w:r>
        <w:rPr>
          <w:rFonts w:cs="Times New Roman"/>
          <w:color w:val="000000"/>
          <w:szCs w:val="24"/>
        </w:rPr>
        <w:t>,</w:t>
      </w:r>
      <w:r w:rsidR="001C5FF9" w:rsidRPr="00A66592">
        <w:rPr>
          <w:rFonts w:cs="Times New Roman"/>
          <w:color w:val="000000"/>
          <w:szCs w:val="24"/>
        </w:rPr>
        <w:t xml:space="preserve"> UCO fuel, with a slightly higher density of 10.924 g/cm</w:t>
      </w:r>
      <w:r w:rsidR="001C5FF9" w:rsidRPr="00A66592">
        <w:rPr>
          <w:rFonts w:cs="Times New Roman"/>
          <w:color w:val="000000"/>
          <w:szCs w:val="24"/>
          <w:vertAlign w:val="superscript"/>
        </w:rPr>
        <w:t>3</w:t>
      </w:r>
      <w:r w:rsidR="00B039B9">
        <w:rPr>
          <w:rFonts w:cs="Times New Roman"/>
          <w:color w:val="000000"/>
          <w:szCs w:val="24"/>
        </w:rPr>
        <w:t xml:space="preserve"> </w:t>
      </w:r>
      <w:r w:rsidR="00D00A8B">
        <w:rPr>
          <w:rFonts w:cs="Times New Roman"/>
          <w:color w:val="000000"/>
          <w:szCs w:val="24"/>
        </w:rPr>
        <w:fldChar w:fldCharType="begin"/>
      </w:r>
      <w:r w:rsidR="00817846">
        <w:rPr>
          <w:rFonts w:cs="Times New Roman"/>
          <w:color w:val="000000"/>
          <w:szCs w:val="24"/>
        </w:rPr>
        <w:instrText xml:space="preserve"> ADDIN EN.CITE &lt;EndNote&gt;&lt;Cite&gt;&lt;Author&gt;Hunn&lt;/Author&gt;&lt;Year&gt;2006&lt;/Year&gt;&lt;RecNum&gt;34&lt;/RecNum&gt;&lt;DisplayText&gt;[56]&lt;/DisplayText&gt;&lt;record&gt;&lt;rec-number&gt;34&lt;/rec-number&gt;&lt;foreign-keys&gt;&lt;key app="EN" db-id="trfxzx057wwv0qe0vz1vttttwf0522tvtwpt" timestamp="1422125909"&gt;34&lt;/key&gt;&lt;/foreign-keys&gt;&lt;ref-type name="Report"&gt;27&lt;/ref-type&gt;&lt;contributors&gt;&lt;authors&gt;&lt;author&gt;Hunn, John D&lt;/author&gt;&lt;author&gt;Lowden, Richard Andrew&lt;/author&gt;&lt;/authors&gt;&lt;/contributors&gt;&lt;titles&gt;&lt;title&gt;Data compilation for AGR-1 baseline coated particle composite LEU01-46T&lt;/title&gt;&lt;/titles&gt;&lt;dates&gt;&lt;year&gt;2006&lt;/year&gt;&lt;/dates&gt;&lt;publisher&gt;Oak Ridge National Laboratory (United States)&lt;/publisher&gt;&lt;urls&gt;&lt;/urls&gt;&lt;/record&gt;&lt;/Cite&gt;&lt;/EndNote&gt;</w:instrText>
      </w:r>
      <w:r w:rsidR="00D00A8B">
        <w:rPr>
          <w:rFonts w:cs="Times New Roman"/>
          <w:color w:val="000000"/>
          <w:szCs w:val="24"/>
        </w:rPr>
        <w:fldChar w:fldCharType="separate"/>
      </w:r>
      <w:r w:rsidR="00817846">
        <w:rPr>
          <w:rFonts w:cs="Times New Roman"/>
          <w:noProof/>
          <w:color w:val="000000"/>
          <w:szCs w:val="24"/>
        </w:rPr>
        <w:t>[</w:t>
      </w:r>
      <w:hyperlink w:anchor="_ENREF_56" w:tooltip="Hunn, 2006 #34" w:history="1">
        <w:r w:rsidR="00DF20CB">
          <w:rPr>
            <w:rFonts w:cs="Times New Roman"/>
            <w:noProof/>
            <w:color w:val="000000"/>
            <w:szCs w:val="24"/>
          </w:rPr>
          <w:t>56</w:t>
        </w:r>
      </w:hyperlink>
      <w:r w:rsidR="00817846">
        <w:rPr>
          <w:rFonts w:cs="Times New Roman"/>
          <w:noProof/>
          <w:color w:val="000000"/>
          <w:szCs w:val="24"/>
        </w:rPr>
        <w:t>]</w:t>
      </w:r>
      <w:r w:rsidR="00D00A8B">
        <w:rPr>
          <w:rFonts w:cs="Times New Roman"/>
          <w:color w:val="000000"/>
          <w:szCs w:val="24"/>
        </w:rPr>
        <w:fldChar w:fldCharType="end"/>
      </w:r>
      <w:r w:rsidR="00D00A8B">
        <w:rPr>
          <w:rFonts w:cs="Times New Roman"/>
          <w:color w:val="000000"/>
          <w:szCs w:val="24"/>
        </w:rPr>
        <w:t xml:space="preserve"> </w:t>
      </w:r>
      <w:r w:rsidR="001C5FF9" w:rsidRPr="00A66592">
        <w:rPr>
          <w:rFonts w:cs="Times New Roman"/>
          <w:color w:val="000000"/>
          <w:szCs w:val="24"/>
        </w:rPr>
        <w:t xml:space="preserve"> (9.77 g U/cm</w:t>
      </w:r>
      <w:r w:rsidR="001C5FF9" w:rsidRPr="00A66592">
        <w:rPr>
          <w:rFonts w:cs="Times New Roman"/>
          <w:color w:val="000000"/>
          <w:szCs w:val="24"/>
          <w:vertAlign w:val="superscript"/>
        </w:rPr>
        <w:t>3</w:t>
      </w:r>
      <w:r w:rsidR="001C5FF9" w:rsidRPr="00A66592">
        <w:rPr>
          <w:rFonts w:cs="Times New Roman"/>
          <w:color w:val="000000"/>
          <w:szCs w:val="24"/>
        </w:rPr>
        <w:t>), versus 10.50 g/cm</w:t>
      </w:r>
      <w:r w:rsidR="001C5FF9" w:rsidRPr="00A66592">
        <w:rPr>
          <w:rFonts w:cs="Times New Roman"/>
          <w:color w:val="000000"/>
          <w:szCs w:val="24"/>
          <w:vertAlign w:val="superscript"/>
        </w:rPr>
        <w:t>3</w:t>
      </w:r>
      <w:r w:rsidR="001C5FF9" w:rsidRPr="00A66592">
        <w:rPr>
          <w:rFonts w:cs="Times New Roman"/>
          <w:color w:val="000000"/>
          <w:szCs w:val="24"/>
        </w:rPr>
        <w:t xml:space="preserve"> (9.26 g U/cm</w:t>
      </w:r>
      <w:r w:rsidR="001C5FF9" w:rsidRPr="00A66592">
        <w:rPr>
          <w:rFonts w:cs="Times New Roman"/>
          <w:color w:val="000000"/>
          <w:szCs w:val="24"/>
          <w:vertAlign w:val="superscript"/>
        </w:rPr>
        <w:t>3</w:t>
      </w:r>
      <w:r w:rsidR="001C5FF9" w:rsidRPr="00A66592">
        <w:rPr>
          <w:rFonts w:cs="Times New Roman"/>
          <w:color w:val="000000"/>
          <w:szCs w:val="24"/>
        </w:rPr>
        <w:t>) for UO</w:t>
      </w:r>
      <w:r w:rsidR="001C5FF9" w:rsidRPr="00A66592">
        <w:rPr>
          <w:rFonts w:cs="Times New Roman"/>
          <w:color w:val="000000"/>
          <w:szCs w:val="24"/>
          <w:vertAlign w:val="subscript"/>
        </w:rPr>
        <w:t>2</w:t>
      </w:r>
      <w:r w:rsidR="001C5FF9" w:rsidRPr="00A66592">
        <w:rPr>
          <w:rFonts w:cs="Times New Roman"/>
          <w:color w:val="000000"/>
          <w:szCs w:val="24"/>
        </w:rPr>
        <w:t>, did not provide a significant increase in fuel cycle length. However, UN, with a density of 14.33 g/cm</w:t>
      </w:r>
      <w:r w:rsidR="001C5FF9" w:rsidRPr="00A66592">
        <w:rPr>
          <w:rFonts w:cs="Times New Roman"/>
          <w:color w:val="000000"/>
          <w:szCs w:val="24"/>
          <w:vertAlign w:val="superscript"/>
        </w:rPr>
        <w:t>3</w:t>
      </w:r>
      <w:r w:rsidR="001C5FF9" w:rsidRPr="00A66592">
        <w:rPr>
          <w:rFonts w:cs="Times New Roman"/>
          <w:color w:val="000000"/>
          <w:szCs w:val="24"/>
        </w:rPr>
        <w:t xml:space="preserve"> (13.53 g U/cm</w:t>
      </w:r>
      <w:r w:rsidR="001C5FF9" w:rsidRPr="00A66592">
        <w:rPr>
          <w:rFonts w:cs="Times New Roman"/>
          <w:color w:val="000000"/>
          <w:szCs w:val="24"/>
          <w:vertAlign w:val="superscript"/>
        </w:rPr>
        <w:t>3</w:t>
      </w:r>
      <w:r w:rsidR="001C5FF9" w:rsidRPr="00A66592">
        <w:rPr>
          <w:rFonts w:cs="Times New Roman"/>
          <w:color w:val="000000"/>
          <w:szCs w:val="24"/>
        </w:rPr>
        <w:t>), provided 40% greater uranium density than UO</w:t>
      </w:r>
      <w:r w:rsidR="001C5FF9" w:rsidRPr="00A66592">
        <w:rPr>
          <w:rFonts w:cs="Times New Roman"/>
          <w:color w:val="000000"/>
          <w:szCs w:val="24"/>
          <w:vertAlign w:val="subscript"/>
        </w:rPr>
        <w:t>2</w:t>
      </w:r>
      <w:r w:rsidR="001C5FF9" w:rsidRPr="00A66592">
        <w:rPr>
          <w:rFonts w:cs="Times New Roman"/>
          <w:color w:val="000000"/>
          <w:szCs w:val="24"/>
        </w:rPr>
        <w:t xml:space="preserve">. This increased uranium density coupled with an increase in KD, while maintaining constant coating layer thicknesses significantly increased the amount of fissile material in the particle. </w:t>
      </w:r>
      <w:r w:rsidR="00563708">
        <w:rPr>
          <w:rFonts w:cs="Times New Roman"/>
          <w:szCs w:val="24"/>
        </w:rPr>
        <w:t>Figure 27</w:t>
      </w:r>
      <w:r w:rsidRPr="00013BA1">
        <w:rPr>
          <w:rFonts w:cs="Times New Roman"/>
          <w:szCs w:val="24"/>
        </w:rPr>
        <w:t xml:space="preserve"> illustrates the reactivity differences between the three uranium-based fuels while ho</w:t>
      </w:r>
      <w:r>
        <w:rPr>
          <w:rFonts w:cs="Times New Roman"/>
          <w:szCs w:val="24"/>
        </w:rPr>
        <w:t>lding KD constant at 1,000 μm.</w:t>
      </w:r>
    </w:p>
    <w:p w14:paraId="05FD133D" w14:textId="77777777" w:rsidR="002F6460" w:rsidRPr="00013BA1" w:rsidRDefault="002F6460" w:rsidP="0091793B">
      <w:pPr>
        <w:spacing w:line="360" w:lineRule="auto"/>
        <w:rPr>
          <w:rFonts w:cs="Times New Roman"/>
          <w:b/>
          <w:szCs w:val="24"/>
        </w:rPr>
      </w:pPr>
      <w:r w:rsidRPr="00013BA1">
        <w:rPr>
          <w:rFonts w:cs="Times New Roman"/>
          <w:noProof/>
          <w:szCs w:val="24"/>
        </w:rPr>
        <w:lastRenderedPageBreak/>
        <w:drawing>
          <wp:inline distT="0" distB="0" distL="0" distR="0" wp14:anchorId="1BC141A1" wp14:editId="5FFF7023">
            <wp:extent cx="3181350" cy="2800350"/>
            <wp:effectExtent l="0" t="0" r="19050" b="19050"/>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58D7BAE3" w14:textId="2B86FD7F" w:rsidR="002F6460" w:rsidRDefault="009E4E51" w:rsidP="0091793B">
      <w:pPr>
        <w:spacing w:line="360" w:lineRule="auto"/>
      </w:pPr>
      <w:bookmarkStart w:id="38" w:name="_Toc416993466"/>
      <w:r>
        <w:t xml:space="preserve">Figure </w:t>
      </w:r>
      <w:fldSimple w:instr=" SEQ Figure \* ARABIC ">
        <w:r w:rsidR="00F3244B">
          <w:rPr>
            <w:noProof/>
          </w:rPr>
          <w:t>27</w:t>
        </w:r>
      </w:fldSimple>
      <w:r>
        <w:t xml:space="preserve">: </w:t>
      </w:r>
      <w:r w:rsidRPr="00D252BF">
        <w:t>Infinite Multiplication factor with alternative uranium-based</w:t>
      </w:r>
      <w:r w:rsidR="00255C7D">
        <w:t xml:space="preserve"> FCM</w:t>
      </w:r>
      <w:r w:rsidRPr="00D252BF">
        <w:t xml:space="preserve"> fuels</w:t>
      </w:r>
      <w:bookmarkEnd w:id="38"/>
    </w:p>
    <w:p w14:paraId="67298B5A" w14:textId="77777777" w:rsidR="003E4D27" w:rsidRPr="00013BA1" w:rsidRDefault="003E4D27" w:rsidP="0091793B">
      <w:pPr>
        <w:spacing w:line="360" w:lineRule="auto"/>
        <w:rPr>
          <w:rFonts w:cs="Times New Roman"/>
          <w:szCs w:val="24"/>
        </w:rPr>
      </w:pPr>
    </w:p>
    <w:p w14:paraId="3FD3E352" w14:textId="77777777" w:rsidR="000808D8" w:rsidRDefault="00414C90" w:rsidP="0091793B">
      <w:pPr>
        <w:spacing w:line="360" w:lineRule="auto"/>
        <w:jc w:val="both"/>
        <w:rPr>
          <w:rFonts w:cs="Times New Roman"/>
          <w:szCs w:val="24"/>
        </w:rPr>
      </w:pPr>
      <w:r>
        <w:rPr>
          <w:rFonts w:cs="Times New Roman"/>
          <w:szCs w:val="24"/>
        </w:rPr>
        <w:t xml:space="preserve">The results in </w:t>
      </w:r>
      <w:r w:rsidR="00563708">
        <w:rPr>
          <w:rFonts w:cs="Times New Roman"/>
          <w:szCs w:val="24"/>
        </w:rPr>
        <w:t>Figure 27</w:t>
      </w:r>
      <w:r w:rsidR="002F6460" w:rsidRPr="00013BA1">
        <w:rPr>
          <w:rFonts w:cs="Times New Roman"/>
          <w:szCs w:val="24"/>
        </w:rPr>
        <w:t xml:space="preserve"> indicate </w:t>
      </w:r>
      <w:r w:rsidR="007B3EA9">
        <w:rPr>
          <w:rFonts w:cs="Times New Roman"/>
          <w:szCs w:val="24"/>
        </w:rPr>
        <w:t xml:space="preserve">that </w:t>
      </w:r>
      <w:r w:rsidR="002F6460" w:rsidRPr="00013BA1">
        <w:rPr>
          <w:rFonts w:cs="Times New Roman"/>
          <w:szCs w:val="24"/>
        </w:rPr>
        <w:t>UN outperforms the other FCM fuel</w:t>
      </w:r>
      <w:r w:rsidR="005969E9">
        <w:rPr>
          <w:rFonts w:cs="Times New Roman"/>
          <w:szCs w:val="24"/>
        </w:rPr>
        <w:t>s on the basis of reactivity;</w:t>
      </w:r>
      <w:r w:rsidR="002F6460" w:rsidRPr="00013BA1">
        <w:rPr>
          <w:rFonts w:cs="Times New Roman"/>
          <w:szCs w:val="24"/>
        </w:rPr>
        <w:t xml:space="preserve"> </w:t>
      </w:r>
      <w:r w:rsidR="005969E9">
        <w:rPr>
          <w:rFonts w:cs="Times New Roman"/>
          <w:szCs w:val="24"/>
        </w:rPr>
        <w:t>thus, UN</w:t>
      </w:r>
      <w:r w:rsidR="002F6460" w:rsidRPr="00013BA1">
        <w:rPr>
          <w:rFonts w:cs="Times New Roman"/>
          <w:szCs w:val="24"/>
        </w:rPr>
        <w:t xml:space="preserve"> chosen as the primary fuel in the FCM design for the remainder of this work. It should be noted that there remains a rapid drop-off in </w:t>
      </w:r>
      <w:r w:rsidR="002F6460" w:rsidRPr="00013BA1">
        <w:rPr>
          <w:rFonts w:cs="Times New Roman"/>
          <w:i/>
          <w:szCs w:val="24"/>
        </w:rPr>
        <w:t>k</w:t>
      </w:r>
      <w:r w:rsidR="002F6460" w:rsidRPr="00013BA1">
        <w:rPr>
          <w:rFonts w:cs="Times New Roman"/>
          <w:i/>
          <w:szCs w:val="24"/>
          <w:vertAlign w:val="subscript"/>
        </w:rPr>
        <w:t>inf</w:t>
      </w:r>
      <w:r w:rsidR="002F6460" w:rsidRPr="00013BA1">
        <w:rPr>
          <w:rFonts w:cs="Times New Roman"/>
          <w:szCs w:val="24"/>
        </w:rPr>
        <w:t xml:space="preserve"> from around 750 </w:t>
      </w:r>
      <w:r w:rsidR="00497109">
        <w:rPr>
          <w:rFonts w:cs="Times New Roman"/>
          <w:szCs w:val="24"/>
        </w:rPr>
        <w:t>EFPD</w:t>
      </w:r>
      <w:r w:rsidR="002F6460" w:rsidRPr="00013BA1">
        <w:rPr>
          <w:rFonts w:cs="Times New Roman"/>
          <w:szCs w:val="24"/>
        </w:rPr>
        <w:t xml:space="preserve"> that occurs because of the lack of plutonium in FCM fuel compared with the standard UO</w:t>
      </w:r>
      <w:r w:rsidR="002F6460" w:rsidRPr="00013BA1">
        <w:rPr>
          <w:rFonts w:cs="Times New Roman"/>
          <w:szCs w:val="24"/>
          <w:vertAlign w:val="subscript"/>
        </w:rPr>
        <w:t>2</w:t>
      </w:r>
      <w:r w:rsidR="002F6460" w:rsidRPr="00013BA1">
        <w:rPr>
          <w:rFonts w:cs="Times New Roman"/>
          <w:szCs w:val="24"/>
        </w:rPr>
        <w:t xml:space="preserve"> pellet case. </w:t>
      </w:r>
    </w:p>
    <w:p w14:paraId="3EC4A2A5" w14:textId="77777777" w:rsidR="00E662B3" w:rsidRPr="00C94F60" w:rsidRDefault="00E662B3" w:rsidP="0091793B">
      <w:pPr>
        <w:spacing w:line="360" w:lineRule="auto"/>
        <w:jc w:val="both"/>
        <w:rPr>
          <w:rFonts w:cs="Times New Roman"/>
          <w:b/>
          <w:szCs w:val="24"/>
        </w:rPr>
      </w:pPr>
      <w:r>
        <w:rPr>
          <w:rFonts w:cs="Times New Roman"/>
          <w:b/>
          <w:szCs w:val="24"/>
        </w:rPr>
        <w:t>V</w:t>
      </w:r>
      <w:r w:rsidRPr="003272B7">
        <w:rPr>
          <w:rFonts w:cs="Times New Roman"/>
          <w:b/>
          <w:szCs w:val="24"/>
        </w:rPr>
        <w:t>.</w:t>
      </w:r>
      <w:r>
        <w:rPr>
          <w:rFonts w:cs="Times New Roman"/>
          <w:b/>
          <w:szCs w:val="24"/>
        </w:rPr>
        <w:t>A</w:t>
      </w:r>
      <w:r w:rsidRPr="003272B7">
        <w:rPr>
          <w:rFonts w:cs="Times New Roman"/>
          <w:b/>
          <w:szCs w:val="24"/>
        </w:rPr>
        <w:t>.</w:t>
      </w:r>
      <w:r>
        <w:rPr>
          <w:rFonts w:cs="Times New Roman"/>
          <w:b/>
          <w:szCs w:val="24"/>
        </w:rPr>
        <w:t>2.</w:t>
      </w:r>
      <w:r w:rsidRPr="003272B7">
        <w:rPr>
          <w:rFonts w:cs="Times New Roman"/>
          <w:b/>
          <w:szCs w:val="24"/>
        </w:rPr>
        <w:t xml:space="preserve"> </w:t>
      </w:r>
      <w:r>
        <w:rPr>
          <w:rFonts w:cs="Times New Roman"/>
          <w:b/>
          <w:szCs w:val="24"/>
        </w:rPr>
        <w:tab/>
      </w:r>
      <w:r>
        <w:rPr>
          <w:rFonts w:cs="Times New Roman"/>
          <w:b/>
          <w:szCs w:val="24"/>
        </w:rPr>
        <w:tab/>
        <w:t>Reactivity Penalty of Alternate Cladding Concepts</w:t>
      </w:r>
    </w:p>
    <w:p w14:paraId="18A07653" w14:textId="77777777" w:rsidR="00E662B3" w:rsidRPr="008E46E6" w:rsidRDefault="00563708" w:rsidP="0091793B">
      <w:pPr>
        <w:widowControl w:val="0"/>
        <w:spacing w:after="0" w:line="360" w:lineRule="auto"/>
        <w:jc w:val="both"/>
        <w:rPr>
          <w:rFonts w:eastAsia="Times New Roman" w:cs="Times New Roman"/>
          <w:snapToGrid w:val="0"/>
          <w:szCs w:val="24"/>
        </w:rPr>
      </w:pPr>
      <w:r>
        <w:rPr>
          <w:rFonts w:eastAsia="Times New Roman" w:cs="Times New Roman"/>
          <w:snapToGrid w:val="0"/>
          <w:szCs w:val="24"/>
        </w:rPr>
        <w:t>Figure</w:t>
      </w:r>
      <w:r w:rsidR="001E5DD5">
        <w:rPr>
          <w:rFonts w:eastAsia="Times New Roman" w:cs="Times New Roman"/>
          <w:snapToGrid w:val="0"/>
          <w:szCs w:val="24"/>
        </w:rPr>
        <w:t xml:space="preserve"> </w:t>
      </w:r>
      <w:r>
        <w:rPr>
          <w:rFonts w:eastAsia="Times New Roman" w:cs="Times New Roman"/>
          <w:snapToGrid w:val="0"/>
          <w:szCs w:val="24"/>
        </w:rPr>
        <w:t>28</w:t>
      </w:r>
      <w:r w:rsidR="001E5DD5">
        <w:rPr>
          <w:rFonts w:eastAsia="Times New Roman" w:cs="Times New Roman"/>
          <w:snapToGrid w:val="0"/>
          <w:szCs w:val="24"/>
        </w:rPr>
        <w:t xml:space="preserve"> displays the </w:t>
      </w:r>
      <w:r w:rsidR="008E46E6" w:rsidRPr="00C44306">
        <w:rPr>
          <w:rFonts w:eastAsia="Times New Roman" w:cs="Times New Roman"/>
          <w:snapToGrid w:val="0"/>
          <w:szCs w:val="24"/>
        </w:rPr>
        <w:t>neutronic penalty/advantage associated with utilization of alternate cladding materials</w:t>
      </w:r>
      <w:r w:rsidR="001E5DD5">
        <w:rPr>
          <w:rFonts w:eastAsia="Times New Roman" w:cs="Times New Roman"/>
          <w:snapToGrid w:val="0"/>
          <w:szCs w:val="24"/>
        </w:rPr>
        <w:t xml:space="preserve"> </w:t>
      </w:r>
      <w:r w:rsidR="00E662B3" w:rsidRPr="00C44306">
        <w:rPr>
          <w:rFonts w:eastAsia="Times New Roman" w:cs="Times New Roman"/>
          <w:snapToGrid w:val="0"/>
          <w:szCs w:val="24"/>
        </w:rPr>
        <w:t xml:space="preserve">as a function of </w:t>
      </w:r>
      <w:r w:rsidR="00497109">
        <w:rPr>
          <w:rFonts w:eastAsia="Times New Roman" w:cs="Times New Roman"/>
          <w:snapToGrid w:val="0"/>
          <w:szCs w:val="24"/>
        </w:rPr>
        <w:t>EFPD</w:t>
      </w:r>
      <w:r w:rsidR="001E5DD5">
        <w:rPr>
          <w:rFonts w:eastAsia="Times New Roman" w:cs="Times New Roman"/>
          <w:snapToGrid w:val="0"/>
          <w:szCs w:val="24"/>
        </w:rPr>
        <w:t xml:space="preserve">. </w:t>
      </w:r>
      <w:r w:rsidR="008E46E6">
        <w:rPr>
          <w:rFonts w:eastAsia="Times New Roman" w:cs="Times New Roman"/>
          <w:snapToGrid w:val="0"/>
          <w:szCs w:val="24"/>
        </w:rPr>
        <w:t>For this initial calculation, f</w:t>
      </w:r>
      <w:r w:rsidR="00E662B3" w:rsidRPr="00C44306">
        <w:rPr>
          <w:rFonts w:eastAsia="Times New Roman" w:cs="Times New Roman"/>
          <w:snapToGrid w:val="0"/>
          <w:szCs w:val="24"/>
        </w:rPr>
        <w:t xml:space="preserve">uel rods </w:t>
      </w:r>
      <w:r w:rsidR="008E46E6">
        <w:rPr>
          <w:rFonts w:eastAsia="Times New Roman" w:cs="Times New Roman"/>
          <w:snapToGrid w:val="0"/>
          <w:szCs w:val="24"/>
        </w:rPr>
        <w:t>were modeled with a standard PWR 17 × 17 geometry</w:t>
      </w:r>
      <w:r w:rsidR="00E662B3" w:rsidRPr="00C44306">
        <w:rPr>
          <w:rFonts w:eastAsia="Times New Roman" w:cs="Times New Roman"/>
          <w:snapToGrid w:val="0"/>
          <w:szCs w:val="24"/>
        </w:rPr>
        <w:t xml:space="preserve">. All </w:t>
      </w:r>
      <w:r w:rsidR="008E46E6">
        <w:rPr>
          <w:rFonts w:eastAsia="Times New Roman" w:cs="Times New Roman"/>
          <w:snapToGrid w:val="0"/>
          <w:szCs w:val="24"/>
        </w:rPr>
        <w:t>cases</w:t>
      </w:r>
      <w:r w:rsidR="00E662B3" w:rsidRPr="00C44306">
        <w:rPr>
          <w:rFonts w:eastAsia="Times New Roman" w:cs="Times New Roman"/>
          <w:snapToGrid w:val="0"/>
          <w:szCs w:val="24"/>
        </w:rPr>
        <w:t xml:space="preserve"> were depleted for 1,475 </w:t>
      </w:r>
      <w:r w:rsidR="00497109">
        <w:rPr>
          <w:rFonts w:eastAsia="Times New Roman" w:cs="Times New Roman"/>
          <w:snapToGrid w:val="0"/>
          <w:szCs w:val="24"/>
        </w:rPr>
        <w:t>EFPD</w:t>
      </w:r>
      <w:r w:rsidR="00E662B3" w:rsidRPr="00C44306">
        <w:rPr>
          <w:rFonts w:eastAsia="Times New Roman" w:cs="Times New Roman"/>
          <w:snapToGrid w:val="0"/>
          <w:szCs w:val="24"/>
        </w:rPr>
        <w:t xml:space="preserve"> to </w:t>
      </w:r>
      <w:r w:rsidR="00C13A66">
        <w:rPr>
          <w:rFonts w:eastAsia="Times New Roman" w:cs="Times New Roman"/>
          <w:snapToGrid w:val="0"/>
          <w:szCs w:val="24"/>
        </w:rPr>
        <w:t>encompass</w:t>
      </w:r>
      <w:r w:rsidR="00E662B3" w:rsidRPr="00C44306">
        <w:rPr>
          <w:rFonts w:eastAsia="Times New Roman" w:cs="Times New Roman"/>
          <w:snapToGrid w:val="0"/>
          <w:szCs w:val="24"/>
        </w:rPr>
        <w:t xml:space="preserve"> the expected value (1,420 </w:t>
      </w:r>
      <w:r w:rsidR="00497109">
        <w:rPr>
          <w:rFonts w:eastAsia="Times New Roman" w:cs="Times New Roman"/>
          <w:snapToGrid w:val="0"/>
          <w:szCs w:val="24"/>
        </w:rPr>
        <w:t>EFPD</w:t>
      </w:r>
      <w:r w:rsidR="00E662B3" w:rsidRPr="00C44306">
        <w:rPr>
          <w:rFonts w:eastAsia="Times New Roman" w:cs="Times New Roman"/>
          <w:snapToGrid w:val="0"/>
          <w:szCs w:val="24"/>
        </w:rPr>
        <w:t xml:space="preserve">) after three 18-month cycles in PWR. </w:t>
      </w:r>
      <w:r w:rsidR="008E46E6">
        <w:rPr>
          <w:rFonts w:eastAsia="Times New Roman" w:cs="Times New Roman"/>
          <w:snapToGrid w:val="0"/>
          <w:szCs w:val="24"/>
        </w:rPr>
        <w:t>The</w:t>
      </w:r>
      <w:r w:rsidR="00E662B3" w:rsidRPr="00C44306">
        <w:rPr>
          <w:rFonts w:eastAsia="Times New Roman" w:cs="Times New Roman"/>
          <w:snapToGrid w:val="0"/>
          <w:szCs w:val="24"/>
        </w:rPr>
        <w:t xml:space="preserve"> differing neutron absorption</w:t>
      </w:r>
      <w:r w:rsidR="008E46E6">
        <w:rPr>
          <w:rFonts w:eastAsia="Times New Roman" w:cs="Times New Roman"/>
          <w:snapToGrid w:val="0"/>
          <w:szCs w:val="24"/>
        </w:rPr>
        <w:t xml:space="preserve"> properties are easily shown in this figure when viewing the large </w:t>
      </w:r>
      <w:r w:rsidR="00E662B3" w:rsidRPr="00C44306">
        <w:rPr>
          <w:rFonts w:eastAsia="Times New Roman" w:cs="Times New Roman"/>
          <w:snapToGrid w:val="0"/>
          <w:szCs w:val="24"/>
        </w:rPr>
        <w:t>difference in k</w:t>
      </w:r>
      <w:r w:rsidR="00E662B3" w:rsidRPr="00C44306">
        <w:rPr>
          <w:rFonts w:eastAsia="Times New Roman" w:cs="Times New Roman"/>
          <w:snapToGrid w:val="0"/>
          <w:szCs w:val="24"/>
        </w:rPr>
        <w:noBreakHyphen/>
        <w:t xml:space="preserve">infinity between the alternate cladding </w:t>
      </w:r>
      <w:r w:rsidR="008E46E6">
        <w:rPr>
          <w:rFonts w:eastAsia="Times New Roman" w:cs="Times New Roman"/>
          <w:snapToGrid w:val="0"/>
          <w:szCs w:val="24"/>
        </w:rPr>
        <w:t xml:space="preserve">concepts and the </w:t>
      </w:r>
      <w:r w:rsidR="00F4572D">
        <w:rPr>
          <w:rFonts w:eastAsia="Times New Roman" w:cs="Times New Roman"/>
          <w:snapToGrid w:val="0"/>
          <w:szCs w:val="24"/>
        </w:rPr>
        <w:t>Zircaloy</w:t>
      </w:r>
      <w:r w:rsidR="00E662B3" w:rsidRPr="00C44306">
        <w:rPr>
          <w:rFonts w:eastAsia="Times New Roman" w:cs="Times New Roman"/>
          <w:snapToGrid w:val="0"/>
          <w:szCs w:val="24"/>
        </w:rPr>
        <w:t xml:space="preserve"> reference case. </w:t>
      </w:r>
    </w:p>
    <w:p w14:paraId="5EE81495" w14:textId="77777777" w:rsidR="00E662B3" w:rsidRPr="003272B7" w:rsidRDefault="00E662B3" w:rsidP="0091793B">
      <w:pPr>
        <w:spacing w:line="360" w:lineRule="auto"/>
        <w:rPr>
          <w:rFonts w:cs="Times New Roman"/>
          <w:szCs w:val="24"/>
        </w:rPr>
      </w:pPr>
      <w:r w:rsidRPr="003272B7">
        <w:rPr>
          <w:rFonts w:cs="Times New Roman"/>
          <w:noProof/>
          <w:szCs w:val="24"/>
        </w:rPr>
        <w:lastRenderedPageBreak/>
        <w:drawing>
          <wp:inline distT="0" distB="0" distL="0" distR="0" wp14:anchorId="657DE6D3" wp14:editId="2A0D0D03">
            <wp:extent cx="4603898" cy="3444949"/>
            <wp:effectExtent l="0" t="0" r="25400" b="22225"/>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86A8E72" w14:textId="77777777" w:rsidR="00E662B3" w:rsidRDefault="009E4E51" w:rsidP="0091793B">
      <w:pPr>
        <w:spacing w:line="360" w:lineRule="auto"/>
      </w:pPr>
      <w:bookmarkStart w:id="39" w:name="_Toc416993467"/>
      <w:r>
        <w:t xml:space="preserve">Figure </w:t>
      </w:r>
      <w:fldSimple w:instr=" SEQ Figure \* ARABIC ">
        <w:r w:rsidR="00F3244B">
          <w:rPr>
            <w:noProof/>
          </w:rPr>
          <w:t>28</w:t>
        </w:r>
      </w:fldSimple>
      <w:r>
        <w:t>: Δk-infinity from Zircaloy-4 clad fuel vs. effective full power days</w:t>
      </w:r>
      <w:bookmarkEnd w:id="39"/>
    </w:p>
    <w:p w14:paraId="7AE7579E" w14:textId="77777777" w:rsidR="003E4D27" w:rsidRPr="009E4E51" w:rsidRDefault="003E4D27" w:rsidP="0091793B">
      <w:pPr>
        <w:spacing w:line="360" w:lineRule="auto"/>
        <w:rPr>
          <w:b/>
          <w:szCs w:val="24"/>
        </w:rPr>
      </w:pPr>
    </w:p>
    <w:p w14:paraId="18194F0C" w14:textId="77777777" w:rsidR="008E46E6" w:rsidRDefault="00E662B3" w:rsidP="0091793B">
      <w:pPr>
        <w:spacing w:line="360" w:lineRule="auto"/>
        <w:jc w:val="both"/>
        <w:rPr>
          <w:rFonts w:cs="Times New Roman"/>
          <w:szCs w:val="24"/>
        </w:rPr>
      </w:pPr>
      <w:r w:rsidRPr="003272B7">
        <w:rPr>
          <w:rFonts w:cs="Times New Roman"/>
          <w:szCs w:val="24"/>
        </w:rPr>
        <w:t>The drop in reactivity found for 310SS, 304SS, APMT</w:t>
      </w:r>
      <w:r w:rsidR="00CD6077">
        <w:rPr>
          <w:rFonts w:cs="Times New Roman"/>
          <w:szCs w:val="24"/>
          <w:vertAlign w:val="superscript"/>
        </w:rPr>
        <w:t>TM</w:t>
      </w:r>
      <w:r w:rsidRPr="003272B7">
        <w:rPr>
          <w:rFonts w:cs="Times New Roman"/>
          <w:szCs w:val="24"/>
        </w:rPr>
        <w:t xml:space="preserve">, and FeCrAl corresponds to a significant reduction in operational cycle length. As shown in </w:t>
      </w:r>
      <w:r w:rsidR="00563708">
        <w:rPr>
          <w:rFonts w:cs="Times New Roman"/>
          <w:szCs w:val="24"/>
        </w:rPr>
        <w:t>Figure 28</w:t>
      </w:r>
      <w:r w:rsidRPr="003272B7">
        <w:rPr>
          <w:rFonts w:cs="Times New Roman"/>
          <w:szCs w:val="24"/>
        </w:rPr>
        <w:t>, Δk-infinity for those cladding materials decreases throughout the cycle. This phenomenon is due to increased plutonium breeding throughout the cycle in the presence of a harde</w:t>
      </w:r>
      <w:r w:rsidR="006B59CB">
        <w:rPr>
          <w:rFonts w:cs="Times New Roman"/>
          <w:szCs w:val="24"/>
        </w:rPr>
        <w:t>r neutron spectrum, and will be further analyzed</w:t>
      </w:r>
      <w:r w:rsidRPr="003272B7">
        <w:rPr>
          <w:rFonts w:cs="Times New Roman"/>
          <w:szCs w:val="24"/>
        </w:rPr>
        <w:t xml:space="preserve"> in Section </w:t>
      </w:r>
      <w:r w:rsidR="006B59CB">
        <w:rPr>
          <w:rFonts w:cs="Times New Roman"/>
          <w:szCs w:val="24"/>
        </w:rPr>
        <w:t>V.C.2</w:t>
      </w:r>
      <w:r w:rsidRPr="003272B7">
        <w:rPr>
          <w:rFonts w:cs="Times New Roman"/>
          <w:szCs w:val="24"/>
        </w:rPr>
        <w:t>. The reactivity penalties at the end of three 18-month cycles for austenitic stainless steels (304SS and 310SS) were found to be -4.2% and -4.8% Δk-infinity respectively, while the ferritic alloys (FeCrAl and APMT</w:t>
      </w:r>
      <w:r w:rsidR="00CD6077">
        <w:rPr>
          <w:rFonts w:cs="Times New Roman"/>
          <w:szCs w:val="24"/>
          <w:vertAlign w:val="superscript"/>
        </w:rPr>
        <w:t>TM</w:t>
      </w:r>
      <w:r w:rsidRPr="003272B7">
        <w:rPr>
          <w:rFonts w:cs="Times New Roman"/>
          <w:szCs w:val="24"/>
        </w:rPr>
        <w:t>) were slightly less negative at -3.2% and -4.0%. The less absorbing SiC cladding produced a positive 0.6% Δk</w:t>
      </w:r>
      <w:r w:rsidR="00043FE7">
        <w:rPr>
          <w:rFonts w:cs="Times New Roman"/>
          <w:szCs w:val="24"/>
        </w:rPr>
        <w:t>-infinity at EOL</w:t>
      </w:r>
      <w:r w:rsidR="008E46E6">
        <w:rPr>
          <w:rFonts w:cs="Times New Roman"/>
          <w:szCs w:val="24"/>
        </w:rPr>
        <w:t>.</w:t>
      </w:r>
    </w:p>
    <w:p w14:paraId="1DFA4293" w14:textId="77777777" w:rsidR="008860C4" w:rsidRDefault="008860C4" w:rsidP="0091793B">
      <w:pPr>
        <w:spacing w:line="360" w:lineRule="auto"/>
        <w:jc w:val="both"/>
        <w:rPr>
          <w:rFonts w:cs="Times New Roman"/>
          <w:szCs w:val="24"/>
        </w:rPr>
      </w:pPr>
    </w:p>
    <w:p w14:paraId="24D8B242" w14:textId="77777777" w:rsidR="00043FE7" w:rsidRDefault="00043FE7" w:rsidP="0091793B">
      <w:pPr>
        <w:spacing w:line="360" w:lineRule="auto"/>
        <w:jc w:val="both"/>
        <w:rPr>
          <w:rFonts w:cs="Times New Roman"/>
          <w:szCs w:val="24"/>
        </w:rPr>
      </w:pPr>
    </w:p>
    <w:p w14:paraId="283B51F0" w14:textId="77777777" w:rsidR="00F62552" w:rsidRPr="003272B7" w:rsidRDefault="00F62552" w:rsidP="0091793B">
      <w:pPr>
        <w:spacing w:line="360" w:lineRule="auto"/>
        <w:jc w:val="both"/>
        <w:rPr>
          <w:rFonts w:cs="Times New Roman"/>
          <w:szCs w:val="24"/>
        </w:rPr>
      </w:pPr>
    </w:p>
    <w:p w14:paraId="06C3345D" w14:textId="77777777" w:rsidR="008E46E6" w:rsidRPr="008E46E6" w:rsidRDefault="007F2783" w:rsidP="0091793B">
      <w:pPr>
        <w:spacing w:line="360" w:lineRule="auto"/>
        <w:jc w:val="both"/>
        <w:rPr>
          <w:rFonts w:cs="Times New Roman"/>
          <w:b/>
          <w:sz w:val="28"/>
          <w:szCs w:val="24"/>
        </w:rPr>
      </w:pPr>
      <w:proofErr w:type="gramStart"/>
      <w:r w:rsidRPr="008E46E6">
        <w:rPr>
          <w:rFonts w:cs="Times New Roman"/>
          <w:b/>
          <w:sz w:val="28"/>
          <w:szCs w:val="24"/>
        </w:rPr>
        <w:lastRenderedPageBreak/>
        <w:t>V.</w:t>
      </w:r>
      <w:r w:rsidR="001A4B7E">
        <w:rPr>
          <w:rFonts w:cs="Times New Roman"/>
          <w:b/>
          <w:sz w:val="28"/>
          <w:szCs w:val="24"/>
        </w:rPr>
        <w:t>B.</w:t>
      </w:r>
      <w:proofErr w:type="gramEnd"/>
      <w:r w:rsidR="001A4B7E">
        <w:rPr>
          <w:rFonts w:cs="Times New Roman"/>
          <w:b/>
          <w:sz w:val="28"/>
          <w:szCs w:val="24"/>
        </w:rPr>
        <w:tab/>
      </w:r>
      <w:r w:rsidR="001A4B7E">
        <w:rPr>
          <w:rFonts w:cs="Times New Roman"/>
          <w:b/>
          <w:sz w:val="28"/>
          <w:szCs w:val="24"/>
        </w:rPr>
        <w:tab/>
        <w:t xml:space="preserve">Parametric Study </w:t>
      </w:r>
      <w:r w:rsidRPr="008E46E6">
        <w:rPr>
          <w:rFonts w:cs="Times New Roman"/>
          <w:b/>
          <w:sz w:val="28"/>
          <w:szCs w:val="24"/>
        </w:rPr>
        <w:t>Matching Reactivity Lifetime Requirements</w:t>
      </w:r>
    </w:p>
    <w:p w14:paraId="09BC94E7" w14:textId="77777777" w:rsidR="007F2783" w:rsidRDefault="007F2783" w:rsidP="0091793B">
      <w:pPr>
        <w:spacing w:line="360" w:lineRule="auto"/>
        <w:jc w:val="both"/>
        <w:rPr>
          <w:rFonts w:cs="Times New Roman"/>
          <w:b/>
          <w:szCs w:val="24"/>
        </w:rPr>
      </w:pPr>
      <w:r>
        <w:rPr>
          <w:rFonts w:cs="Times New Roman"/>
          <w:b/>
          <w:szCs w:val="24"/>
        </w:rPr>
        <w:t>V.B.1</w:t>
      </w:r>
      <w:r>
        <w:rPr>
          <w:rFonts w:cs="Times New Roman"/>
          <w:b/>
          <w:szCs w:val="24"/>
        </w:rPr>
        <w:tab/>
      </w:r>
      <w:r>
        <w:rPr>
          <w:rFonts w:cs="Times New Roman"/>
          <w:b/>
          <w:szCs w:val="24"/>
        </w:rPr>
        <w:tab/>
        <w:t>FCM Particle Geometry Manipulation</w:t>
      </w:r>
    </w:p>
    <w:p w14:paraId="22A90F7A" w14:textId="77777777" w:rsidR="00C94F60" w:rsidRPr="00A93605" w:rsidRDefault="00C94F60" w:rsidP="0091793B">
      <w:pPr>
        <w:spacing w:line="360" w:lineRule="auto"/>
        <w:jc w:val="both"/>
        <w:rPr>
          <w:rFonts w:eastAsia="Calibri" w:cs="Times New Roman"/>
        </w:rPr>
      </w:pPr>
      <w:r w:rsidRPr="00A93605">
        <w:rPr>
          <w:rFonts w:eastAsia="Calibri" w:cs="Times New Roman"/>
        </w:rPr>
        <w:t>Despite using the high-density UN fuel in a 1,000-µm fuel kernel, reactivity lifetime requirements were not met with the initial particle geometry and matrix specifications when comparing FCM fuel to standard UO</w:t>
      </w:r>
      <w:r w:rsidRPr="00A93605">
        <w:rPr>
          <w:rFonts w:eastAsia="Calibri" w:cs="Times New Roman"/>
          <w:vertAlign w:val="subscript"/>
        </w:rPr>
        <w:t>2</w:t>
      </w:r>
      <w:r w:rsidRPr="00A93605">
        <w:rPr>
          <w:rFonts w:eastAsia="Calibri" w:cs="Times New Roman"/>
        </w:rPr>
        <w:t xml:space="preserve"> pellet fuel. Therefore, variations in the particle layers and PFs were evaluated to increase the volume fraction of the fuel region. Limiting values for these augmentations suggested by fuel fabrication experts have been deemed largely inconsequential to fuel performance under irradiation. By increasing the fuel KD and PF and decreasing the surrounding </w:t>
      </w:r>
      <w:r w:rsidR="00373287">
        <w:rPr>
          <w:rFonts w:eastAsia="Calibri" w:cs="Times New Roman"/>
        </w:rPr>
        <w:t>BL</w:t>
      </w:r>
      <w:r w:rsidRPr="00A93605">
        <w:rPr>
          <w:rFonts w:eastAsia="Calibri" w:cs="Times New Roman"/>
        </w:rPr>
        <w:t>, a greater uranium loading can be achieved, thus increasing reactivity and fuel cycle length while maintaining sufficient volum</w:t>
      </w:r>
      <w:r>
        <w:rPr>
          <w:rFonts w:eastAsia="Calibri" w:cs="Times New Roman"/>
        </w:rPr>
        <w:t>e for fission gas accumulation.</w:t>
      </w:r>
    </w:p>
    <w:p w14:paraId="4AC37F94" w14:textId="77777777" w:rsidR="00C94F60" w:rsidRPr="00A93605" w:rsidRDefault="00C94F60" w:rsidP="003E4D27">
      <w:pPr>
        <w:spacing w:line="360" w:lineRule="auto"/>
        <w:jc w:val="both"/>
      </w:pPr>
      <w:r w:rsidRPr="00A93605">
        <w:t xml:space="preserve">Due to the significantly lower amount of </w:t>
      </w:r>
      <w:r w:rsidRPr="00A93605">
        <w:rPr>
          <w:vertAlign w:val="superscript"/>
        </w:rPr>
        <w:t>238</w:t>
      </w:r>
      <w:r w:rsidRPr="00A93605">
        <w:t>U</w:t>
      </w:r>
      <w:r w:rsidRPr="00A93605" w:rsidDel="004C0DA1">
        <w:t xml:space="preserve"> </w:t>
      </w:r>
      <w:r w:rsidRPr="00A93605">
        <w:t xml:space="preserve">per unit volume of the FCM core, plutonium production during reactor operation is significantly reduced. As will be discussed later, the </w:t>
      </w:r>
      <w:r w:rsidRPr="00A93605">
        <w:rPr>
          <w:vertAlign w:val="superscript"/>
        </w:rPr>
        <w:t>235</w:t>
      </w:r>
      <w:r w:rsidRPr="00A93605">
        <w:t xml:space="preserve">U density per unit volume of the core is comparable to that of conventional oxide-fueled LWRs (given the high enrichment in FCM fuel). However, the reduction in </w:t>
      </w:r>
      <w:r w:rsidRPr="00A93605">
        <w:rPr>
          <w:vertAlign w:val="superscript"/>
        </w:rPr>
        <w:t>238</w:t>
      </w:r>
      <w:r w:rsidRPr="00A93605">
        <w:t xml:space="preserve">U results in reduced plutonium breeding. Accordingly, the reactivity of the FCM fuel drops sharply compared to typical LWRs due to a reduction in the fission contribution from the </w:t>
      </w:r>
      <w:r w:rsidRPr="00A93605">
        <w:rPr>
          <w:vertAlign w:val="superscript"/>
        </w:rPr>
        <w:t>239</w:t>
      </w:r>
      <w:r w:rsidRPr="00A93605">
        <w:t>Pu.</w:t>
      </w:r>
    </w:p>
    <w:p w14:paraId="49023CD0" w14:textId="77777777" w:rsidR="00C94F60" w:rsidRPr="00C94F60" w:rsidRDefault="00C94F60" w:rsidP="003E4D27">
      <w:pPr>
        <w:spacing w:line="360" w:lineRule="auto"/>
        <w:jc w:val="both"/>
      </w:pPr>
      <w:r w:rsidRPr="00A93605">
        <w:t xml:space="preserve">To investigate the impact of operating cycle length with fuel loading, numerous variations of the FCM design were considered by changing </w:t>
      </w:r>
      <w:r w:rsidR="00373287">
        <w:t>the PF, BL thickness</w:t>
      </w:r>
      <w:r w:rsidRPr="00A93605">
        <w:t xml:space="preserve">, and KD. BLs of 50 and 100 µm were considered. By reducing the </w:t>
      </w:r>
      <w:r w:rsidR="00373287">
        <w:t>BL</w:t>
      </w:r>
      <w:r w:rsidRPr="00A93605">
        <w:t>, the volume fraction of the fuel is increased within the particle, thus allowing additional HM in the system. PF was varied between 45% and 50%, and the fuel KD was varied from 800 to 1,350 µm. A total of 10 cases were analyzed in combination. The second, third, and fourth particle layers were held constant at 35, 35, and 40 µm, respectively, for all cases to maintain the structu</w:t>
      </w:r>
      <w:r>
        <w:t xml:space="preserve">ral integrity of the particle. </w:t>
      </w:r>
    </w:p>
    <w:p w14:paraId="75E3CE8D" w14:textId="77777777" w:rsidR="003E4D27" w:rsidRPr="00013BA1" w:rsidRDefault="007F2783" w:rsidP="0091793B">
      <w:pPr>
        <w:spacing w:line="360" w:lineRule="auto"/>
        <w:jc w:val="both"/>
        <w:rPr>
          <w:rFonts w:cs="Times New Roman"/>
          <w:szCs w:val="24"/>
        </w:rPr>
      </w:pPr>
      <w:r w:rsidRPr="00013BA1">
        <w:rPr>
          <w:rFonts w:cs="Times New Roman"/>
          <w:szCs w:val="24"/>
        </w:rPr>
        <w:t>Using</w:t>
      </w:r>
      <w:r w:rsidR="008E46E6">
        <w:rPr>
          <w:rFonts w:cs="Times New Roman"/>
          <w:szCs w:val="24"/>
        </w:rPr>
        <w:t xml:space="preserve"> the Equivalent Reactivity Model, 10 FCM fuel cases</w:t>
      </w:r>
      <w:r w:rsidRPr="00013BA1">
        <w:rPr>
          <w:rFonts w:cs="Times New Roman"/>
          <w:szCs w:val="24"/>
        </w:rPr>
        <w:t xml:space="preserve"> </w:t>
      </w:r>
      <w:r w:rsidR="00F32DE9">
        <w:rPr>
          <w:rFonts w:cs="Times New Roman"/>
          <w:szCs w:val="24"/>
        </w:rPr>
        <w:t>(Table IX</w:t>
      </w:r>
      <w:r w:rsidR="008E46E6">
        <w:rPr>
          <w:rFonts w:cs="Times New Roman"/>
          <w:szCs w:val="24"/>
        </w:rPr>
        <w:t xml:space="preserve">) </w:t>
      </w:r>
      <w:r w:rsidRPr="00013BA1">
        <w:rPr>
          <w:rFonts w:cs="Times New Roman"/>
          <w:szCs w:val="24"/>
        </w:rPr>
        <w:t>were modeled and compared with a 5% enriched UO</w:t>
      </w:r>
      <w:r w:rsidRPr="00013BA1">
        <w:rPr>
          <w:rFonts w:cs="Times New Roman"/>
          <w:szCs w:val="24"/>
          <w:vertAlign w:val="subscript"/>
        </w:rPr>
        <w:t xml:space="preserve">2 </w:t>
      </w:r>
      <w:r w:rsidRPr="00013BA1">
        <w:rPr>
          <w:rFonts w:cs="Times New Roman"/>
          <w:szCs w:val="24"/>
        </w:rPr>
        <w:t xml:space="preserve">PWR pin cell. This enrichment is the maximum currently licensed and is assumed to be representative of today’s operating reactors that operate 18-month cycles. </w:t>
      </w:r>
    </w:p>
    <w:p w14:paraId="3F77F301" w14:textId="77777777" w:rsidR="007F2783" w:rsidRDefault="00B25C95" w:rsidP="003E4D27">
      <w:pPr>
        <w:rPr>
          <w:rFonts w:cs="Times New Roman"/>
          <w:b/>
          <w:szCs w:val="24"/>
        </w:rPr>
      </w:pPr>
      <w:bookmarkStart w:id="40" w:name="_Toc416993432"/>
      <w:r>
        <w:lastRenderedPageBreak/>
        <w:t xml:space="preserve">Table </w:t>
      </w:r>
      <w:fldSimple w:instr=" SEQ Table \* ROMAN ">
        <w:r w:rsidR="00EC7A3E">
          <w:rPr>
            <w:noProof/>
          </w:rPr>
          <w:t>IX</w:t>
        </w:r>
      </w:fldSimple>
      <w:r>
        <w:t xml:space="preserve">. </w:t>
      </w:r>
      <w:r w:rsidRPr="000357B2">
        <w:t>Fuel Cycle Reactivity Models</w:t>
      </w:r>
      <w:bookmarkEnd w:id="40"/>
    </w:p>
    <w:tbl>
      <w:tblPr>
        <w:tblW w:w="9380" w:type="dxa"/>
        <w:tblInd w:w="93" w:type="dxa"/>
        <w:tblLook w:val="04A0" w:firstRow="1" w:lastRow="0" w:firstColumn="1" w:lastColumn="0" w:noHBand="0" w:noVBand="1"/>
      </w:tblPr>
      <w:tblGrid>
        <w:gridCol w:w="2533"/>
        <w:gridCol w:w="657"/>
        <w:gridCol w:w="700"/>
        <w:gridCol w:w="700"/>
        <w:gridCol w:w="699"/>
        <w:gridCol w:w="699"/>
        <w:gridCol w:w="699"/>
        <w:gridCol w:w="699"/>
        <w:gridCol w:w="699"/>
        <w:gridCol w:w="699"/>
        <w:gridCol w:w="699"/>
      </w:tblGrid>
      <w:tr w:rsidR="007F2783" w:rsidRPr="0036221D" w14:paraId="28EC2D3F" w14:textId="77777777" w:rsidTr="006342BC">
        <w:trPr>
          <w:trHeight w:val="315"/>
        </w:trPr>
        <w:tc>
          <w:tcPr>
            <w:tcW w:w="2535" w:type="dxa"/>
            <w:tcBorders>
              <w:top w:val="single" w:sz="4" w:space="0" w:color="auto"/>
              <w:left w:val="nil"/>
              <w:bottom w:val="single" w:sz="4" w:space="0" w:color="auto"/>
              <w:right w:val="nil"/>
            </w:tcBorders>
            <w:shd w:val="clear" w:color="000000" w:fill="F2F2F2"/>
            <w:noWrap/>
            <w:vAlign w:val="bottom"/>
            <w:hideMark/>
          </w:tcPr>
          <w:p w14:paraId="77B249E6" w14:textId="77777777" w:rsidR="007F2783" w:rsidRPr="0036221D" w:rsidRDefault="007F2783" w:rsidP="003E4D27">
            <w:pPr>
              <w:spacing w:after="0"/>
              <w:rPr>
                <w:rFonts w:ascii="Calibri" w:eastAsia="Times New Roman" w:hAnsi="Calibri" w:cs="Times New Roman"/>
                <w:color w:val="000000"/>
              </w:rPr>
            </w:pPr>
            <w:r w:rsidRPr="0036221D">
              <w:rPr>
                <w:rFonts w:ascii="Calibri" w:eastAsia="Times New Roman" w:hAnsi="Calibri" w:cs="Times New Roman"/>
                <w:color w:val="000000"/>
              </w:rPr>
              <w:t> </w:t>
            </w:r>
          </w:p>
        </w:tc>
        <w:tc>
          <w:tcPr>
            <w:tcW w:w="545" w:type="dxa"/>
            <w:tcBorders>
              <w:top w:val="single" w:sz="4" w:space="0" w:color="auto"/>
              <w:left w:val="nil"/>
              <w:bottom w:val="single" w:sz="4" w:space="0" w:color="auto"/>
              <w:right w:val="nil"/>
            </w:tcBorders>
            <w:shd w:val="clear" w:color="000000" w:fill="F2F2F2"/>
            <w:noWrap/>
            <w:vAlign w:val="center"/>
            <w:hideMark/>
          </w:tcPr>
          <w:p w14:paraId="0DC9E2E9"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1</w:t>
            </w:r>
          </w:p>
        </w:tc>
        <w:tc>
          <w:tcPr>
            <w:tcW w:w="700" w:type="dxa"/>
            <w:tcBorders>
              <w:top w:val="single" w:sz="4" w:space="0" w:color="auto"/>
              <w:left w:val="nil"/>
              <w:bottom w:val="single" w:sz="4" w:space="0" w:color="auto"/>
              <w:right w:val="nil"/>
            </w:tcBorders>
            <w:shd w:val="clear" w:color="000000" w:fill="F2F2F2"/>
            <w:noWrap/>
            <w:vAlign w:val="center"/>
            <w:hideMark/>
          </w:tcPr>
          <w:p w14:paraId="1512BCEB"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2</w:t>
            </w:r>
          </w:p>
        </w:tc>
        <w:tc>
          <w:tcPr>
            <w:tcW w:w="700" w:type="dxa"/>
            <w:tcBorders>
              <w:top w:val="single" w:sz="4" w:space="0" w:color="auto"/>
              <w:left w:val="nil"/>
              <w:bottom w:val="single" w:sz="4" w:space="0" w:color="auto"/>
              <w:right w:val="nil"/>
            </w:tcBorders>
            <w:shd w:val="clear" w:color="000000" w:fill="F2F2F2"/>
            <w:noWrap/>
            <w:vAlign w:val="center"/>
            <w:hideMark/>
          </w:tcPr>
          <w:p w14:paraId="0AE646A9"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3</w:t>
            </w:r>
          </w:p>
        </w:tc>
        <w:tc>
          <w:tcPr>
            <w:tcW w:w="700" w:type="dxa"/>
            <w:tcBorders>
              <w:top w:val="single" w:sz="4" w:space="0" w:color="auto"/>
              <w:left w:val="nil"/>
              <w:bottom w:val="single" w:sz="4" w:space="0" w:color="auto"/>
              <w:right w:val="nil"/>
            </w:tcBorders>
            <w:shd w:val="clear" w:color="000000" w:fill="F2F2F2"/>
            <w:noWrap/>
            <w:vAlign w:val="center"/>
            <w:hideMark/>
          </w:tcPr>
          <w:p w14:paraId="3F317937"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4</w:t>
            </w:r>
          </w:p>
        </w:tc>
        <w:tc>
          <w:tcPr>
            <w:tcW w:w="700" w:type="dxa"/>
            <w:tcBorders>
              <w:top w:val="single" w:sz="4" w:space="0" w:color="auto"/>
              <w:left w:val="nil"/>
              <w:bottom w:val="single" w:sz="4" w:space="0" w:color="auto"/>
              <w:right w:val="nil"/>
            </w:tcBorders>
            <w:shd w:val="clear" w:color="000000" w:fill="F2F2F2"/>
            <w:noWrap/>
            <w:vAlign w:val="center"/>
            <w:hideMark/>
          </w:tcPr>
          <w:p w14:paraId="6804192E"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5</w:t>
            </w:r>
          </w:p>
        </w:tc>
        <w:tc>
          <w:tcPr>
            <w:tcW w:w="700" w:type="dxa"/>
            <w:tcBorders>
              <w:top w:val="single" w:sz="4" w:space="0" w:color="auto"/>
              <w:left w:val="nil"/>
              <w:bottom w:val="single" w:sz="4" w:space="0" w:color="auto"/>
              <w:right w:val="nil"/>
            </w:tcBorders>
            <w:shd w:val="clear" w:color="000000" w:fill="F2F2F2"/>
            <w:noWrap/>
            <w:vAlign w:val="center"/>
            <w:hideMark/>
          </w:tcPr>
          <w:p w14:paraId="0046F0A0"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6</w:t>
            </w:r>
          </w:p>
        </w:tc>
        <w:tc>
          <w:tcPr>
            <w:tcW w:w="700" w:type="dxa"/>
            <w:tcBorders>
              <w:top w:val="single" w:sz="4" w:space="0" w:color="auto"/>
              <w:left w:val="nil"/>
              <w:bottom w:val="single" w:sz="4" w:space="0" w:color="auto"/>
              <w:right w:val="nil"/>
            </w:tcBorders>
            <w:shd w:val="clear" w:color="000000" w:fill="F2F2F2"/>
            <w:noWrap/>
            <w:vAlign w:val="center"/>
            <w:hideMark/>
          </w:tcPr>
          <w:p w14:paraId="3C89E7B7"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7</w:t>
            </w:r>
          </w:p>
        </w:tc>
        <w:tc>
          <w:tcPr>
            <w:tcW w:w="700" w:type="dxa"/>
            <w:tcBorders>
              <w:top w:val="single" w:sz="4" w:space="0" w:color="auto"/>
              <w:left w:val="nil"/>
              <w:bottom w:val="single" w:sz="4" w:space="0" w:color="auto"/>
              <w:right w:val="nil"/>
            </w:tcBorders>
            <w:shd w:val="clear" w:color="000000" w:fill="F2F2F2"/>
            <w:noWrap/>
            <w:vAlign w:val="center"/>
            <w:hideMark/>
          </w:tcPr>
          <w:p w14:paraId="118B3D2A"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8</w:t>
            </w:r>
          </w:p>
        </w:tc>
        <w:tc>
          <w:tcPr>
            <w:tcW w:w="700" w:type="dxa"/>
            <w:tcBorders>
              <w:top w:val="single" w:sz="4" w:space="0" w:color="auto"/>
              <w:left w:val="nil"/>
              <w:bottom w:val="single" w:sz="4" w:space="0" w:color="auto"/>
              <w:right w:val="nil"/>
            </w:tcBorders>
            <w:shd w:val="clear" w:color="000000" w:fill="F2F2F2"/>
            <w:noWrap/>
            <w:vAlign w:val="center"/>
            <w:hideMark/>
          </w:tcPr>
          <w:p w14:paraId="25B6226A"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9</w:t>
            </w:r>
          </w:p>
        </w:tc>
        <w:tc>
          <w:tcPr>
            <w:tcW w:w="700" w:type="dxa"/>
            <w:tcBorders>
              <w:top w:val="single" w:sz="4" w:space="0" w:color="auto"/>
              <w:left w:val="nil"/>
              <w:bottom w:val="single" w:sz="4" w:space="0" w:color="auto"/>
              <w:right w:val="nil"/>
            </w:tcBorders>
            <w:shd w:val="clear" w:color="000000" w:fill="F2F2F2"/>
            <w:noWrap/>
            <w:vAlign w:val="center"/>
            <w:hideMark/>
          </w:tcPr>
          <w:p w14:paraId="57531226"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10</w:t>
            </w:r>
          </w:p>
        </w:tc>
      </w:tr>
      <w:tr w:rsidR="007F2783" w:rsidRPr="0036221D" w14:paraId="765CCDDD" w14:textId="77777777" w:rsidTr="006342BC">
        <w:trPr>
          <w:trHeight w:val="315"/>
        </w:trPr>
        <w:tc>
          <w:tcPr>
            <w:tcW w:w="2535" w:type="dxa"/>
            <w:tcBorders>
              <w:top w:val="nil"/>
              <w:left w:val="nil"/>
              <w:bottom w:val="nil"/>
              <w:right w:val="nil"/>
            </w:tcBorders>
            <w:shd w:val="clear" w:color="000000" w:fill="FFFFFF"/>
            <w:noWrap/>
            <w:vAlign w:val="center"/>
            <w:hideMark/>
          </w:tcPr>
          <w:p w14:paraId="0790A3E1"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Kernel Diameter (μm)</w:t>
            </w:r>
          </w:p>
        </w:tc>
        <w:tc>
          <w:tcPr>
            <w:tcW w:w="545" w:type="dxa"/>
            <w:tcBorders>
              <w:top w:val="nil"/>
              <w:left w:val="nil"/>
              <w:bottom w:val="nil"/>
              <w:right w:val="nil"/>
            </w:tcBorders>
            <w:shd w:val="clear" w:color="000000" w:fill="FFFFFF"/>
            <w:noWrap/>
            <w:vAlign w:val="center"/>
            <w:hideMark/>
          </w:tcPr>
          <w:p w14:paraId="52EBA7FC"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800</w:t>
            </w:r>
          </w:p>
        </w:tc>
        <w:tc>
          <w:tcPr>
            <w:tcW w:w="700" w:type="dxa"/>
            <w:tcBorders>
              <w:top w:val="nil"/>
              <w:left w:val="nil"/>
              <w:bottom w:val="nil"/>
              <w:right w:val="nil"/>
            </w:tcBorders>
            <w:shd w:val="clear" w:color="000000" w:fill="FFFFFF"/>
            <w:noWrap/>
            <w:vAlign w:val="center"/>
            <w:hideMark/>
          </w:tcPr>
          <w:p w14:paraId="35983FB2"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800</w:t>
            </w:r>
          </w:p>
        </w:tc>
        <w:tc>
          <w:tcPr>
            <w:tcW w:w="700" w:type="dxa"/>
            <w:tcBorders>
              <w:top w:val="nil"/>
              <w:left w:val="nil"/>
              <w:bottom w:val="nil"/>
              <w:right w:val="nil"/>
            </w:tcBorders>
            <w:shd w:val="clear" w:color="000000" w:fill="FFFFFF"/>
            <w:noWrap/>
            <w:vAlign w:val="center"/>
            <w:hideMark/>
          </w:tcPr>
          <w:p w14:paraId="2CD05EA4"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1000</w:t>
            </w:r>
          </w:p>
        </w:tc>
        <w:tc>
          <w:tcPr>
            <w:tcW w:w="700" w:type="dxa"/>
            <w:tcBorders>
              <w:top w:val="nil"/>
              <w:left w:val="nil"/>
              <w:bottom w:val="nil"/>
              <w:right w:val="nil"/>
            </w:tcBorders>
            <w:shd w:val="clear" w:color="000000" w:fill="FFFFFF"/>
            <w:noWrap/>
            <w:vAlign w:val="center"/>
            <w:hideMark/>
          </w:tcPr>
          <w:p w14:paraId="50CB7E49"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1000</w:t>
            </w:r>
          </w:p>
        </w:tc>
        <w:tc>
          <w:tcPr>
            <w:tcW w:w="700" w:type="dxa"/>
            <w:tcBorders>
              <w:top w:val="nil"/>
              <w:left w:val="nil"/>
              <w:bottom w:val="nil"/>
              <w:right w:val="nil"/>
            </w:tcBorders>
            <w:shd w:val="clear" w:color="000000" w:fill="FFFFFF"/>
            <w:noWrap/>
            <w:vAlign w:val="center"/>
            <w:hideMark/>
          </w:tcPr>
          <w:p w14:paraId="29B8A604"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1350</w:t>
            </w:r>
          </w:p>
        </w:tc>
        <w:tc>
          <w:tcPr>
            <w:tcW w:w="700" w:type="dxa"/>
            <w:tcBorders>
              <w:top w:val="nil"/>
              <w:left w:val="nil"/>
              <w:bottom w:val="nil"/>
              <w:right w:val="nil"/>
            </w:tcBorders>
            <w:shd w:val="clear" w:color="000000" w:fill="FFFFFF"/>
            <w:noWrap/>
            <w:vAlign w:val="center"/>
            <w:hideMark/>
          </w:tcPr>
          <w:p w14:paraId="2BC5A5B8"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800</w:t>
            </w:r>
          </w:p>
        </w:tc>
        <w:tc>
          <w:tcPr>
            <w:tcW w:w="700" w:type="dxa"/>
            <w:tcBorders>
              <w:top w:val="nil"/>
              <w:left w:val="nil"/>
              <w:bottom w:val="nil"/>
              <w:right w:val="nil"/>
            </w:tcBorders>
            <w:shd w:val="clear" w:color="000000" w:fill="FFFFFF"/>
            <w:noWrap/>
            <w:vAlign w:val="center"/>
            <w:hideMark/>
          </w:tcPr>
          <w:p w14:paraId="58735B82"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800</w:t>
            </w:r>
          </w:p>
        </w:tc>
        <w:tc>
          <w:tcPr>
            <w:tcW w:w="700" w:type="dxa"/>
            <w:tcBorders>
              <w:top w:val="nil"/>
              <w:left w:val="nil"/>
              <w:bottom w:val="nil"/>
              <w:right w:val="nil"/>
            </w:tcBorders>
            <w:shd w:val="clear" w:color="000000" w:fill="FFFFFF"/>
            <w:noWrap/>
            <w:vAlign w:val="center"/>
            <w:hideMark/>
          </w:tcPr>
          <w:p w14:paraId="5C8A77FF"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1000</w:t>
            </w:r>
          </w:p>
        </w:tc>
        <w:tc>
          <w:tcPr>
            <w:tcW w:w="700" w:type="dxa"/>
            <w:tcBorders>
              <w:top w:val="nil"/>
              <w:left w:val="nil"/>
              <w:bottom w:val="nil"/>
              <w:right w:val="nil"/>
            </w:tcBorders>
            <w:shd w:val="clear" w:color="000000" w:fill="FFFFFF"/>
            <w:noWrap/>
            <w:vAlign w:val="center"/>
            <w:hideMark/>
          </w:tcPr>
          <w:p w14:paraId="472A4F72"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1000</w:t>
            </w:r>
          </w:p>
        </w:tc>
        <w:tc>
          <w:tcPr>
            <w:tcW w:w="700" w:type="dxa"/>
            <w:tcBorders>
              <w:top w:val="nil"/>
              <w:left w:val="nil"/>
              <w:bottom w:val="nil"/>
              <w:right w:val="nil"/>
            </w:tcBorders>
            <w:shd w:val="clear" w:color="000000" w:fill="FFFFFF"/>
            <w:noWrap/>
            <w:vAlign w:val="center"/>
            <w:hideMark/>
          </w:tcPr>
          <w:p w14:paraId="3D36B223"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1350</w:t>
            </w:r>
          </w:p>
        </w:tc>
      </w:tr>
      <w:tr w:rsidR="007F2783" w:rsidRPr="0036221D" w14:paraId="3982F953" w14:textId="77777777" w:rsidTr="006342BC">
        <w:trPr>
          <w:trHeight w:val="315"/>
        </w:trPr>
        <w:tc>
          <w:tcPr>
            <w:tcW w:w="2535" w:type="dxa"/>
            <w:tcBorders>
              <w:top w:val="nil"/>
              <w:left w:val="nil"/>
              <w:bottom w:val="nil"/>
              <w:right w:val="nil"/>
            </w:tcBorders>
            <w:shd w:val="clear" w:color="000000" w:fill="FFFFFF"/>
            <w:noWrap/>
            <w:vAlign w:val="center"/>
            <w:hideMark/>
          </w:tcPr>
          <w:p w14:paraId="61529FBA" w14:textId="77777777" w:rsidR="007F2783" w:rsidRPr="0036221D" w:rsidRDefault="00373287" w:rsidP="003E4D27">
            <w:pPr>
              <w:spacing w:after="0"/>
              <w:rPr>
                <w:rFonts w:eastAsia="Times New Roman" w:cs="Times New Roman"/>
                <w:b/>
                <w:bCs/>
                <w:color w:val="000000"/>
                <w:szCs w:val="24"/>
              </w:rPr>
            </w:pPr>
            <w:r>
              <w:rPr>
                <w:rFonts w:eastAsia="Times New Roman" w:cs="Times New Roman"/>
                <w:b/>
                <w:bCs/>
                <w:color w:val="000000"/>
                <w:szCs w:val="24"/>
              </w:rPr>
              <w:t>Buffer</w:t>
            </w:r>
            <w:r w:rsidR="007F2783" w:rsidRPr="0036221D">
              <w:rPr>
                <w:rFonts w:eastAsia="Times New Roman" w:cs="Times New Roman"/>
                <w:b/>
                <w:bCs/>
                <w:color w:val="000000"/>
                <w:szCs w:val="24"/>
              </w:rPr>
              <w:t xml:space="preserve"> Layer (μm)</w:t>
            </w:r>
          </w:p>
        </w:tc>
        <w:tc>
          <w:tcPr>
            <w:tcW w:w="545" w:type="dxa"/>
            <w:tcBorders>
              <w:top w:val="nil"/>
              <w:left w:val="nil"/>
              <w:bottom w:val="nil"/>
              <w:right w:val="nil"/>
            </w:tcBorders>
            <w:shd w:val="clear" w:color="000000" w:fill="FFFFFF"/>
            <w:noWrap/>
            <w:vAlign w:val="center"/>
            <w:hideMark/>
          </w:tcPr>
          <w:p w14:paraId="39C699EF"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50</w:t>
            </w:r>
          </w:p>
        </w:tc>
        <w:tc>
          <w:tcPr>
            <w:tcW w:w="700" w:type="dxa"/>
            <w:tcBorders>
              <w:top w:val="nil"/>
              <w:left w:val="nil"/>
              <w:bottom w:val="nil"/>
              <w:right w:val="nil"/>
            </w:tcBorders>
            <w:shd w:val="clear" w:color="000000" w:fill="FFFFFF"/>
            <w:noWrap/>
            <w:vAlign w:val="center"/>
            <w:hideMark/>
          </w:tcPr>
          <w:p w14:paraId="130C26DD"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w:t>
            </w:r>
          </w:p>
        </w:tc>
        <w:tc>
          <w:tcPr>
            <w:tcW w:w="700" w:type="dxa"/>
            <w:tcBorders>
              <w:top w:val="nil"/>
              <w:left w:val="nil"/>
              <w:bottom w:val="nil"/>
              <w:right w:val="nil"/>
            </w:tcBorders>
            <w:shd w:val="clear" w:color="000000" w:fill="FFFFFF"/>
            <w:noWrap/>
            <w:vAlign w:val="center"/>
            <w:hideMark/>
          </w:tcPr>
          <w:p w14:paraId="543BB93C"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50</w:t>
            </w:r>
          </w:p>
        </w:tc>
        <w:tc>
          <w:tcPr>
            <w:tcW w:w="700" w:type="dxa"/>
            <w:tcBorders>
              <w:top w:val="nil"/>
              <w:left w:val="nil"/>
              <w:bottom w:val="nil"/>
              <w:right w:val="nil"/>
            </w:tcBorders>
            <w:shd w:val="clear" w:color="000000" w:fill="FFFFFF"/>
            <w:noWrap/>
            <w:vAlign w:val="center"/>
            <w:hideMark/>
          </w:tcPr>
          <w:p w14:paraId="123E218B"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w:t>
            </w:r>
          </w:p>
        </w:tc>
        <w:tc>
          <w:tcPr>
            <w:tcW w:w="700" w:type="dxa"/>
            <w:tcBorders>
              <w:top w:val="nil"/>
              <w:left w:val="nil"/>
              <w:bottom w:val="nil"/>
              <w:right w:val="nil"/>
            </w:tcBorders>
            <w:shd w:val="clear" w:color="000000" w:fill="FFFFFF"/>
            <w:noWrap/>
            <w:vAlign w:val="center"/>
            <w:hideMark/>
          </w:tcPr>
          <w:p w14:paraId="749996CD"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w:t>
            </w:r>
          </w:p>
        </w:tc>
        <w:tc>
          <w:tcPr>
            <w:tcW w:w="700" w:type="dxa"/>
            <w:tcBorders>
              <w:top w:val="nil"/>
              <w:left w:val="nil"/>
              <w:bottom w:val="nil"/>
              <w:right w:val="nil"/>
            </w:tcBorders>
            <w:shd w:val="clear" w:color="000000" w:fill="FFFFFF"/>
            <w:noWrap/>
            <w:vAlign w:val="center"/>
            <w:hideMark/>
          </w:tcPr>
          <w:p w14:paraId="433B3759"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50</w:t>
            </w:r>
          </w:p>
        </w:tc>
        <w:tc>
          <w:tcPr>
            <w:tcW w:w="700" w:type="dxa"/>
            <w:tcBorders>
              <w:top w:val="nil"/>
              <w:left w:val="nil"/>
              <w:bottom w:val="nil"/>
              <w:right w:val="nil"/>
            </w:tcBorders>
            <w:shd w:val="clear" w:color="000000" w:fill="FFFFFF"/>
            <w:noWrap/>
            <w:vAlign w:val="center"/>
            <w:hideMark/>
          </w:tcPr>
          <w:p w14:paraId="51C73B5B"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w:t>
            </w:r>
          </w:p>
        </w:tc>
        <w:tc>
          <w:tcPr>
            <w:tcW w:w="700" w:type="dxa"/>
            <w:tcBorders>
              <w:top w:val="nil"/>
              <w:left w:val="nil"/>
              <w:bottom w:val="nil"/>
              <w:right w:val="nil"/>
            </w:tcBorders>
            <w:shd w:val="clear" w:color="000000" w:fill="FFFFFF"/>
            <w:noWrap/>
            <w:vAlign w:val="center"/>
            <w:hideMark/>
          </w:tcPr>
          <w:p w14:paraId="633CECB8"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50</w:t>
            </w:r>
          </w:p>
        </w:tc>
        <w:tc>
          <w:tcPr>
            <w:tcW w:w="700" w:type="dxa"/>
            <w:tcBorders>
              <w:top w:val="nil"/>
              <w:left w:val="nil"/>
              <w:bottom w:val="nil"/>
              <w:right w:val="nil"/>
            </w:tcBorders>
            <w:shd w:val="clear" w:color="000000" w:fill="FFFFFF"/>
            <w:noWrap/>
            <w:vAlign w:val="center"/>
            <w:hideMark/>
          </w:tcPr>
          <w:p w14:paraId="335246CE"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w:t>
            </w:r>
          </w:p>
        </w:tc>
        <w:tc>
          <w:tcPr>
            <w:tcW w:w="700" w:type="dxa"/>
            <w:tcBorders>
              <w:top w:val="nil"/>
              <w:left w:val="nil"/>
              <w:bottom w:val="nil"/>
              <w:right w:val="nil"/>
            </w:tcBorders>
            <w:shd w:val="clear" w:color="000000" w:fill="FFFFFF"/>
            <w:noWrap/>
            <w:vAlign w:val="center"/>
            <w:hideMark/>
          </w:tcPr>
          <w:p w14:paraId="76731F41"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100</w:t>
            </w:r>
          </w:p>
        </w:tc>
      </w:tr>
      <w:tr w:rsidR="007F2783" w:rsidRPr="0036221D" w14:paraId="74958583" w14:textId="77777777" w:rsidTr="006342BC">
        <w:trPr>
          <w:trHeight w:val="315"/>
        </w:trPr>
        <w:tc>
          <w:tcPr>
            <w:tcW w:w="2535" w:type="dxa"/>
            <w:tcBorders>
              <w:top w:val="nil"/>
              <w:left w:val="nil"/>
              <w:bottom w:val="single" w:sz="4" w:space="0" w:color="auto"/>
              <w:right w:val="nil"/>
            </w:tcBorders>
            <w:shd w:val="clear" w:color="000000" w:fill="FFFFFF"/>
            <w:noWrap/>
            <w:vAlign w:val="center"/>
            <w:hideMark/>
          </w:tcPr>
          <w:p w14:paraId="70A3B09A" w14:textId="77777777" w:rsidR="007F2783" w:rsidRPr="0036221D" w:rsidRDefault="007F2783" w:rsidP="003E4D27">
            <w:pPr>
              <w:spacing w:after="0"/>
              <w:rPr>
                <w:rFonts w:eastAsia="Times New Roman" w:cs="Times New Roman"/>
                <w:b/>
                <w:bCs/>
                <w:color w:val="000000"/>
                <w:szCs w:val="24"/>
              </w:rPr>
            </w:pPr>
            <w:r w:rsidRPr="0036221D">
              <w:rPr>
                <w:rFonts w:eastAsia="Times New Roman" w:cs="Times New Roman"/>
                <w:b/>
                <w:bCs/>
                <w:color w:val="000000"/>
                <w:szCs w:val="24"/>
              </w:rPr>
              <w:t>Packing Fraction</w:t>
            </w:r>
          </w:p>
        </w:tc>
        <w:tc>
          <w:tcPr>
            <w:tcW w:w="545" w:type="dxa"/>
            <w:tcBorders>
              <w:top w:val="nil"/>
              <w:left w:val="nil"/>
              <w:bottom w:val="single" w:sz="4" w:space="0" w:color="auto"/>
              <w:right w:val="nil"/>
            </w:tcBorders>
            <w:shd w:val="clear" w:color="000000" w:fill="FFFFFF"/>
            <w:noWrap/>
            <w:vAlign w:val="center"/>
            <w:hideMark/>
          </w:tcPr>
          <w:p w14:paraId="52BB00C6"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45%</w:t>
            </w:r>
          </w:p>
        </w:tc>
        <w:tc>
          <w:tcPr>
            <w:tcW w:w="700" w:type="dxa"/>
            <w:tcBorders>
              <w:top w:val="nil"/>
              <w:left w:val="nil"/>
              <w:bottom w:val="single" w:sz="4" w:space="0" w:color="auto"/>
              <w:right w:val="nil"/>
            </w:tcBorders>
            <w:shd w:val="clear" w:color="000000" w:fill="FFFFFF"/>
            <w:noWrap/>
            <w:vAlign w:val="center"/>
            <w:hideMark/>
          </w:tcPr>
          <w:p w14:paraId="6B199D72"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45%</w:t>
            </w:r>
          </w:p>
        </w:tc>
        <w:tc>
          <w:tcPr>
            <w:tcW w:w="700" w:type="dxa"/>
            <w:tcBorders>
              <w:top w:val="nil"/>
              <w:left w:val="nil"/>
              <w:bottom w:val="single" w:sz="4" w:space="0" w:color="auto"/>
              <w:right w:val="nil"/>
            </w:tcBorders>
            <w:shd w:val="clear" w:color="000000" w:fill="FFFFFF"/>
            <w:noWrap/>
            <w:vAlign w:val="center"/>
            <w:hideMark/>
          </w:tcPr>
          <w:p w14:paraId="50B9FF5F"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45%</w:t>
            </w:r>
          </w:p>
        </w:tc>
        <w:tc>
          <w:tcPr>
            <w:tcW w:w="700" w:type="dxa"/>
            <w:tcBorders>
              <w:top w:val="nil"/>
              <w:left w:val="nil"/>
              <w:bottom w:val="single" w:sz="4" w:space="0" w:color="auto"/>
              <w:right w:val="nil"/>
            </w:tcBorders>
            <w:shd w:val="clear" w:color="000000" w:fill="FFFFFF"/>
            <w:noWrap/>
            <w:vAlign w:val="center"/>
            <w:hideMark/>
          </w:tcPr>
          <w:p w14:paraId="0A86BB27"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45%</w:t>
            </w:r>
          </w:p>
        </w:tc>
        <w:tc>
          <w:tcPr>
            <w:tcW w:w="700" w:type="dxa"/>
            <w:tcBorders>
              <w:top w:val="nil"/>
              <w:left w:val="nil"/>
              <w:bottom w:val="single" w:sz="4" w:space="0" w:color="auto"/>
              <w:right w:val="nil"/>
            </w:tcBorders>
            <w:shd w:val="clear" w:color="000000" w:fill="FFFFFF"/>
            <w:noWrap/>
            <w:vAlign w:val="center"/>
            <w:hideMark/>
          </w:tcPr>
          <w:p w14:paraId="6DC68043"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45%</w:t>
            </w:r>
          </w:p>
        </w:tc>
        <w:tc>
          <w:tcPr>
            <w:tcW w:w="700" w:type="dxa"/>
            <w:tcBorders>
              <w:top w:val="nil"/>
              <w:left w:val="nil"/>
              <w:bottom w:val="single" w:sz="4" w:space="0" w:color="auto"/>
              <w:right w:val="nil"/>
            </w:tcBorders>
            <w:shd w:val="clear" w:color="000000" w:fill="FFFFFF"/>
            <w:noWrap/>
            <w:vAlign w:val="center"/>
            <w:hideMark/>
          </w:tcPr>
          <w:p w14:paraId="733373E9"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50%</w:t>
            </w:r>
          </w:p>
        </w:tc>
        <w:tc>
          <w:tcPr>
            <w:tcW w:w="700" w:type="dxa"/>
            <w:tcBorders>
              <w:top w:val="nil"/>
              <w:left w:val="nil"/>
              <w:bottom w:val="single" w:sz="4" w:space="0" w:color="auto"/>
              <w:right w:val="nil"/>
            </w:tcBorders>
            <w:shd w:val="clear" w:color="000000" w:fill="FFFFFF"/>
            <w:noWrap/>
            <w:vAlign w:val="center"/>
            <w:hideMark/>
          </w:tcPr>
          <w:p w14:paraId="17F2AF4D"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50%</w:t>
            </w:r>
          </w:p>
        </w:tc>
        <w:tc>
          <w:tcPr>
            <w:tcW w:w="700" w:type="dxa"/>
            <w:tcBorders>
              <w:top w:val="nil"/>
              <w:left w:val="nil"/>
              <w:bottom w:val="single" w:sz="4" w:space="0" w:color="auto"/>
              <w:right w:val="nil"/>
            </w:tcBorders>
            <w:shd w:val="clear" w:color="000000" w:fill="FFFFFF"/>
            <w:noWrap/>
            <w:vAlign w:val="center"/>
            <w:hideMark/>
          </w:tcPr>
          <w:p w14:paraId="543BE7FA"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50%</w:t>
            </w:r>
          </w:p>
        </w:tc>
        <w:tc>
          <w:tcPr>
            <w:tcW w:w="700" w:type="dxa"/>
            <w:tcBorders>
              <w:top w:val="nil"/>
              <w:left w:val="nil"/>
              <w:bottom w:val="single" w:sz="4" w:space="0" w:color="auto"/>
              <w:right w:val="nil"/>
            </w:tcBorders>
            <w:shd w:val="clear" w:color="000000" w:fill="FFFFFF"/>
            <w:noWrap/>
            <w:vAlign w:val="center"/>
            <w:hideMark/>
          </w:tcPr>
          <w:p w14:paraId="193F34D8"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50%</w:t>
            </w:r>
          </w:p>
        </w:tc>
        <w:tc>
          <w:tcPr>
            <w:tcW w:w="700" w:type="dxa"/>
            <w:tcBorders>
              <w:top w:val="nil"/>
              <w:left w:val="nil"/>
              <w:bottom w:val="single" w:sz="4" w:space="0" w:color="auto"/>
              <w:right w:val="nil"/>
            </w:tcBorders>
            <w:shd w:val="clear" w:color="000000" w:fill="FFFFFF"/>
            <w:noWrap/>
            <w:vAlign w:val="center"/>
            <w:hideMark/>
          </w:tcPr>
          <w:p w14:paraId="28DAFFD6" w14:textId="77777777" w:rsidR="007F2783" w:rsidRPr="0036221D" w:rsidRDefault="007F2783" w:rsidP="003E4D27">
            <w:pPr>
              <w:spacing w:after="0"/>
              <w:rPr>
                <w:rFonts w:eastAsia="Times New Roman" w:cs="Times New Roman"/>
                <w:color w:val="000000"/>
                <w:szCs w:val="24"/>
              </w:rPr>
            </w:pPr>
            <w:r w:rsidRPr="0036221D">
              <w:rPr>
                <w:rFonts w:eastAsia="Times New Roman" w:cs="Times New Roman"/>
                <w:color w:val="000000"/>
                <w:szCs w:val="24"/>
              </w:rPr>
              <w:t>50%</w:t>
            </w:r>
          </w:p>
        </w:tc>
      </w:tr>
    </w:tbl>
    <w:p w14:paraId="272FEB73" w14:textId="77777777" w:rsidR="007F2783" w:rsidRDefault="007F2783" w:rsidP="0091793B">
      <w:pPr>
        <w:spacing w:line="360" w:lineRule="auto"/>
        <w:jc w:val="both"/>
        <w:rPr>
          <w:rFonts w:cs="Times New Roman"/>
          <w:szCs w:val="24"/>
        </w:rPr>
      </w:pPr>
    </w:p>
    <w:p w14:paraId="7468742A" w14:textId="77777777" w:rsidR="003E4D27" w:rsidRPr="00013BA1" w:rsidRDefault="003E4D27" w:rsidP="0091793B">
      <w:pPr>
        <w:spacing w:line="360" w:lineRule="auto"/>
        <w:jc w:val="both"/>
        <w:rPr>
          <w:rFonts w:cs="Times New Roman"/>
          <w:szCs w:val="24"/>
        </w:rPr>
      </w:pPr>
    </w:p>
    <w:p w14:paraId="663D63D8" w14:textId="77777777" w:rsidR="003E4D27" w:rsidRDefault="007F2783" w:rsidP="0091793B">
      <w:pPr>
        <w:spacing w:line="360" w:lineRule="auto"/>
        <w:jc w:val="both"/>
        <w:rPr>
          <w:rFonts w:cs="Times New Roman"/>
          <w:szCs w:val="24"/>
        </w:rPr>
      </w:pPr>
      <w:r w:rsidRPr="00013BA1">
        <w:rPr>
          <w:rFonts w:cs="Times New Roman"/>
          <w:szCs w:val="24"/>
        </w:rPr>
        <w:t>By applying the Equivalent Reactivity Model</w:t>
      </w:r>
      <w:r w:rsidRPr="00013BA1" w:rsidDel="008B4A29">
        <w:rPr>
          <w:rFonts w:cs="Times New Roman"/>
          <w:szCs w:val="24"/>
        </w:rPr>
        <w:t xml:space="preserve"> </w:t>
      </w:r>
      <w:r w:rsidRPr="00013BA1">
        <w:rPr>
          <w:rFonts w:cs="Times New Roman"/>
          <w:szCs w:val="24"/>
        </w:rPr>
        <w:t>to the multiplication factor results, the net EOC r</w:t>
      </w:r>
      <w:r w:rsidR="00B55AFC">
        <w:rPr>
          <w:rFonts w:cs="Times New Roman"/>
          <w:szCs w:val="24"/>
        </w:rPr>
        <w:t xml:space="preserve">eactivity was plotted in </w:t>
      </w:r>
      <w:r w:rsidR="00563708">
        <w:rPr>
          <w:rFonts w:cs="Times New Roman"/>
          <w:szCs w:val="24"/>
        </w:rPr>
        <w:t>Figure</w:t>
      </w:r>
      <w:r w:rsidR="00B55AFC">
        <w:rPr>
          <w:rFonts w:cs="Times New Roman"/>
          <w:szCs w:val="24"/>
        </w:rPr>
        <w:t xml:space="preserve"> </w:t>
      </w:r>
      <w:r w:rsidR="00563708">
        <w:rPr>
          <w:rFonts w:cs="Times New Roman"/>
          <w:szCs w:val="24"/>
        </w:rPr>
        <w:t>29</w:t>
      </w:r>
      <w:r w:rsidRPr="00013BA1">
        <w:rPr>
          <w:rFonts w:cs="Times New Roman"/>
          <w:szCs w:val="24"/>
        </w:rPr>
        <w:t xml:space="preserve"> as a function of KD. When the estimated EOC net core reactivity difference between the FCM and the standard UO</w:t>
      </w:r>
      <w:r w:rsidRPr="00013BA1">
        <w:rPr>
          <w:rFonts w:cs="Times New Roman"/>
          <w:szCs w:val="24"/>
          <w:vertAlign w:val="subscript"/>
        </w:rPr>
        <w:t>2</w:t>
      </w:r>
      <w:r w:rsidRPr="00013BA1">
        <w:rPr>
          <w:rFonts w:cs="Times New Roman"/>
          <w:szCs w:val="24"/>
        </w:rPr>
        <w:t xml:space="preserve"> fuel is equal to or greater than zero, the design is expected to have sufficient fissile fuel to match three 18-month batch cycles. This breakeven point is represented by a thick horizontal line at 0.000 in </w:t>
      </w:r>
      <w:r w:rsidR="00563708">
        <w:rPr>
          <w:rFonts w:cs="Times New Roman"/>
          <w:szCs w:val="24"/>
        </w:rPr>
        <w:t>Figure</w:t>
      </w:r>
      <w:r w:rsidRPr="00013BA1">
        <w:rPr>
          <w:rFonts w:cs="Times New Roman"/>
          <w:szCs w:val="24"/>
        </w:rPr>
        <w:t xml:space="preserve"> </w:t>
      </w:r>
      <w:r w:rsidR="00563708">
        <w:rPr>
          <w:rFonts w:cs="Times New Roman"/>
          <w:szCs w:val="24"/>
        </w:rPr>
        <w:t>29.</w:t>
      </w:r>
    </w:p>
    <w:p w14:paraId="5C2C4795" w14:textId="77777777" w:rsidR="00F62552" w:rsidRPr="00013BA1" w:rsidRDefault="00F62552" w:rsidP="0091793B">
      <w:pPr>
        <w:spacing w:line="360" w:lineRule="auto"/>
        <w:jc w:val="both"/>
        <w:rPr>
          <w:rFonts w:cs="Times New Roman"/>
          <w:szCs w:val="24"/>
        </w:rPr>
      </w:pPr>
    </w:p>
    <w:p w14:paraId="29C31179" w14:textId="77777777" w:rsidR="007F2783" w:rsidRPr="00013BA1" w:rsidRDefault="007F2783" w:rsidP="0091793B">
      <w:pPr>
        <w:spacing w:after="0" w:line="360" w:lineRule="auto"/>
        <w:rPr>
          <w:rFonts w:cs="Times New Roman"/>
          <w:szCs w:val="24"/>
        </w:rPr>
      </w:pPr>
      <w:r w:rsidRPr="00013BA1">
        <w:rPr>
          <w:rFonts w:cs="Times New Roman"/>
          <w:noProof/>
          <w:szCs w:val="24"/>
        </w:rPr>
        <w:drawing>
          <wp:inline distT="0" distB="0" distL="0" distR="0" wp14:anchorId="51B8F631" wp14:editId="3FC9A84B">
            <wp:extent cx="3942607" cy="3265714"/>
            <wp:effectExtent l="0" t="0" r="20320" b="1143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3B82097A" w14:textId="74B7A9C8" w:rsidR="003E4D27" w:rsidRPr="009E4E51" w:rsidRDefault="009E4E51" w:rsidP="003E4D27">
      <w:pPr>
        <w:spacing w:line="360" w:lineRule="auto"/>
      </w:pPr>
      <w:bookmarkStart w:id="41" w:name="_Toc416993468"/>
      <w:r>
        <w:t xml:space="preserve">Figure </w:t>
      </w:r>
      <w:fldSimple w:instr=" SEQ Figure \* ARABIC ">
        <w:r w:rsidR="00F3244B">
          <w:rPr>
            <w:noProof/>
          </w:rPr>
          <w:t>29</w:t>
        </w:r>
      </w:fldSimple>
      <w:r>
        <w:t xml:space="preserve">: </w:t>
      </w:r>
      <w:r w:rsidR="00373287">
        <w:t>EOC</w:t>
      </w:r>
      <w:r w:rsidRPr="00DF036E">
        <w:t xml:space="preserve"> net core reactivity vs kernel dia</w:t>
      </w:r>
      <w:r w:rsidR="00373287">
        <w:t>meter for several PFs and BLs</w:t>
      </w:r>
      <w:bookmarkEnd w:id="41"/>
    </w:p>
    <w:p w14:paraId="06B261D8" w14:textId="087C5286" w:rsidR="007F2783" w:rsidRPr="00013BA1" w:rsidRDefault="007F2783" w:rsidP="0091793B">
      <w:pPr>
        <w:spacing w:line="360" w:lineRule="auto"/>
        <w:jc w:val="both"/>
        <w:rPr>
          <w:rFonts w:cs="Times New Roman"/>
          <w:szCs w:val="24"/>
        </w:rPr>
      </w:pPr>
      <w:r w:rsidRPr="00013BA1">
        <w:rPr>
          <w:rFonts w:cs="Times New Roman"/>
          <w:szCs w:val="24"/>
        </w:rPr>
        <w:lastRenderedPageBreak/>
        <w:t xml:space="preserve">When KD and PF are increased and the carbon buffer region is decreased, the overall volume fraction of the fuel kernel increases. This in turn allows for more HM to be included per unit volume </w:t>
      </w:r>
      <w:r w:rsidR="00B55AFC">
        <w:rPr>
          <w:rFonts w:cs="Times New Roman"/>
          <w:szCs w:val="24"/>
        </w:rPr>
        <w:t xml:space="preserve">of the core. As shown in </w:t>
      </w:r>
      <w:r w:rsidR="00563708">
        <w:rPr>
          <w:rFonts w:cs="Times New Roman"/>
          <w:szCs w:val="24"/>
        </w:rPr>
        <w:t>Figure</w:t>
      </w:r>
      <w:r w:rsidR="00B55AFC">
        <w:rPr>
          <w:rFonts w:cs="Times New Roman"/>
          <w:szCs w:val="24"/>
        </w:rPr>
        <w:t xml:space="preserve"> </w:t>
      </w:r>
      <w:r w:rsidR="00563708">
        <w:rPr>
          <w:rFonts w:cs="Times New Roman"/>
          <w:szCs w:val="24"/>
        </w:rPr>
        <w:t>29</w:t>
      </w:r>
      <w:r w:rsidRPr="00013BA1">
        <w:rPr>
          <w:rFonts w:cs="Times New Roman"/>
          <w:szCs w:val="24"/>
        </w:rPr>
        <w:t xml:space="preserve">, when the </w:t>
      </w:r>
      <w:r w:rsidR="00373287">
        <w:rPr>
          <w:rFonts w:cs="Times New Roman"/>
          <w:szCs w:val="24"/>
        </w:rPr>
        <w:t>BL</w:t>
      </w:r>
      <w:r w:rsidRPr="00013BA1">
        <w:rPr>
          <w:rFonts w:cs="Times New Roman"/>
          <w:szCs w:val="24"/>
        </w:rPr>
        <w:t xml:space="preserve"> is set at 100 µm or the PF at 45%, the KD required to reach equivalent core reactivity is increased. A discussion on maximum PF for coated fuel particles inside a graphite matrix is</w:t>
      </w:r>
      <w:r w:rsidR="00D00A8B">
        <w:rPr>
          <w:rFonts w:cs="Times New Roman"/>
          <w:szCs w:val="24"/>
        </w:rPr>
        <w:t xml:space="preserve"> offered by Morris and Pappano </w:t>
      </w:r>
      <w:r w:rsidR="00D00A8B">
        <w:rPr>
          <w:rFonts w:cs="Times New Roman"/>
          <w:szCs w:val="24"/>
        </w:rPr>
        <w:fldChar w:fldCharType="begin"/>
      </w:r>
      <w:r w:rsidR="00817846">
        <w:rPr>
          <w:rFonts w:cs="Times New Roman"/>
          <w:szCs w:val="24"/>
        </w:rPr>
        <w:instrText xml:space="preserve"> ADDIN EN.CITE &lt;EndNote&gt;&lt;Cite&gt;&lt;Author&gt;Morris&lt;/Author&gt;&lt;Year&gt;2007&lt;/Year&gt;&lt;RecNum&gt;35&lt;/RecNum&gt;&lt;DisplayText&gt;[57]&lt;/DisplayText&gt;&lt;record&gt;&lt;rec-number&gt;35&lt;/rec-number&gt;&lt;foreign-keys&gt;&lt;key app="EN" db-id="trfxzx057wwv0qe0vz1vttttwf0522tvtwpt" timestamp="1422125929"&gt;35&lt;/key&gt;&lt;/foreign-keys&gt;&lt;ref-type name="Journal Article"&gt;17&lt;/ref-type&gt;&lt;contributors&gt;&lt;authors&gt;&lt;author&gt;Morris, Robert Noel&lt;/author&gt;&lt;author&gt;Pappano, PJ&lt;/author&gt;&lt;/authors&gt;&lt;/contributors&gt;&lt;titles&gt;&lt;title&gt;Estimation of maximum coated particle fuel compact packing fraction&lt;/title&gt;&lt;secondary-title&gt;Journal of nuclear materials&lt;/secondary-title&gt;&lt;/titles&gt;&lt;periodical&gt;&lt;full-title&gt;Journal of Nuclear Materials&lt;/full-title&gt;&lt;/periodical&gt;&lt;pages&gt;18-29&lt;/pages&gt;&lt;volume&gt;361&lt;/volume&gt;&lt;number&gt;1&lt;/number&gt;&lt;dates&gt;&lt;year&gt;2007&lt;/year&gt;&lt;/dates&gt;&lt;isbn&gt;0022-3115&lt;/isbn&gt;&lt;urls&gt;&lt;/urls&gt;&lt;/record&gt;&lt;/Cite&gt;&lt;/EndNote&gt;</w:instrText>
      </w:r>
      <w:r w:rsidR="00D00A8B">
        <w:rPr>
          <w:rFonts w:cs="Times New Roman"/>
          <w:szCs w:val="24"/>
        </w:rPr>
        <w:fldChar w:fldCharType="separate"/>
      </w:r>
      <w:r w:rsidR="00817846">
        <w:rPr>
          <w:rFonts w:cs="Times New Roman"/>
          <w:noProof/>
          <w:szCs w:val="24"/>
        </w:rPr>
        <w:t>[</w:t>
      </w:r>
      <w:hyperlink w:anchor="_ENREF_57" w:tooltip="Morris, 2007 #35" w:history="1">
        <w:r w:rsidR="00DF20CB">
          <w:rPr>
            <w:rFonts w:cs="Times New Roman"/>
            <w:noProof/>
            <w:szCs w:val="24"/>
          </w:rPr>
          <w:t>57</w:t>
        </w:r>
      </w:hyperlink>
      <w:r w:rsidR="00817846">
        <w:rPr>
          <w:rFonts w:cs="Times New Roman"/>
          <w:noProof/>
          <w:szCs w:val="24"/>
        </w:rPr>
        <w:t>]</w:t>
      </w:r>
      <w:r w:rsidR="00D00A8B">
        <w:rPr>
          <w:rFonts w:cs="Times New Roman"/>
          <w:szCs w:val="24"/>
        </w:rPr>
        <w:fldChar w:fldCharType="end"/>
      </w:r>
      <w:r w:rsidRPr="00013BA1">
        <w:rPr>
          <w:rFonts w:cs="Times New Roman"/>
          <w:szCs w:val="24"/>
        </w:rPr>
        <w:t xml:space="preserve">. Although PFs above 40% are noted to be possible, they are deemed challenging from a fuel fabrication standpoint. </w:t>
      </w:r>
    </w:p>
    <w:p w14:paraId="04604AC1" w14:textId="77777777" w:rsidR="007F2783" w:rsidRDefault="007F2783" w:rsidP="0091793B">
      <w:pPr>
        <w:spacing w:line="360" w:lineRule="auto"/>
        <w:jc w:val="both"/>
        <w:rPr>
          <w:rFonts w:cs="Times New Roman"/>
          <w:szCs w:val="24"/>
        </w:rPr>
      </w:pPr>
      <w:r w:rsidRPr="00013BA1">
        <w:rPr>
          <w:rFonts w:cs="Times New Roman"/>
          <w:szCs w:val="24"/>
        </w:rPr>
        <w:t xml:space="preserve">To quantify the results on a basis of fuel mass, the amount of fissile fuel per design was chosen as the independent variable, represented in </w:t>
      </w:r>
      <w:r w:rsidR="00563708">
        <w:rPr>
          <w:rFonts w:cs="Times New Roman"/>
          <w:szCs w:val="24"/>
        </w:rPr>
        <w:t>Figure</w:t>
      </w:r>
      <w:r w:rsidRPr="00013BA1">
        <w:rPr>
          <w:rFonts w:cs="Times New Roman"/>
          <w:szCs w:val="24"/>
        </w:rPr>
        <w:t xml:space="preserve"> </w:t>
      </w:r>
      <w:r w:rsidR="00563708">
        <w:rPr>
          <w:rFonts w:cs="Times New Roman"/>
          <w:szCs w:val="24"/>
        </w:rPr>
        <w:t>30</w:t>
      </w:r>
      <w:r w:rsidRPr="00013BA1">
        <w:rPr>
          <w:rFonts w:cs="Times New Roman"/>
          <w:szCs w:val="24"/>
        </w:rPr>
        <w:t>. For each case, the fissile fuel content was calculated and plotted on the abscissa versus EOC net core reactivity. Again, the location on the x-axis where the linear regression line crosses the breakeven line corresponds to the amount of fissile material required to reach the equivalent lifetime of a typical PWR.</w:t>
      </w:r>
    </w:p>
    <w:p w14:paraId="7D2072D3" w14:textId="77777777" w:rsidR="003E4D27" w:rsidRPr="00013BA1" w:rsidRDefault="003E4D27" w:rsidP="0091793B">
      <w:pPr>
        <w:spacing w:line="360" w:lineRule="auto"/>
        <w:jc w:val="both"/>
        <w:rPr>
          <w:rFonts w:cs="Times New Roman"/>
          <w:szCs w:val="24"/>
        </w:rPr>
      </w:pPr>
    </w:p>
    <w:p w14:paraId="60E20901" w14:textId="77777777" w:rsidR="00F11DF7" w:rsidRPr="00013BA1" w:rsidRDefault="007F2783" w:rsidP="0091793B">
      <w:pPr>
        <w:spacing w:after="0" w:line="360" w:lineRule="auto"/>
        <w:rPr>
          <w:rFonts w:cs="Times New Roman"/>
          <w:szCs w:val="24"/>
        </w:rPr>
      </w:pPr>
      <w:r w:rsidRPr="00013BA1">
        <w:rPr>
          <w:rFonts w:cs="Times New Roman"/>
          <w:noProof/>
          <w:szCs w:val="24"/>
        </w:rPr>
        <w:drawing>
          <wp:inline distT="0" distB="0" distL="0" distR="0" wp14:anchorId="364A0DB4" wp14:editId="3F82B08F">
            <wp:extent cx="6115792" cy="3075709"/>
            <wp:effectExtent l="0" t="0" r="18415" b="10795"/>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5A804B0C" w14:textId="29AA3FAD" w:rsidR="007F2783" w:rsidRDefault="009E4E51" w:rsidP="0091793B">
      <w:pPr>
        <w:spacing w:line="360" w:lineRule="auto"/>
      </w:pPr>
      <w:bookmarkStart w:id="42" w:name="_Toc416993469"/>
      <w:r>
        <w:t xml:space="preserve">Figure </w:t>
      </w:r>
      <w:fldSimple w:instr=" SEQ Figure \* ARABIC ">
        <w:r w:rsidR="00F3244B">
          <w:rPr>
            <w:noProof/>
          </w:rPr>
          <w:t>30</w:t>
        </w:r>
      </w:fldSimple>
      <w:r>
        <w:t xml:space="preserve">: </w:t>
      </w:r>
      <w:r w:rsidR="00373287">
        <w:t>EOC</w:t>
      </w:r>
      <w:r w:rsidRPr="0082446F">
        <w:t xml:space="preserve"> net core reactivity vs initial fissile fraction</w:t>
      </w:r>
      <w:bookmarkEnd w:id="42"/>
    </w:p>
    <w:p w14:paraId="06CBE37B" w14:textId="77777777" w:rsidR="003E4D27" w:rsidRPr="00013BA1" w:rsidRDefault="003E4D27" w:rsidP="0091793B">
      <w:pPr>
        <w:spacing w:line="360" w:lineRule="auto"/>
        <w:rPr>
          <w:rFonts w:cs="Times New Roman"/>
          <w:szCs w:val="24"/>
        </w:rPr>
      </w:pPr>
    </w:p>
    <w:p w14:paraId="56E28A2C" w14:textId="7F073E21" w:rsidR="007F2783" w:rsidRPr="00013BA1" w:rsidRDefault="00563708" w:rsidP="0091793B">
      <w:pPr>
        <w:spacing w:line="360" w:lineRule="auto"/>
        <w:jc w:val="both"/>
        <w:rPr>
          <w:rFonts w:cs="Times New Roman"/>
          <w:szCs w:val="24"/>
        </w:rPr>
      </w:pPr>
      <w:r>
        <w:rPr>
          <w:rFonts w:cs="Times New Roman"/>
          <w:szCs w:val="24"/>
        </w:rPr>
        <w:lastRenderedPageBreak/>
        <w:t>Figure</w:t>
      </w:r>
      <w:r w:rsidR="007F2783" w:rsidRPr="00013BA1">
        <w:rPr>
          <w:rFonts w:cs="Times New Roman"/>
          <w:szCs w:val="24"/>
        </w:rPr>
        <w:t xml:space="preserve"> </w:t>
      </w:r>
      <w:r>
        <w:rPr>
          <w:rFonts w:cs="Times New Roman"/>
          <w:szCs w:val="24"/>
        </w:rPr>
        <w:t>30</w:t>
      </w:r>
      <w:r w:rsidR="007F2783" w:rsidRPr="00013BA1">
        <w:rPr>
          <w:rFonts w:cs="Times New Roman"/>
          <w:szCs w:val="24"/>
        </w:rPr>
        <w:t xml:space="preserve"> shows a distinct linear trend throughout the 10 cases, signifying that EOC net reactivity is affected not by the details of the mechanical design of the fuel particles and their PFs but primarily by the amount of fissile material present. This is an important observation that assists fuel developers in engineering the fuel compact through an optimized balance of KD, coating layer thicknesses, PFs, and even rod diameter. Following this trend line, it is concluded that 19.75% enriched FCM fuel would require approximately 10% more fissile material than a 5% enriched PWR lattice for the fuel to reach three 18-month PWR cycles. A reactor containing solely FCM assemblies at 19.75% enriched uranium would equate to 511 grams of total uranium per rod (radius of 0.412 cm) or 140 kg of uranium per assembly (in comparison to about 450 kg uranium per assembly for standard PWR fuel). Although the mass of </w:t>
      </w:r>
      <w:r w:rsidR="007F2783" w:rsidRPr="00013BA1">
        <w:rPr>
          <w:rFonts w:cs="Times New Roman"/>
          <w:szCs w:val="24"/>
          <w:vertAlign w:val="superscript"/>
        </w:rPr>
        <w:t>235</w:t>
      </w:r>
      <w:r w:rsidR="007F2783" w:rsidRPr="00013BA1">
        <w:rPr>
          <w:rFonts w:cs="Times New Roman"/>
          <w:szCs w:val="24"/>
        </w:rPr>
        <w:t xml:space="preserve">U in the core between the two </w:t>
      </w:r>
      <w:proofErr w:type="gramStart"/>
      <w:r w:rsidR="007F2783" w:rsidRPr="00013BA1">
        <w:rPr>
          <w:rFonts w:cs="Times New Roman"/>
          <w:szCs w:val="24"/>
        </w:rPr>
        <w:t>fuel</w:t>
      </w:r>
      <w:proofErr w:type="gramEnd"/>
      <w:r w:rsidR="007F2783" w:rsidRPr="00013BA1">
        <w:rPr>
          <w:rFonts w:cs="Times New Roman"/>
          <w:szCs w:val="24"/>
        </w:rPr>
        <w:t xml:space="preserve"> concepts is roughly the same, the </w:t>
      </w:r>
      <w:r w:rsidR="007F2783" w:rsidRPr="00013BA1">
        <w:rPr>
          <w:rFonts w:cs="Times New Roman"/>
          <w:szCs w:val="24"/>
          <w:vertAlign w:val="superscript"/>
        </w:rPr>
        <w:t>238</w:t>
      </w:r>
      <w:r w:rsidR="007F2783" w:rsidRPr="00013BA1">
        <w:rPr>
          <w:rFonts w:cs="Times New Roman"/>
          <w:szCs w:val="24"/>
        </w:rPr>
        <w:t>U mass has been significantly reduced. This results in much lower plutonium breeding and much larger burnups per unit mass of HM in FCM fuel. Similar results were recorded in a study done by R. A. Shapiro when analyzing va</w:t>
      </w:r>
      <w:r w:rsidR="00D00A8B">
        <w:rPr>
          <w:rFonts w:cs="Times New Roman"/>
          <w:szCs w:val="24"/>
        </w:rPr>
        <w:t xml:space="preserve">rious </w:t>
      </w:r>
      <w:r w:rsidR="00255C7D">
        <w:rPr>
          <w:rFonts w:cs="Times New Roman"/>
          <w:szCs w:val="24"/>
        </w:rPr>
        <w:t>ATFs</w:t>
      </w:r>
      <w:r w:rsidR="00DF20CB">
        <w:rPr>
          <w:rFonts w:cs="Times New Roman"/>
          <w:szCs w:val="24"/>
        </w:rPr>
        <w:t xml:space="preserve"> </w:t>
      </w:r>
      <w:r w:rsidR="00DF20CB">
        <w:rPr>
          <w:rFonts w:cs="Times New Roman"/>
          <w:szCs w:val="24"/>
        </w:rPr>
        <w:fldChar w:fldCharType="begin"/>
      </w:r>
      <w:r w:rsidR="00DF20CB">
        <w:rPr>
          <w:rFonts w:cs="Times New Roman"/>
          <w:szCs w:val="24"/>
        </w:rPr>
        <w:instrText xml:space="preserve"> ADDIN EN.CITE &lt;EndNote&gt;&lt;Cite&gt;&lt;Author&gt;Shapiro&lt;/Author&gt;&lt;Year&gt;2013&lt;/Year&gt;&lt;RecNum&gt;36&lt;/RecNum&gt;&lt;DisplayText&gt;[58]&lt;/DisplayText&gt;&lt;record&gt;&lt;rec-number&gt;36&lt;/rec-number&gt;&lt;foreign-keys&gt;&lt;key app="EN" db-id="trfxzx057wwv0qe0vz1vttttwf0522tvtwpt" timestamp="1422125942"&gt;36&lt;/key&gt;&lt;/foreign-keys&gt;&lt;ref-type name="Journal Article"&gt;17&lt;/ref-type&gt;&lt;contributors&gt;&lt;authors&gt;&lt;author&gt;Shapiro, RA&lt;/author&gt;&lt;author&gt;Younker, IM&lt;/author&gt;&lt;author&gt;Fratoni, M&lt;/author&gt;&lt;/authors&gt;&lt;/contributors&gt;&lt;titles&gt;&lt;title&gt;Neutronic performance of accident tolerant fuels&lt;/title&gt;&lt;secondary-title&gt;Trans. Am. Nucl. Soc&lt;/secondary-title&gt;&lt;/titles&gt;&lt;periodical&gt;&lt;full-title&gt;Trans. Am. Nucl. Soc&lt;/full-title&gt;&lt;/periodical&gt;&lt;pages&gt;1351-1353&lt;/pages&gt;&lt;volume&gt;109&lt;/volume&gt;&lt;dates&gt;&lt;year&gt;2013&lt;/year&gt;&lt;/dates&gt;&lt;urls&gt;&lt;/urls&gt;&lt;/record&gt;&lt;/Cite&gt;&lt;/EndNote&gt;</w:instrText>
      </w:r>
      <w:r w:rsidR="00DF20CB">
        <w:rPr>
          <w:rFonts w:cs="Times New Roman"/>
          <w:szCs w:val="24"/>
        </w:rPr>
        <w:fldChar w:fldCharType="separate"/>
      </w:r>
      <w:r w:rsidR="00DF20CB">
        <w:rPr>
          <w:rFonts w:cs="Times New Roman"/>
          <w:noProof/>
          <w:szCs w:val="24"/>
        </w:rPr>
        <w:t>[</w:t>
      </w:r>
      <w:hyperlink w:anchor="_ENREF_58" w:tooltip="Shapiro, 2013 #36" w:history="1">
        <w:r w:rsidR="00DF20CB">
          <w:rPr>
            <w:rFonts w:cs="Times New Roman"/>
            <w:noProof/>
            <w:szCs w:val="24"/>
          </w:rPr>
          <w:t>58</w:t>
        </w:r>
      </w:hyperlink>
      <w:r w:rsidR="00DF20CB">
        <w:rPr>
          <w:rFonts w:cs="Times New Roman"/>
          <w:noProof/>
          <w:szCs w:val="24"/>
        </w:rPr>
        <w:t>]</w:t>
      </w:r>
      <w:r w:rsidR="00DF20CB">
        <w:rPr>
          <w:rFonts w:cs="Times New Roman"/>
          <w:szCs w:val="24"/>
        </w:rPr>
        <w:fldChar w:fldCharType="end"/>
      </w:r>
      <w:r w:rsidR="00D00A8B">
        <w:rPr>
          <w:rFonts w:cs="Times New Roman"/>
          <w:szCs w:val="24"/>
        </w:rPr>
        <w:t xml:space="preserve">. </w:t>
      </w:r>
    </w:p>
    <w:p w14:paraId="4BDBA56E" w14:textId="77777777" w:rsidR="000808D8" w:rsidRPr="00013BA1" w:rsidRDefault="007F2783" w:rsidP="0091793B">
      <w:pPr>
        <w:spacing w:line="360" w:lineRule="auto"/>
        <w:jc w:val="both"/>
        <w:rPr>
          <w:rFonts w:cs="Times New Roman"/>
          <w:szCs w:val="24"/>
        </w:rPr>
      </w:pPr>
      <w:r w:rsidRPr="00013BA1">
        <w:rPr>
          <w:rFonts w:cs="Times New Roman"/>
          <w:szCs w:val="24"/>
        </w:rPr>
        <w:t>Although only 10 FCM geometries are shown here, other combinations have been tested that meet the 110% fissile material criteria to achieve three 18-month cycles of operation. Consistent results have shown that reasonable combinations of BL, PF, KD, and even fuel rod diameter that supply sufficient fissile material mass (110% fissile material criteria) will produce an EOC net core reactivity equivalent to that of a typical PWR.</w:t>
      </w:r>
    </w:p>
    <w:p w14:paraId="446658EF" w14:textId="77777777" w:rsidR="007F2783" w:rsidRPr="000808D8" w:rsidRDefault="007F2783" w:rsidP="0091793B">
      <w:pPr>
        <w:spacing w:line="360" w:lineRule="auto"/>
        <w:jc w:val="both"/>
        <w:rPr>
          <w:rFonts w:cs="Times New Roman"/>
          <w:b/>
          <w:szCs w:val="24"/>
        </w:rPr>
      </w:pPr>
      <w:r w:rsidRPr="00C94F60">
        <w:rPr>
          <w:rFonts w:cs="Times New Roman"/>
          <w:b/>
          <w:szCs w:val="24"/>
        </w:rPr>
        <w:t>V.B.2.</w:t>
      </w:r>
      <w:r w:rsidRPr="00C94F60">
        <w:rPr>
          <w:rFonts w:cs="Times New Roman"/>
          <w:b/>
          <w:szCs w:val="24"/>
        </w:rPr>
        <w:tab/>
      </w:r>
      <w:r w:rsidR="00C94F60">
        <w:rPr>
          <w:rFonts w:cs="Times New Roman"/>
          <w:b/>
          <w:szCs w:val="24"/>
        </w:rPr>
        <w:tab/>
      </w:r>
      <w:r w:rsidRPr="00C94F60">
        <w:rPr>
          <w:rFonts w:cs="Times New Roman"/>
          <w:b/>
          <w:szCs w:val="24"/>
        </w:rPr>
        <w:t xml:space="preserve">Modifications of </w:t>
      </w:r>
      <w:r w:rsidR="000808D8">
        <w:rPr>
          <w:rFonts w:cs="Times New Roman"/>
          <w:b/>
          <w:szCs w:val="24"/>
        </w:rPr>
        <w:t xml:space="preserve">Alternate </w:t>
      </w:r>
      <w:r w:rsidRPr="00C94F60">
        <w:rPr>
          <w:rFonts w:cs="Times New Roman"/>
          <w:b/>
          <w:szCs w:val="24"/>
        </w:rPr>
        <w:t xml:space="preserve">Cladding Thickness and Fuel Enrichment </w:t>
      </w:r>
    </w:p>
    <w:p w14:paraId="256E98D9" w14:textId="77777777" w:rsidR="00C522AF" w:rsidRDefault="00C522AF" w:rsidP="0091793B">
      <w:pPr>
        <w:spacing w:line="360" w:lineRule="auto"/>
        <w:jc w:val="both"/>
        <w:rPr>
          <w:rFonts w:cs="Times New Roman"/>
          <w:szCs w:val="24"/>
        </w:rPr>
      </w:pPr>
      <w:r w:rsidRPr="003272B7">
        <w:rPr>
          <w:rFonts w:cs="Times New Roman"/>
          <w:szCs w:val="24"/>
        </w:rPr>
        <w:t xml:space="preserve">To enhance the reactivity and increase the cycle length for those materials, modified fuel rod geometries or increased enrichment in the fuel are necessary. Accordingly, fuel rod designs conforming to Cases 2–8 in Table III are considered for alternate cladding concepts. For SiC, the cladding thickness was also increased in Case 9 to be representative of the thicker cladding structures demonstrated to date for SiC-based materials. </w:t>
      </w:r>
    </w:p>
    <w:p w14:paraId="1EEA9660" w14:textId="77777777" w:rsidR="007F2783" w:rsidRPr="003272B7" w:rsidRDefault="00F32DE9" w:rsidP="0091793B">
      <w:pPr>
        <w:spacing w:line="360" w:lineRule="auto"/>
        <w:jc w:val="both"/>
        <w:rPr>
          <w:rFonts w:cs="Times New Roman"/>
          <w:szCs w:val="24"/>
        </w:rPr>
      </w:pPr>
      <w:r>
        <w:rPr>
          <w:rFonts w:cs="Times New Roman"/>
          <w:szCs w:val="24"/>
        </w:rPr>
        <w:t>Table X</w:t>
      </w:r>
      <w:r w:rsidR="007F2783" w:rsidRPr="003272B7">
        <w:rPr>
          <w:rFonts w:cs="Times New Roman"/>
          <w:szCs w:val="24"/>
        </w:rPr>
        <w:t xml:space="preserve"> displays the </w:t>
      </w:r>
      <w:r w:rsidR="007F2783" w:rsidRPr="003272B7">
        <w:rPr>
          <w:rFonts w:cs="Times New Roman"/>
          <w:noProof/>
          <w:position w:val="-6"/>
          <w:szCs w:val="24"/>
        </w:rPr>
        <w:drawing>
          <wp:inline distT="0" distB="0" distL="0" distR="0" wp14:anchorId="5E943C83" wp14:editId="77E257FC">
            <wp:extent cx="386080" cy="196850"/>
            <wp:effectExtent l="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6080" cy="196850"/>
                    </a:xfrm>
                    <a:prstGeom prst="rect">
                      <a:avLst/>
                    </a:prstGeom>
                    <a:noFill/>
                    <a:ln>
                      <a:noFill/>
                    </a:ln>
                  </pic:spPr>
                </pic:pic>
              </a:graphicData>
            </a:graphic>
          </wp:inline>
        </w:drawing>
      </w:r>
      <w:r w:rsidR="007F2783" w:rsidRPr="003272B7">
        <w:rPr>
          <w:rFonts w:cs="Times New Roman"/>
          <w:szCs w:val="24"/>
        </w:rPr>
        <w:t xml:space="preserve"> corresponding to each cladding material for Cases 1–9. </w:t>
      </w:r>
      <w:r w:rsidR="00506B4A">
        <w:rPr>
          <w:rFonts w:cs="Times New Roman"/>
          <w:szCs w:val="24"/>
        </w:rPr>
        <w:t>The specific power in MW/</w:t>
      </w:r>
      <w:r w:rsidR="00D65CDA">
        <w:rPr>
          <w:rFonts w:cs="Times New Roman"/>
          <w:szCs w:val="24"/>
        </w:rPr>
        <w:t>MTU</w:t>
      </w:r>
      <w:r w:rsidR="007F2783" w:rsidRPr="003272B7">
        <w:rPr>
          <w:rFonts w:cs="Times New Roman"/>
          <w:szCs w:val="24"/>
        </w:rPr>
        <w:t xml:space="preserve"> corresponds to the constant power of 18.0 MW/assembly modeled through the depletion cycle. Positive and equivalent </w:t>
      </w:r>
      <w:r w:rsidR="007F2783" w:rsidRPr="003272B7">
        <w:rPr>
          <w:rFonts w:cs="Times New Roman"/>
          <w:noProof/>
          <w:position w:val="-6"/>
          <w:szCs w:val="24"/>
        </w:rPr>
        <w:drawing>
          <wp:inline distT="0" distB="0" distL="0" distR="0" wp14:anchorId="41565C0D" wp14:editId="29164227">
            <wp:extent cx="386080" cy="196850"/>
            <wp:effectExtent l="0" t="0" r="0" b="0"/>
            <wp:docPr id="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86080" cy="196850"/>
                    </a:xfrm>
                    <a:prstGeom prst="rect">
                      <a:avLst/>
                    </a:prstGeom>
                    <a:noFill/>
                    <a:ln>
                      <a:noFill/>
                    </a:ln>
                  </pic:spPr>
                </pic:pic>
              </a:graphicData>
            </a:graphic>
          </wp:inline>
        </w:drawing>
      </w:r>
      <w:r w:rsidR="007F2783" w:rsidRPr="003272B7">
        <w:rPr>
          <w:rFonts w:cs="Times New Roman"/>
          <w:szCs w:val="24"/>
        </w:rPr>
        <w:t xml:space="preserve"> values with respect to the reference case </w:t>
      </w:r>
      <w:r w:rsidR="007F2783" w:rsidRPr="003272B7">
        <w:rPr>
          <w:rFonts w:cs="Times New Roman"/>
          <w:szCs w:val="24"/>
        </w:rPr>
        <w:lastRenderedPageBreak/>
        <w:t xml:space="preserve">(Case 1 with 4.9% enriched urania in </w:t>
      </w:r>
      <w:r w:rsidR="00F4572D">
        <w:rPr>
          <w:rFonts w:cs="Times New Roman"/>
          <w:szCs w:val="24"/>
        </w:rPr>
        <w:t>Zircaloy</w:t>
      </w:r>
      <w:r w:rsidR="007F2783" w:rsidRPr="003272B7">
        <w:rPr>
          <w:rFonts w:cs="Times New Roman"/>
          <w:szCs w:val="24"/>
        </w:rPr>
        <w:t>-4 clad</w:t>
      </w:r>
      <w:r>
        <w:rPr>
          <w:rFonts w:cs="Times New Roman"/>
          <w:szCs w:val="24"/>
        </w:rPr>
        <w:t>ding) are highlighted in Table X</w:t>
      </w:r>
      <w:r w:rsidR="007F2783" w:rsidRPr="003272B7">
        <w:rPr>
          <w:rFonts w:cs="Times New Roman"/>
          <w:szCs w:val="24"/>
        </w:rPr>
        <w:t xml:space="preserve">. When the difference is zero, identical cycle lengths to the reference scenario are achieved. </w:t>
      </w:r>
    </w:p>
    <w:p w14:paraId="289796AD" w14:textId="77777777" w:rsidR="007F2783" w:rsidRDefault="007F2783" w:rsidP="0091793B">
      <w:pPr>
        <w:widowControl w:val="0"/>
        <w:spacing w:after="0" w:line="360" w:lineRule="auto"/>
        <w:jc w:val="both"/>
        <w:rPr>
          <w:rFonts w:eastAsia="Times New Roman" w:cs="Times New Roman"/>
          <w:snapToGrid w:val="0"/>
          <w:szCs w:val="24"/>
        </w:rPr>
      </w:pPr>
    </w:p>
    <w:p w14:paraId="5A7C2E5B" w14:textId="77777777" w:rsidR="003E4D27" w:rsidRPr="003272B7" w:rsidRDefault="003E4D27" w:rsidP="0091793B">
      <w:pPr>
        <w:widowControl w:val="0"/>
        <w:spacing w:after="0" w:line="360" w:lineRule="auto"/>
        <w:jc w:val="both"/>
        <w:rPr>
          <w:rFonts w:eastAsia="Times New Roman" w:cs="Times New Roman"/>
          <w:snapToGrid w:val="0"/>
          <w:szCs w:val="24"/>
        </w:rPr>
      </w:pPr>
    </w:p>
    <w:p w14:paraId="690B4C25" w14:textId="77777777" w:rsidR="007F2783" w:rsidRPr="003272B7" w:rsidRDefault="00B25C95" w:rsidP="003E4D27">
      <w:pPr>
        <w:spacing w:line="360" w:lineRule="auto"/>
        <w:rPr>
          <w:rFonts w:ascii="Times New Roman Bold" w:eastAsia="Times New Roman" w:hAnsi="Times New Roman Bold" w:cs="Times New Roman"/>
          <w:b/>
          <w:snapToGrid w:val="0"/>
          <w:szCs w:val="24"/>
        </w:rPr>
      </w:pPr>
      <w:bookmarkStart w:id="43" w:name="_Toc416993433"/>
      <w:r>
        <w:t xml:space="preserve">Table </w:t>
      </w:r>
      <w:fldSimple w:instr=" SEQ Table \* ROMAN ">
        <w:r w:rsidR="00EC7A3E">
          <w:rPr>
            <w:noProof/>
          </w:rPr>
          <w:t>X</w:t>
        </w:r>
      </w:fldSimple>
      <w:r>
        <w:t xml:space="preserve">. </w:t>
      </w:r>
      <w:r w:rsidRPr="00BC529C">
        <w:t>Cycle Reactivity Difference [</w:t>
      </w:r>
      <w:r w:rsidRPr="00BC529C">
        <w:rPr>
          <w:rFonts w:ascii="Cambria Math" w:hAnsi="Cambria Math" w:cs="Cambria Math"/>
        </w:rPr>
        <w:t>𝛥</w:t>
      </w:r>
      <w:r w:rsidRPr="00BC529C">
        <w:t>k</w:t>
      </w:r>
      <w:r w:rsidRPr="00F519B7">
        <w:rPr>
          <w:szCs w:val="24"/>
          <w:vertAlign w:val="subscript"/>
        </w:rPr>
        <w:t>core</w:t>
      </w:r>
      <w:r w:rsidRPr="00BC529C">
        <w:t>] for Alternate Fuel Cladding Concepts from the Reference PWR Fuel with Zircaloy-4 Cladding</w:t>
      </w:r>
      <w:bookmarkEnd w:id="43"/>
    </w:p>
    <w:tbl>
      <w:tblPr>
        <w:tblW w:w="4892" w:type="pct"/>
        <w:jc w:val="center"/>
        <w:tblInd w:w="1079" w:type="dxa"/>
        <w:tblLayout w:type="fixed"/>
        <w:tblCellMar>
          <w:left w:w="29" w:type="dxa"/>
          <w:right w:w="29" w:type="dxa"/>
        </w:tblCellMar>
        <w:tblLook w:val="04A0" w:firstRow="1" w:lastRow="0" w:firstColumn="1" w:lastColumn="0" w:noHBand="0" w:noVBand="1"/>
      </w:tblPr>
      <w:tblGrid>
        <w:gridCol w:w="825"/>
        <w:gridCol w:w="1449"/>
        <w:gridCol w:w="1146"/>
        <w:gridCol w:w="1449"/>
        <w:gridCol w:w="870"/>
        <w:gridCol w:w="870"/>
        <w:gridCol w:w="870"/>
        <w:gridCol w:w="870"/>
        <w:gridCol w:w="866"/>
      </w:tblGrid>
      <w:tr w:rsidR="007F2783" w:rsidRPr="003272B7" w14:paraId="1ECD194A" w14:textId="77777777" w:rsidTr="006342BC">
        <w:trPr>
          <w:cantSplit/>
          <w:trHeight w:val="330"/>
          <w:jc w:val="center"/>
        </w:trPr>
        <w:tc>
          <w:tcPr>
            <w:tcW w:w="448" w:type="pct"/>
            <w:tcBorders>
              <w:top w:val="single" w:sz="4" w:space="0" w:color="auto"/>
              <w:left w:val="nil"/>
              <w:bottom w:val="single" w:sz="4" w:space="0" w:color="auto"/>
              <w:right w:val="nil"/>
            </w:tcBorders>
            <w:shd w:val="clear" w:color="auto" w:fill="F2F2F2" w:themeFill="background1" w:themeFillShade="F2"/>
            <w:noWrap/>
            <w:vAlign w:val="center"/>
            <w:hideMark/>
          </w:tcPr>
          <w:p w14:paraId="717527A4" w14:textId="77777777" w:rsidR="007F2783" w:rsidRPr="003272B7" w:rsidRDefault="007F2783" w:rsidP="003E4D27">
            <w:pPr>
              <w:keepNext/>
              <w:keepLines/>
              <w:widowControl w:val="0"/>
              <w:spacing w:after="0"/>
              <w:rPr>
                <w:rFonts w:eastAsia="Times New Roman" w:cs="Times New Roman"/>
                <w:b/>
                <w:snapToGrid w:val="0"/>
                <w:sz w:val="20"/>
                <w:szCs w:val="20"/>
              </w:rPr>
            </w:pPr>
            <w:r w:rsidRPr="003272B7">
              <w:rPr>
                <w:rFonts w:eastAsia="Times New Roman" w:cs="Times New Roman"/>
                <w:b/>
                <w:snapToGrid w:val="0"/>
                <w:sz w:val="20"/>
                <w:szCs w:val="20"/>
              </w:rPr>
              <w:t>Case #</w:t>
            </w:r>
          </w:p>
        </w:tc>
        <w:tc>
          <w:tcPr>
            <w:tcW w:w="786" w:type="pct"/>
            <w:tcBorders>
              <w:top w:val="single" w:sz="4" w:space="0" w:color="auto"/>
              <w:left w:val="nil"/>
              <w:bottom w:val="single" w:sz="4" w:space="0" w:color="auto"/>
              <w:right w:val="nil"/>
            </w:tcBorders>
            <w:shd w:val="clear" w:color="auto" w:fill="F2F2F2" w:themeFill="background1" w:themeFillShade="F2"/>
            <w:vAlign w:val="center"/>
          </w:tcPr>
          <w:p w14:paraId="367EB69D" w14:textId="77777777" w:rsidR="007F2783" w:rsidRPr="003272B7" w:rsidRDefault="007F2783" w:rsidP="003E4D27">
            <w:pPr>
              <w:widowControl w:val="0"/>
              <w:spacing w:after="0"/>
              <w:rPr>
                <w:rFonts w:eastAsia="Times New Roman" w:cs="Times New Roman"/>
                <w:b/>
                <w:snapToGrid w:val="0"/>
                <w:color w:val="000000"/>
                <w:sz w:val="20"/>
                <w:szCs w:val="20"/>
              </w:rPr>
            </w:pPr>
            <w:r w:rsidRPr="003272B7">
              <w:rPr>
                <w:rFonts w:eastAsia="Times New Roman" w:cs="Times New Roman"/>
                <w:b/>
                <w:snapToGrid w:val="0"/>
                <w:color w:val="000000"/>
                <w:sz w:val="20"/>
                <w:szCs w:val="20"/>
              </w:rPr>
              <w:t>Clad Thickness (µm)</w:t>
            </w:r>
          </w:p>
        </w:tc>
        <w:tc>
          <w:tcPr>
            <w:tcW w:w="622" w:type="pct"/>
            <w:tcBorders>
              <w:top w:val="single" w:sz="4" w:space="0" w:color="auto"/>
              <w:left w:val="nil"/>
              <w:bottom w:val="single" w:sz="4" w:space="0" w:color="auto"/>
              <w:right w:val="nil"/>
            </w:tcBorders>
            <w:shd w:val="clear" w:color="auto" w:fill="F2F2F2" w:themeFill="background1" w:themeFillShade="F2"/>
            <w:noWrap/>
            <w:vAlign w:val="center"/>
            <w:hideMark/>
          </w:tcPr>
          <w:p w14:paraId="36307E93"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vertAlign w:val="superscript"/>
              </w:rPr>
              <w:t>235</w:t>
            </w:r>
            <w:r w:rsidRPr="003272B7">
              <w:rPr>
                <w:rFonts w:eastAsia="Times New Roman" w:cs="Times New Roman"/>
                <w:b/>
                <w:bCs/>
                <w:snapToGrid w:val="0"/>
                <w:sz w:val="20"/>
                <w:szCs w:val="20"/>
              </w:rPr>
              <w:t>U</w:t>
            </w:r>
          </w:p>
          <w:p w14:paraId="7D74A990"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Enrichment</w:t>
            </w:r>
          </w:p>
        </w:tc>
        <w:tc>
          <w:tcPr>
            <w:tcW w:w="786" w:type="pct"/>
            <w:tcBorders>
              <w:top w:val="single" w:sz="4" w:space="0" w:color="auto"/>
              <w:left w:val="nil"/>
              <w:bottom w:val="single" w:sz="4" w:space="0" w:color="auto"/>
              <w:right w:val="nil"/>
            </w:tcBorders>
            <w:shd w:val="clear" w:color="auto" w:fill="F2F2F2" w:themeFill="background1" w:themeFillShade="F2"/>
            <w:noWrap/>
            <w:vAlign w:val="center"/>
            <w:hideMark/>
          </w:tcPr>
          <w:p w14:paraId="7F99E32F"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 xml:space="preserve">Specific Power </w:t>
            </w:r>
          </w:p>
          <w:p w14:paraId="4DAD753D"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(MW/MTU)</w:t>
            </w:r>
          </w:p>
        </w:tc>
        <w:tc>
          <w:tcPr>
            <w:tcW w:w="472" w:type="pct"/>
            <w:tcBorders>
              <w:top w:val="single" w:sz="4" w:space="0" w:color="auto"/>
              <w:left w:val="nil"/>
              <w:bottom w:val="single" w:sz="4" w:space="0" w:color="auto"/>
              <w:right w:val="nil"/>
            </w:tcBorders>
            <w:shd w:val="clear" w:color="auto" w:fill="F2F2F2" w:themeFill="background1" w:themeFillShade="F2"/>
            <w:noWrap/>
            <w:vAlign w:val="center"/>
            <w:hideMark/>
          </w:tcPr>
          <w:p w14:paraId="1277860C"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304SS</w:t>
            </w:r>
          </w:p>
        </w:tc>
        <w:tc>
          <w:tcPr>
            <w:tcW w:w="472" w:type="pct"/>
            <w:tcBorders>
              <w:top w:val="single" w:sz="4" w:space="0" w:color="auto"/>
              <w:left w:val="nil"/>
              <w:bottom w:val="single" w:sz="4" w:space="0" w:color="auto"/>
              <w:right w:val="nil"/>
            </w:tcBorders>
            <w:shd w:val="clear" w:color="auto" w:fill="F2F2F2" w:themeFill="background1" w:themeFillShade="F2"/>
            <w:noWrap/>
            <w:vAlign w:val="center"/>
            <w:hideMark/>
          </w:tcPr>
          <w:p w14:paraId="0E5E2885"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310SS</w:t>
            </w:r>
          </w:p>
        </w:tc>
        <w:tc>
          <w:tcPr>
            <w:tcW w:w="472" w:type="pct"/>
            <w:tcBorders>
              <w:top w:val="single" w:sz="4" w:space="0" w:color="auto"/>
              <w:left w:val="nil"/>
              <w:bottom w:val="single" w:sz="4" w:space="0" w:color="auto"/>
              <w:right w:val="nil"/>
            </w:tcBorders>
            <w:shd w:val="clear" w:color="auto" w:fill="F2F2F2" w:themeFill="background1" w:themeFillShade="F2"/>
            <w:noWrap/>
            <w:vAlign w:val="center"/>
            <w:hideMark/>
          </w:tcPr>
          <w:p w14:paraId="4D452598"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FeCrAl</w:t>
            </w:r>
          </w:p>
        </w:tc>
        <w:tc>
          <w:tcPr>
            <w:tcW w:w="472" w:type="pct"/>
            <w:tcBorders>
              <w:top w:val="single" w:sz="4" w:space="0" w:color="auto"/>
              <w:left w:val="nil"/>
              <w:bottom w:val="single" w:sz="4" w:space="0" w:color="auto"/>
              <w:right w:val="nil"/>
            </w:tcBorders>
            <w:shd w:val="clear" w:color="auto" w:fill="F2F2F2" w:themeFill="background1" w:themeFillShade="F2"/>
            <w:noWrap/>
            <w:vAlign w:val="center"/>
            <w:hideMark/>
          </w:tcPr>
          <w:p w14:paraId="70C029A8" w14:textId="77777777" w:rsidR="007F2783" w:rsidRPr="00CD6077" w:rsidRDefault="007F2783" w:rsidP="003E4D27">
            <w:pPr>
              <w:keepNext/>
              <w:keepLines/>
              <w:widowControl w:val="0"/>
              <w:spacing w:after="0"/>
              <w:rPr>
                <w:rFonts w:eastAsia="Times New Roman" w:cs="Times New Roman"/>
                <w:b/>
                <w:bCs/>
                <w:snapToGrid w:val="0"/>
                <w:sz w:val="20"/>
                <w:szCs w:val="20"/>
                <w:vertAlign w:val="superscript"/>
              </w:rPr>
            </w:pPr>
            <w:r w:rsidRPr="003272B7">
              <w:rPr>
                <w:rFonts w:eastAsia="Times New Roman" w:cs="Times New Roman"/>
                <w:b/>
                <w:bCs/>
                <w:snapToGrid w:val="0"/>
                <w:sz w:val="20"/>
                <w:szCs w:val="20"/>
              </w:rPr>
              <w:t>APMT</w:t>
            </w:r>
            <w:r w:rsidR="00CD6077">
              <w:rPr>
                <w:rFonts w:eastAsia="Times New Roman" w:cs="Times New Roman"/>
                <w:b/>
                <w:bCs/>
                <w:snapToGrid w:val="0"/>
                <w:sz w:val="20"/>
                <w:szCs w:val="20"/>
                <w:vertAlign w:val="superscript"/>
              </w:rPr>
              <w:t>TM</w:t>
            </w:r>
          </w:p>
        </w:tc>
        <w:tc>
          <w:tcPr>
            <w:tcW w:w="469" w:type="pct"/>
            <w:tcBorders>
              <w:top w:val="single" w:sz="4" w:space="0" w:color="auto"/>
              <w:left w:val="nil"/>
              <w:bottom w:val="single" w:sz="4" w:space="0" w:color="auto"/>
              <w:right w:val="nil"/>
            </w:tcBorders>
            <w:shd w:val="clear" w:color="auto" w:fill="F2F2F2" w:themeFill="background1" w:themeFillShade="F2"/>
            <w:vAlign w:val="center"/>
          </w:tcPr>
          <w:p w14:paraId="170B1263"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SiC</w:t>
            </w:r>
          </w:p>
        </w:tc>
      </w:tr>
      <w:tr w:rsidR="007F2783" w:rsidRPr="003272B7" w14:paraId="229E5276" w14:textId="77777777" w:rsidTr="006342BC">
        <w:trPr>
          <w:cantSplit/>
          <w:trHeight w:val="299"/>
          <w:jc w:val="center"/>
        </w:trPr>
        <w:tc>
          <w:tcPr>
            <w:tcW w:w="448" w:type="pct"/>
            <w:tcBorders>
              <w:top w:val="nil"/>
              <w:left w:val="nil"/>
              <w:bottom w:val="nil"/>
              <w:right w:val="nil"/>
            </w:tcBorders>
            <w:shd w:val="clear" w:color="auto" w:fill="auto"/>
            <w:noWrap/>
            <w:vAlign w:val="center"/>
            <w:hideMark/>
          </w:tcPr>
          <w:p w14:paraId="3D4FDDA3"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1 (ref)</w:t>
            </w:r>
          </w:p>
        </w:tc>
        <w:tc>
          <w:tcPr>
            <w:tcW w:w="786" w:type="pct"/>
            <w:tcBorders>
              <w:top w:val="nil"/>
              <w:left w:val="nil"/>
              <w:bottom w:val="nil"/>
              <w:right w:val="nil"/>
            </w:tcBorders>
            <w:vAlign w:val="center"/>
          </w:tcPr>
          <w:p w14:paraId="3BF68112" w14:textId="77777777" w:rsidR="007F2783" w:rsidRPr="003272B7" w:rsidRDefault="007F2783" w:rsidP="003E4D27">
            <w:pPr>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571.5</w:t>
            </w:r>
          </w:p>
        </w:tc>
        <w:tc>
          <w:tcPr>
            <w:tcW w:w="622" w:type="pct"/>
            <w:tcBorders>
              <w:top w:val="nil"/>
              <w:left w:val="nil"/>
              <w:bottom w:val="nil"/>
              <w:right w:val="nil"/>
            </w:tcBorders>
            <w:shd w:val="clear" w:color="auto" w:fill="auto"/>
            <w:noWrap/>
            <w:vAlign w:val="bottom"/>
            <w:hideMark/>
          </w:tcPr>
          <w:p w14:paraId="7AC2549F"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4.9%</w:t>
            </w:r>
          </w:p>
        </w:tc>
        <w:tc>
          <w:tcPr>
            <w:tcW w:w="786" w:type="pct"/>
            <w:tcBorders>
              <w:top w:val="nil"/>
              <w:left w:val="nil"/>
              <w:bottom w:val="nil"/>
              <w:right w:val="nil"/>
            </w:tcBorders>
            <w:shd w:val="clear" w:color="auto" w:fill="auto"/>
            <w:noWrap/>
            <w:vAlign w:val="center"/>
            <w:hideMark/>
          </w:tcPr>
          <w:p w14:paraId="0C3543BD"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38.33</w:t>
            </w:r>
          </w:p>
        </w:tc>
        <w:tc>
          <w:tcPr>
            <w:tcW w:w="472" w:type="pct"/>
            <w:tcBorders>
              <w:top w:val="nil"/>
              <w:left w:val="nil"/>
              <w:bottom w:val="nil"/>
              <w:right w:val="nil"/>
            </w:tcBorders>
            <w:shd w:val="clear" w:color="auto" w:fill="auto"/>
            <w:noWrap/>
            <w:vAlign w:val="center"/>
            <w:hideMark/>
          </w:tcPr>
          <w:p w14:paraId="72745364"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-0.054</w:t>
            </w:r>
          </w:p>
        </w:tc>
        <w:tc>
          <w:tcPr>
            <w:tcW w:w="472" w:type="pct"/>
            <w:tcBorders>
              <w:top w:val="nil"/>
              <w:left w:val="nil"/>
              <w:bottom w:val="nil"/>
              <w:right w:val="nil"/>
            </w:tcBorders>
            <w:shd w:val="clear" w:color="auto" w:fill="auto"/>
            <w:noWrap/>
            <w:vAlign w:val="center"/>
            <w:hideMark/>
          </w:tcPr>
          <w:p w14:paraId="73B02A32"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-0.062</w:t>
            </w:r>
          </w:p>
        </w:tc>
        <w:tc>
          <w:tcPr>
            <w:tcW w:w="472" w:type="pct"/>
            <w:tcBorders>
              <w:top w:val="nil"/>
              <w:left w:val="nil"/>
              <w:bottom w:val="nil"/>
              <w:right w:val="nil"/>
            </w:tcBorders>
            <w:shd w:val="clear" w:color="auto" w:fill="auto"/>
            <w:noWrap/>
            <w:vAlign w:val="center"/>
            <w:hideMark/>
          </w:tcPr>
          <w:p w14:paraId="484FBE91"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-0.042</w:t>
            </w:r>
          </w:p>
        </w:tc>
        <w:tc>
          <w:tcPr>
            <w:tcW w:w="472" w:type="pct"/>
            <w:tcBorders>
              <w:top w:val="nil"/>
              <w:left w:val="nil"/>
              <w:bottom w:val="nil"/>
              <w:right w:val="nil"/>
            </w:tcBorders>
            <w:shd w:val="clear" w:color="auto" w:fill="auto"/>
            <w:noWrap/>
            <w:vAlign w:val="center"/>
            <w:hideMark/>
          </w:tcPr>
          <w:p w14:paraId="364EAB00"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-0.052</w:t>
            </w:r>
          </w:p>
        </w:tc>
        <w:tc>
          <w:tcPr>
            <w:tcW w:w="469" w:type="pct"/>
            <w:tcBorders>
              <w:top w:val="nil"/>
              <w:left w:val="nil"/>
              <w:bottom w:val="nil"/>
              <w:right w:val="nil"/>
            </w:tcBorders>
            <w:shd w:val="clear" w:color="auto" w:fill="EAF1DD" w:themeFill="accent3" w:themeFillTint="33"/>
            <w:vAlign w:val="center"/>
          </w:tcPr>
          <w:p w14:paraId="0302EF2D"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0.004</w:t>
            </w:r>
          </w:p>
        </w:tc>
      </w:tr>
      <w:tr w:rsidR="007F2783" w:rsidRPr="003272B7" w14:paraId="07F4939A" w14:textId="77777777" w:rsidTr="006342BC">
        <w:trPr>
          <w:cantSplit/>
          <w:trHeight w:val="299"/>
          <w:jc w:val="center"/>
        </w:trPr>
        <w:tc>
          <w:tcPr>
            <w:tcW w:w="448" w:type="pct"/>
            <w:tcBorders>
              <w:top w:val="nil"/>
              <w:left w:val="nil"/>
              <w:bottom w:val="nil"/>
              <w:right w:val="nil"/>
            </w:tcBorders>
            <w:shd w:val="clear" w:color="auto" w:fill="auto"/>
            <w:noWrap/>
            <w:vAlign w:val="center"/>
            <w:hideMark/>
          </w:tcPr>
          <w:p w14:paraId="2ECE4CCA"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2</w:t>
            </w:r>
          </w:p>
        </w:tc>
        <w:tc>
          <w:tcPr>
            <w:tcW w:w="786" w:type="pct"/>
            <w:tcBorders>
              <w:top w:val="nil"/>
              <w:left w:val="nil"/>
              <w:bottom w:val="nil"/>
              <w:right w:val="nil"/>
            </w:tcBorders>
            <w:vAlign w:val="center"/>
          </w:tcPr>
          <w:p w14:paraId="3B64BCA5" w14:textId="77777777" w:rsidR="007F2783" w:rsidRPr="003272B7" w:rsidRDefault="007F2783" w:rsidP="003E4D27">
            <w:pPr>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500</w:t>
            </w:r>
          </w:p>
        </w:tc>
        <w:tc>
          <w:tcPr>
            <w:tcW w:w="622" w:type="pct"/>
            <w:tcBorders>
              <w:top w:val="nil"/>
              <w:left w:val="nil"/>
              <w:bottom w:val="nil"/>
              <w:right w:val="nil"/>
            </w:tcBorders>
            <w:shd w:val="clear" w:color="auto" w:fill="auto"/>
            <w:noWrap/>
            <w:vAlign w:val="bottom"/>
            <w:hideMark/>
          </w:tcPr>
          <w:p w14:paraId="22A5E8EC"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4.9%</w:t>
            </w:r>
          </w:p>
        </w:tc>
        <w:tc>
          <w:tcPr>
            <w:tcW w:w="786" w:type="pct"/>
            <w:tcBorders>
              <w:top w:val="nil"/>
              <w:left w:val="nil"/>
              <w:bottom w:val="nil"/>
              <w:right w:val="nil"/>
            </w:tcBorders>
            <w:shd w:val="clear" w:color="auto" w:fill="auto"/>
            <w:noWrap/>
            <w:vAlign w:val="center"/>
            <w:hideMark/>
          </w:tcPr>
          <w:p w14:paraId="51E57D8D"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37.03</w:t>
            </w:r>
          </w:p>
        </w:tc>
        <w:tc>
          <w:tcPr>
            <w:tcW w:w="472" w:type="pct"/>
            <w:tcBorders>
              <w:top w:val="nil"/>
              <w:left w:val="nil"/>
              <w:bottom w:val="nil"/>
              <w:right w:val="nil"/>
            </w:tcBorders>
            <w:shd w:val="clear" w:color="auto" w:fill="auto"/>
            <w:noWrap/>
            <w:vAlign w:val="center"/>
            <w:hideMark/>
          </w:tcPr>
          <w:p w14:paraId="6C0E5F90"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-0.041</w:t>
            </w:r>
          </w:p>
        </w:tc>
        <w:tc>
          <w:tcPr>
            <w:tcW w:w="472" w:type="pct"/>
            <w:tcBorders>
              <w:top w:val="nil"/>
              <w:left w:val="nil"/>
              <w:bottom w:val="nil"/>
              <w:right w:val="nil"/>
            </w:tcBorders>
            <w:shd w:val="clear" w:color="auto" w:fill="auto"/>
            <w:noWrap/>
            <w:vAlign w:val="center"/>
            <w:hideMark/>
          </w:tcPr>
          <w:p w14:paraId="7E75133E"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-0.048</w:t>
            </w:r>
          </w:p>
        </w:tc>
        <w:tc>
          <w:tcPr>
            <w:tcW w:w="472" w:type="pct"/>
            <w:tcBorders>
              <w:top w:val="nil"/>
              <w:left w:val="nil"/>
              <w:bottom w:val="nil"/>
              <w:right w:val="nil"/>
            </w:tcBorders>
            <w:shd w:val="clear" w:color="auto" w:fill="auto"/>
            <w:noWrap/>
            <w:vAlign w:val="center"/>
            <w:hideMark/>
          </w:tcPr>
          <w:p w14:paraId="6C701C25"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-0.030</w:t>
            </w:r>
          </w:p>
        </w:tc>
        <w:tc>
          <w:tcPr>
            <w:tcW w:w="472" w:type="pct"/>
            <w:tcBorders>
              <w:top w:val="nil"/>
              <w:left w:val="nil"/>
              <w:bottom w:val="nil"/>
              <w:right w:val="nil"/>
            </w:tcBorders>
            <w:shd w:val="clear" w:color="auto" w:fill="auto"/>
            <w:noWrap/>
            <w:vAlign w:val="center"/>
            <w:hideMark/>
          </w:tcPr>
          <w:p w14:paraId="23F4A391"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-0.038</w:t>
            </w:r>
          </w:p>
        </w:tc>
        <w:tc>
          <w:tcPr>
            <w:tcW w:w="469" w:type="pct"/>
            <w:tcBorders>
              <w:top w:val="nil"/>
              <w:left w:val="nil"/>
              <w:bottom w:val="nil"/>
              <w:right w:val="nil"/>
            </w:tcBorders>
            <w:vAlign w:val="center"/>
          </w:tcPr>
          <w:p w14:paraId="7B33A958"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w:t>
            </w:r>
          </w:p>
        </w:tc>
      </w:tr>
      <w:tr w:rsidR="007F2783" w:rsidRPr="003272B7" w14:paraId="602E89B4" w14:textId="77777777" w:rsidTr="006342BC">
        <w:trPr>
          <w:cantSplit/>
          <w:trHeight w:val="299"/>
          <w:jc w:val="center"/>
        </w:trPr>
        <w:tc>
          <w:tcPr>
            <w:tcW w:w="448" w:type="pct"/>
            <w:tcBorders>
              <w:top w:val="nil"/>
              <w:left w:val="nil"/>
              <w:bottom w:val="nil"/>
              <w:right w:val="nil"/>
            </w:tcBorders>
            <w:shd w:val="clear" w:color="auto" w:fill="auto"/>
            <w:noWrap/>
            <w:vAlign w:val="center"/>
            <w:hideMark/>
          </w:tcPr>
          <w:p w14:paraId="4CCF2D85"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3</w:t>
            </w:r>
          </w:p>
        </w:tc>
        <w:tc>
          <w:tcPr>
            <w:tcW w:w="786" w:type="pct"/>
            <w:tcBorders>
              <w:top w:val="nil"/>
              <w:left w:val="nil"/>
              <w:bottom w:val="nil"/>
              <w:right w:val="nil"/>
            </w:tcBorders>
            <w:vAlign w:val="center"/>
          </w:tcPr>
          <w:p w14:paraId="43123875" w14:textId="77777777" w:rsidR="007F2783" w:rsidRPr="003272B7" w:rsidRDefault="007F2783" w:rsidP="003E4D27">
            <w:pPr>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400</w:t>
            </w:r>
          </w:p>
        </w:tc>
        <w:tc>
          <w:tcPr>
            <w:tcW w:w="622" w:type="pct"/>
            <w:tcBorders>
              <w:top w:val="nil"/>
              <w:left w:val="nil"/>
              <w:bottom w:val="nil"/>
              <w:right w:val="nil"/>
            </w:tcBorders>
            <w:shd w:val="clear" w:color="auto" w:fill="auto"/>
            <w:noWrap/>
            <w:vAlign w:val="bottom"/>
            <w:hideMark/>
          </w:tcPr>
          <w:p w14:paraId="2D0CC4FC"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4.9%</w:t>
            </w:r>
          </w:p>
        </w:tc>
        <w:tc>
          <w:tcPr>
            <w:tcW w:w="786" w:type="pct"/>
            <w:tcBorders>
              <w:top w:val="nil"/>
              <w:left w:val="nil"/>
              <w:bottom w:val="nil"/>
              <w:right w:val="nil"/>
            </w:tcBorders>
            <w:shd w:val="clear" w:color="auto" w:fill="auto"/>
            <w:noWrap/>
            <w:vAlign w:val="bottom"/>
            <w:hideMark/>
          </w:tcPr>
          <w:p w14:paraId="5DEDC146"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35.31</w:t>
            </w:r>
          </w:p>
        </w:tc>
        <w:tc>
          <w:tcPr>
            <w:tcW w:w="472" w:type="pct"/>
            <w:tcBorders>
              <w:top w:val="nil"/>
              <w:left w:val="nil"/>
              <w:bottom w:val="nil"/>
              <w:right w:val="nil"/>
            </w:tcBorders>
            <w:shd w:val="clear" w:color="auto" w:fill="auto"/>
            <w:noWrap/>
            <w:vAlign w:val="bottom"/>
            <w:hideMark/>
          </w:tcPr>
          <w:p w14:paraId="051C9072"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-0.023</w:t>
            </w:r>
          </w:p>
        </w:tc>
        <w:tc>
          <w:tcPr>
            <w:tcW w:w="472" w:type="pct"/>
            <w:tcBorders>
              <w:top w:val="nil"/>
              <w:left w:val="nil"/>
              <w:bottom w:val="nil"/>
              <w:right w:val="nil"/>
            </w:tcBorders>
            <w:shd w:val="clear" w:color="auto" w:fill="auto"/>
            <w:noWrap/>
            <w:vAlign w:val="bottom"/>
            <w:hideMark/>
          </w:tcPr>
          <w:p w14:paraId="33DE1C1D"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-0.028</w:t>
            </w:r>
          </w:p>
        </w:tc>
        <w:tc>
          <w:tcPr>
            <w:tcW w:w="472" w:type="pct"/>
            <w:tcBorders>
              <w:top w:val="nil"/>
              <w:left w:val="nil"/>
              <w:bottom w:val="nil"/>
              <w:right w:val="nil"/>
            </w:tcBorders>
            <w:shd w:val="clear" w:color="auto" w:fill="auto"/>
            <w:noWrap/>
            <w:vAlign w:val="bottom"/>
            <w:hideMark/>
          </w:tcPr>
          <w:p w14:paraId="6AE94EF0"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-0.014</w:t>
            </w:r>
          </w:p>
        </w:tc>
        <w:tc>
          <w:tcPr>
            <w:tcW w:w="472" w:type="pct"/>
            <w:tcBorders>
              <w:top w:val="nil"/>
              <w:left w:val="nil"/>
              <w:bottom w:val="nil"/>
              <w:right w:val="nil"/>
            </w:tcBorders>
            <w:shd w:val="clear" w:color="auto" w:fill="auto"/>
            <w:noWrap/>
            <w:vAlign w:val="bottom"/>
            <w:hideMark/>
          </w:tcPr>
          <w:p w14:paraId="13863531"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-0.021</w:t>
            </w:r>
          </w:p>
        </w:tc>
        <w:tc>
          <w:tcPr>
            <w:tcW w:w="469" w:type="pct"/>
            <w:tcBorders>
              <w:top w:val="nil"/>
              <w:left w:val="nil"/>
              <w:bottom w:val="nil"/>
              <w:right w:val="nil"/>
            </w:tcBorders>
            <w:vAlign w:val="center"/>
          </w:tcPr>
          <w:p w14:paraId="1EB350C6"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w:t>
            </w:r>
          </w:p>
        </w:tc>
      </w:tr>
      <w:tr w:rsidR="007F2783" w:rsidRPr="003272B7" w14:paraId="1BAA7DCE" w14:textId="77777777" w:rsidTr="006342BC">
        <w:trPr>
          <w:cantSplit/>
          <w:trHeight w:val="299"/>
          <w:jc w:val="center"/>
        </w:trPr>
        <w:tc>
          <w:tcPr>
            <w:tcW w:w="448" w:type="pct"/>
            <w:tcBorders>
              <w:top w:val="nil"/>
              <w:left w:val="nil"/>
              <w:bottom w:val="nil"/>
              <w:right w:val="nil"/>
            </w:tcBorders>
            <w:shd w:val="clear" w:color="auto" w:fill="auto"/>
            <w:noWrap/>
            <w:vAlign w:val="center"/>
            <w:hideMark/>
          </w:tcPr>
          <w:p w14:paraId="7465AD0F"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4</w:t>
            </w:r>
          </w:p>
        </w:tc>
        <w:tc>
          <w:tcPr>
            <w:tcW w:w="786" w:type="pct"/>
            <w:tcBorders>
              <w:top w:val="nil"/>
              <w:left w:val="nil"/>
              <w:bottom w:val="nil"/>
              <w:right w:val="nil"/>
            </w:tcBorders>
            <w:vAlign w:val="center"/>
          </w:tcPr>
          <w:p w14:paraId="7BACFD26" w14:textId="77777777" w:rsidR="007F2783" w:rsidRPr="003272B7" w:rsidRDefault="007F2783" w:rsidP="003E4D27">
            <w:pPr>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300</w:t>
            </w:r>
          </w:p>
        </w:tc>
        <w:tc>
          <w:tcPr>
            <w:tcW w:w="622" w:type="pct"/>
            <w:tcBorders>
              <w:top w:val="nil"/>
              <w:left w:val="nil"/>
              <w:bottom w:val="nil"/>
              <w:right w:val="nil"/>
            </w:tcBorders>
            <w:shd w:val="clear" w:color="auto" w:fill="auto"/>
            <w:noWrap/>
            <w:vAlign w:val="bottom"/>
            <w:hideMark/>
          </w:tcPr>
          <w:p w14:paraId="36789FCE"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4.9%</w:t>
            </w:r>
          </w:p>
        </w:tc>
        <w:tc>
          <w:tcPr>
            <w:tcW w:w="786" w:type="pct"/>
            <w:tcBorders>
              <w:top w:val="nil"/>
              <w:left w:val="nil"/>
              <w:bottom w:val="nil"/>
              <w:right w:val="nil"/>
            </w:tcBorders>
            <w:shd w:val="clear" w:color="auto" w:fill="auto"/>
            <w:noWrap/>
            <w:vAlign w:val="bottom"/>
            <w:hideMark/>
          </w:tcPr>
          <w:p w14:paraId="4C976532"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33.71</w:t>
            </w:r>
          </w:p>
        </w:tc>
        <w:tc>
          <w:tcPr>
            <w:tcW w:w="472" w:type="pct"/>
            <w:tcBorders>
              <w:top w:val="nil"/>
              <w:left w:val="nil"/>
              <w:bottom w:val="nil"/>
              <w:right w:val="nil"/>
            </w:tcBorders>
            <w:shd w:val="clear" w:color="auto" w:fill="auto"/>
            <w:noWrap/>
            <w:vAlign w:val="bottom"/>
            <w:hideMark/>
          </w:tcPr>
          <w:p w14:paraId="67121451"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-0.006</w:t>
            </w:r>
          </w:p>
        </w:tc>
        <w:tc>
          <w:tcPr>
            <w:tcW w:w="472" w:type="pct"/>
            <w:tcBorders>
              <w:top w:val="nil"/>
              <w:left w:val="nil"/>
              <w:bottom w:val="nil"/>
              <w:right w:val="nil"/>
            </w:tcBorders>
            <w:shd w:val="clear" w:color="auto" w:fill="auto"/>
            <w:noWrap/>
            <w:vAlign w:val="bottom"/>
            <w:hideMark/>
          </w:tcPr>
          <w:p w14:paraId="3BA24982"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-0.010</w:t>
            </w:r>
          </w:p>
        </w:tc>
        <w:tc>
          <w:tcPr>
            <w:tcW w:w="472" w:type="pct"/>
            <w:tcBorders>
              <w:top w:val="nil"/>
              <w:left w:val="nil"/>
              <w:bottom w:val="nil"/>
              <w:right w:val="nil"/>
            </w:tcBorders>
            <w:shd w:val="clear" w:color="000000" w:fill="EBF1DE"/>
            <w:noWrap/>
            <w:vAlign w:val="bottom"/>
            <w:hideMark/>
          </w:tcPr>
          <w:p w14:paraId="5BEAD126"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0.001</w:t>
            </w:r>
          </w:p>
        </w:tc>
        <w:tc>
          <w:tcPr>
            <w:tcW w:w="472" w:type="pct"/>
            <w:tcBorders>
              <w:top w:val="nil"/>
              <w:left w:val="nil"/>
              <w:bottom w:val="nil"/>
              <w:right w:val="nil"/>
            </w:tcBorders>
            <w:shd w:val="clear" w:color="auto" w:fill="auto"/>
            <w:noWrap/>
            <w:vAlign w:val="bottom"/>
            <w:hideMark/>
          </w:tcPr>
          <w:p w14:paraId="5A667F3C"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-0.005</w:t>
            </w:r>
          </w:p>
        </w:tc>
        <w:tc>
          <w:tcPr>
            <w:tcW w:w="469" w:type="pct"/>
            <w:tcBorders>
              <w:top w:val="nil"/>
              <w:left w:val="nil"/>
              <w:bottom w:val="nil"/>
              <w:right w:val="nil"/>
            </w:tcBorders>
            <w:vAlign w:val="center"/>
          </w:tcPr>
          <w:p w14:paraId="292C183C"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w:t>
            </w:r>
          </w:p>
        </w:tc>
      </w:tr>
      <w:tr w:rsidR="007F2783" w:rsidRPr="003272B7" w14:paraId="43109AE5" w14:textId="77777777" w:rsidTr="006342BC">
        <w:trPr>
          <w:cantSplit/>
          <w:trHeight w:val="299"/>
          <w:jc w:val="center"/>
        </w:trPr>
        <w:tc>
          <w:tcPr>
            <w:tcW w:w="448" w:type="pct"/>
            <w:tcBorders>
              <w:top w:val="nil"/>
              <w:left w:val="nil"/>
              <w:bottom w:val="nil"/>
              <w:right w:val="nil"/>
            </w:tcBorders>
            <w:shd w:val="clear" w:color="auto" w:fill="auto"/>
            <w:noWrap/>
            <w:vAlign w:val="center"/>
            <w:hideMark/>
          </w:tcPr>
          <w:p w14:paraId="76A910AA"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5</w:t>
            </w:r>
          </w:p>
        </w:tc>
        <w:tc>
          <w:tcPr>
            <w:tcW w:w="786" w:type="pct"/>
            <w:tcBorders>
              <w:top w:val="nil"/>
              <w:left w:val="nil"/>
              <w:bottom w:val="nil"/>
              <w:right w:val="nil"/>
            </w:tcBorders>
            <w:vAlign w:val="center"/>
          </w:tcPr>
          <w:p w14:paraId="4EF138E0" w14:textId="77777777" w:rsidR="007F2783" w:rsidRPr="003272B7" w:rsidRDefault="007F2783" w:rsidP="003E4D27">
            <w:pPr>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571.5</w:t>
            </w:r>
          </w:p>
        </w:tc>
        <w:tc>
          <w:tcPr>
            <w:tcW w:w="622" w:type="pct"/>
            <w:tcBorders>
              <w:top w:val="nil"/>
              <w:left w:val="nil"/>
              <w:bottom w:val="nil"/>
              <w:right w:val="nil"/>
            </w:tcBorders>
            <w:shd w:val="clear" w:color="auto" w:fill="auto"/>
            <w:noWrap/>
            <w:vAlign w:val="bottom"/>
            <w:hideMark/>
          </w:tcPr>
          <w:p w14:paraId="171FD19A"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5.5%</w:t>
            </w:r>
          </w:p>
        </w:tc>
        <w:tc>
          <w:tcPr>
            <w:tcW w:w="786" w:type="pct"/>
            <w:tcBorders>
              <w:top w:val="nil"/>
              <w:left w:val="nil"/>
              <w:bottom w:val="nil"/>
              <w:right w:val="nil"/>
            </w:tcBorders>
            <w:shd w:val="clear" w:color="auto" w:fill="auto"/>
            <w:noWrap/>
            <w:vAlign w:val="bottom"/>
            <w:hideMark/>
          </w:tcPr>
          <w:p w14:paraId="3AB8CDD3"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38.33</w:t>
            </w:r>
          </w:p>
        </w:tc>
        <w:tc>
          <w:tcPr>
            <w:tcW w:w="472" w:type="pct"/>
            <w:tcBorders>
              <w:top w:val="nil"/>
              <w:left w:val="nil"/>
              <w:bottom w:val="nil"/>
              <w:right w:val="nil"/>
            </w:tcBorders>
            <w:shd w:val="clear" w:color="auto" w:fill="auto"/>
            <w:noWrap/>
            <w:vAlign w:val="bottom"/>
            <w:hideMark/>
          </w:tcPr>
          <w:p w14:paraId="5EBCD910"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-0.027</w:t>
            </w:r>
          </w:p>
        </w:tc>
        <w:tc>
          <w:tcPr>
            <w:tcW w:w="472" w:type="pct"/>
            <w:tcBorders>
              <w:top w:val="nil"/>
              <w:left w:val="nil"/>
              <w:bottom w:val="nil"/>
              <w:right w:val="nil"/>
            </w:tcBorders>
            <w:shd w:val="clear" w:color="auto" w:fill="auto"/>
            <w:noWrap/>
            <w:vAlign w:val="bottom"/>
            <w:hideMark/>
          </w:tcPr>
          <w:p w14:paraId="0DE02A9C"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-0.036</w:t>
            </w:r>
          </w:p>
        </w:tc>
        <w:tc>
          <w:tcPr>
            <w:tcW w:w="472" w:type="pct"/>
            <w:tcBorders>
              <w:top w:val="nil"/>
              <w:left w:val="nil"/>
              <w:bottom w:val="nil"/>
              <w:right w:val="nil"/>
            </w:tcBorders>
            <w:shd w:val="clear" w:color="auto" w:fill="auto"/>
            <w:noWrap/>
            <w:vAlign w:val="bottom"/>
            <w:hideMark/>
          </w:tcPr>
          <w:p w14:paraId="6BCF5672"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-0.015</w:t>
            </w:r>
          </w:p>
        </w:tc>
        <w:tc>
          <w:tcPr>
            <w:tcW w:w="472" w:type="pct"/>
            <w:tcBorders>
              <w:top w:val="nil"/>
              <w:left w:val="nil"/>
              <w:bottom w:val="nil"/>
              <w:right w:val="nil"/>
            </w:tcBorders>
            <w:shd w:val="clear" w:color="auto" w:fill="auto"/>
            <w:noWrap/>
            <w:vAlign w:val="bottom"/>
            <w:hideMark/>
          </w:tcPr>
          <w:p w14:paraId="0C3440F6"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-0.025</w:t>
            </w:r>
          </w:p>
        </w:tc>
        <w:tc>
          <w:tcPr>
            <w:tcW w:w="469" w:type="pct"/>
            <w:tcBorders>
              <w:top w:val="nil"/>
              <w:left w:val="nil"/>
              <w:bottom w:val="nil"/>
              <w:right w:val="nil"/>
            </w:tcBorders>
            <w:vAlign w:val="center"/>
          </w:tcPr>
          <w:p w14:paraId="4BACE66C"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w:t>
            </w:r>
          </w:p>
        </w:tc>
      </w:tr>
      <w:tr w:rsidR="007F2783" w:rsidRPr="003272B7" w14:paraId="355B1168" w14:textId="77777777" w:rsidTr="006342BC">
        <w:trPr>
          <w:cantSplit/>
          <w:trHeight w:val="299"/>
          <w:jc w:val="center"/>
        </w:trPr>
        <w:tc>
          <w:tcPr>
            <w:tcW w:w="448" w:type="pct"/>
            <w:tcBorders>
              <w:top w:val="nil"/>
              <w:left w:val="nil"/>
              <w:bottom w:val="nil"/>
              <w:right w:val="nil"/>
            </w:tcBorders>
            <w:shd w:val="clear" w:color="auto" w:fill="auto"/>
            <w:noWrap/>
            <w:vAlign w:val="center"/>
            <w:hideMark/>
          </w:tcPr>
          <w:p w14:paraId="6F131EFA"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6</w:t>
            </w:r>
          </w:p>
        </w:tc>
        <w:tc>
          <w:tcPr>
            <w:tcW w:w="786" w:type="pct"/>
            <w:tcBorders>
              <w:top w:val="nil"/>
              <w:left w:val="nil"/>
              <w:bottom w:val="nil"/>
              <w:right w:val="nil"/>
            </w:tcBorders>
            <w:vAlign w:val="center"/>
          </w:tcPr>
          <w:p w14:paraId="4B984A37" w14:textId="77777777" w:rsidR="007F2783" w:rsidRPr="003272B7" w:rsidRDefault="007F2783" w:rsidP="003E4D27">
            <w:pPr>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571.5</w:t>
            </w:r>
          </w:p>
        </w:tc>
        <w:tc>
          <w:tcPr>
            <w:tcW w:w="622" w:type="pct"/>
            <w:tcBorders>
              <w:top w:val="nil"/>
              <w:left w:val="nil"/>
              <w:bottom w:val="nil"/>
              <w:right w:val="nil"/>
            </w:tcBorders>
            <w:shd w:val="clear" w:color="auto" w:fill="auto"/>
            <w:noWrap/>
            <w:vAlign w:val="bottom"/>
            <w:hideMark/>
          </w:tcPr>
          <w:p w14:paraId="2C640150"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6.0%</w:t>
            </w:r>
          </w:p>
        </w:tc>
        <w:tc>
          <w:tcPr>
            <w:tcW w:w="786" w:type="pct"/>
            <w:tcBorders>
              <w:top w:val="nil"/>
              <w:left w:val="nil"/>
              <w:bottom w:val="nil"/>
              <w:right w:val="nil"/>
            </w:tcBorders>
            <w:shd w:val="clear" w:color="auto" w:fill="auto"/>
            <w:noWrap/>
            <w:vAlign w:val="bottom"/>
            <w:hideMark/>
          </w:tcPr>
          <w:p w14:paraId="13933208"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38.33</w:t>
            </w:r>
          </w:p>
        </w:tc>
        <w:tc>
          <w:tcPr>
            <w:tcW w:w="472" w:type="pct"/>
            <w:tcBorders>
              <w:top w:val="nil"/>
              <w:left w:val="nil"/>
              <w:bottom w:val="nil"/>
              <w:right w:val="nil"/>
            </w:tcBorders>
            <w:shd w:val="clear" w:color="auto" w:fill="auto"/>
            <w:noWrap/>
            <w:vAlign w:val="bottom"/>
            <w:hideMark/>
          </w:tcPr>
          <w:p w14:paraId="10F319D3"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-0.006</w:t>
            </w:r>
          </w:p>
        </w:tc>
        <w:tc>
          <w:tcPr>
            <w:tcW w:w="472" w:type="pct"/>
            <w:tcBorders>
              <w:top w:val="nil"/>
              <w:left w:val="nil"/>
              <w:bottom w:val="nil"/>
              <w:right w:val="nil"/>
            </w:tcBorders>
            <w:shd w:val="clear" w:color="auto" w:fill="auto"/>
            <w:noWrap/>
            <w:vAlign w:val="bottom"/>
            <w:hideMark/>
          </w:tcPr>
          <w:p w14:paraId="593280FA"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-0.015</w:t>
            </w:r>
          </w:p>
        </w:tc>
        <w:tc>
          <w:tcPr>
            <w:tcW w:w="472" w:type="pct"/>
            <w:tcBorders>
              <w:top w:val="nil"/>
              <w:left w:val="nil"/>
              <w:bottom w:val="nil"/>
              <w:right w:val="nil"/>
            </w:tcBorders>
            <w:shd w:val="clear" w:color="000000" w:fill="EBF1DE"/>
            <w:noWrap/>
            <w:vAlign w:val="bottom"/>
            <w:hideMark/>
          </w:tcPr>
          <w:p w14:paraId="018AE20C"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0.006</w:t>
            </w:r>
          </w:p>
        </w:tc>
        <w:tc>
          <w:tcPr>
            <w:tcW w:w="472" w:type="pct"/>
            <w:tcBorders>
              <w:top w:val="nil"/>
              <w:left w:val="nil"/>
              <w:bottom w:val="nil"/>
              <w:right w:val="nil"/>
            </w:tcBorders>
            <w:shd w:val="clear" w:color="auto" w:fill="auto"/>
            <w:noWrap/>
            <w:vAlign w:val="bottom"/>
            <w:hideMark/>
          </w:tcPr>
          <w:p w14:paraId="480E9710"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-0.004</w:t>
            </w:r>
          </w:p>
        </w:tc>
        <w:tc>
          <w:tcPr>
            <w:tcW w:w="469" w:type="pct"/>
            <w:tcBorders>
              <w:top w:val="nil"/>
              <w:left w:val="nil"/>
              <w:bottom w:val="nil"/>
              <w:right w:val="nil"/>
            </w:tcBorders>
            <w:vAlign w:val="center"/>
          </w:tcPr>
          <w:p w14:paraId="72C61D33"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w:t>
            </w:r>
          </w:p>
        </w:tc>
      </w:tr>
      <w:tr w:rsidR="007F2783" w:rsidRPr="003272B7" w14:paraId="7EB2AD4F" w14:textId="77777777" w:rsidTr="006342BC">
        <w:trPr>
          <w:cantSplit/>
          <w:trHeight w:val="299"/>
          <w:jc w:val="center"/>
        </w:trPr>
        <w:tc>
          <w:tcPr>
            <w:tcW w:w="448" w:type="pct"/>
            <w:tcBorders>
              <w:top w:val="nil"/>
              <w:left w:val="nil"/>
              <w:bottom w:val="nil"/>
              <w:right w:val="nil"/>
            </w:tcBorders>
            <w:shd w:val="clear" w:color="auto" w:fill="auto"/>
            <w:noWrap/>
            <w:vAlign w:val="center"/>
            <w:hideMark/>
          </w:tcPr>
          <w:p w14:paraId="01B7A192"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7</w:t>
            </w:r>
          </w:p>
        </w:tc>
        <w:tc>
          <w:tcPr>
            <w:tcW w:w="786" w:type="pct"/>
            <w:tcBorders>
              <w:top w:val="nil"/>
              <w:left w:val="nil"/>
              <w:bottom w:val="nil"/>
              <w:right w:val="nil"/>
            </w:tcBorders>
            <w:vAlign w:val="center"/>
          </w:tcPr>
          <w:p w14:paraId="7CBE08E5" w14:textId="77777777" w:rsidR="007F2783" w:rsidRPr="003272B7" w:rsidRDefault="007F2783" w:rsidP="003E4D27">
            <w:pPr>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571.5</w:t>
            </w:r>
          </w:p>
        </w:tc>
        <w:tc>
          <w:tcPr>
            <w:tcW w:w="622" w:type="pct"/>
            <w:tcBorders>
              <w:top w:val="nil"/>
              <w:left w:val="nil"/>
              <w:bottom w:val="nil"/>
              <w:right w:val="nil"/>
            </w:tcBorders>
            <w:shd w:val="clear" w:color="auto" w:fill="auto"/>
            <w:noWrap/>
            <w:vAlign w:val="bottom"/>
            <w:hideMark/>
          </w:tcPr>
          <w:p w14:paraId="21683581"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6.5%</w:t>
            </w:r>
          </w:p>
        </w:tc>
        <w:tc>
          <w:tcPr>
            <w:tcW w:w="786" w:type="pct"/>
            <w:tcBorders>
              <w:top w:val="nil"/>
              <w:left w:val="nil"/>
              <w:bottom w:val="nil"/>
              <w:right w:val="nil"/>
            </w:tcBorders>
            <w:shd w:val="clear" w:color="auto" w:fill="auto"/>
            <w:noWrap/>
            <w:vAlign w:val="bottom"/>
            <w:hideMark/>
          </w:tcPr>
          <w:p w14:paraId="35D94718"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38.33</w:t>
            </w:r>
          </w:p>
        </w:tc>
        <w:tc>
          <w:tcPr>
            <w:tcW w:w="472" w:type="pct"/>
            <w:tcBorders>
              <w:top w:val="nil"/>
              <w:left w:val="nil"/>
              <w:bottom w:val="nil"/>
              <w:right w:val="nil"/>
            </w:tcBorders>
            <w:shd w:val="clear" w:color="000000" w:fill="EBF1DE"/>
            <w:noWrap/>
            <w:vAlign w:val="bottom"/>
            <w:hideMark/>
          </w:tcPr>
          <w:p w14:paraId="6B892428"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0.014</w:t>
            </w:r>
          </w:p>
        </w:tc>
        <w:tc>
          <w:tcPr>
            <w:tcW w:w="472" w:type="pct"/>
            <w:tcBorders>
              <w:top w:val="nil"/>
              <w:left w:val="nil"/>
              <w:bottom w:val="nil"/>
              <w:right w:val="nil"/>
            </w:tcBorders>
            <w:shd w:val="clear" w:color="000000" w:fill="EBF1DE"/>
            <w:noWrap/>
            <w:vAlign w:val="bottom"/>
            <w:hideMark/>
          </w:tcPr>
          <w:p w14:paraId="073CF477"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0.005</w:t>
            </w:r>
          </w:p>
        </w:tc>
        <w:tc>
          <w:tcPr>
            <w:tcW w:w="472" w:type="pct"/>
            <w:tcBorders>
              <w:top w:val="nil"/>
              <w:left w:val="nil"/>
              <w:bottom w:val="nil"/>
              <w:right w:val="nil"/>
            </w:tcBorders>
            <w:shd w:val="clear" w:color="000000" w:fill="EBF1DE"/>
            <w:noWrap/>
            <w:vAlign w:val="bottom"/>
            <w:hideMark/>
          </w:tcPr>
          <w:p w14:paraId="487B3C4B"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0.026</w:t>
            </w:r>
          </w:p>
        </w:tc>
        <w:tc>
          <w:tcPr>
            <w:tcW w:w="472" w:type="pct"/>
            <w:tcBorders>
              <w:top w:val="nil"/>
              <w:left w:val="nil"/>
              <w:bottom w:val="nil"/>
              <w:right w:val="nil"/>
            </w:tcBorders>
            <w:shd w:val="clear" w:color="000000" w:fill="EBF1DE"/>
            <w:noWrap/>
            <w:vAlign w:val="bottom"/>
            <w:hideMark/>
          </w:tcPr>
          <w:p w14:paraId="3AC4D287"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0.016</w:t>
            </w:r>
          </w:p>
        </w:tc>
        <w:tc>
          <w:tcPr>
            <w:tcW w:w="469" w:type="pct"/>
            <w:tcBorders>
              <w:top w:val="nil"/>
              <w:left w:val="nil"/>
              <w:bottom w:val="nil"/>
              <w:right w:val="nil"/>
            </w:tcBorders>
            <w:shd w:val="clear" w:color="auto" w:fill="auto"/>
            <w:vAlign w:val="center"/>
          </w:tcPr>
          <w:p w14:paraId="2BCD513F"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w:t>
            </w:r>
          </w:p>
        </w:tc>
      </w:tr>
      <w:tr w:rsidR="007F2783" w:rsidRPr="003272B7" w14:paraId="5441C612" w14:textId="77777777" w:rsidTr="006342BC">
        <w:trPr>
          <w:cantSplit/>
          <w:trHeight w:val="299"/>
          <w:jc w:val="center"/>
        </w:trPr>
        <w:tc>
          <w:tcPr>
            <w:tcW w:w="448" w:type="pct"/>
            <w:tcBorders>
              <w:top w:val="nil"/>
              <w:left w:val="nil"/>
              <w:bottom w:val="nil"/>
              <w:right w:val="nil"/>
            </w:tcBorders>
            <w:shd w:val="clear" w:color="auto" w:fill="auto"/>
            <w:noWrap/>
            <w:vAlign w:val="center"/>
            <w:hideMark/>
          </w:tcPr>
          <w:p w14:paraId="27AF9E38"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8</w:t>
            </w:r>
          </w:p>
        </w:tc>
        <w:tc>
          <w:tcPr>
            <w:tcW w:w="786" w:type="pct"/>
            <w:tcBorders>
              <w:top w:val="nil"/>
              <w:left w:val="nil"/>
              <w:bottom w:val="nil"/>
              <w:right w:val="nil"/>
            </w:tcBorders>
            <w:vAlign w:val="center"/>
          </w:tcPr>
          <w:p w14:paraId="1755A130" w14:textId="77777777" w:rsidR="007F2783" w:rsidRPr="003272B7" w:rsidRDefault="007F2783" w:rsidP="003E4D27">
            <w:pPr>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571.5</w:t>
            </w:r>
          </w:p>
        </w:tc>
        <w:tc>
          <w:tcPr>
            <w:tcW w:w="622" w:type="pct"/>
            <w:tcBorders>
              <w:top w:val="nil"/>
              <w:left w:val="nil"/>
              <w:bottom w:val="nil"/>
              <w:right w:val="nil"/>
            </w:tcBorders>
            <w:shd w:val="clear" w:color="auto" w:fill="auto"/>
            <w:noWrap/>
            <w:vAlign w:val="bottom"/>
            <w:hideMark/>
          </w:tcPr>
          <w:p w14:paraId="4B1575EB"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7.0%</w:t>
            </w:r>
          </w:p>
        </w:tc>
        <w:tc>
          <w:tcPr>
            <w:tcW w:w="786" w:type="pct"/>
            <w:tcBorders>
              <w:top w:val="nil"/>
              <w:left w:val="nil"/>
              <w:bottom w:val="nil"/>
              <w:right w:val="nil"/>
            </w:tcBorders>
            <w:shd w:val="clear" w:color="auto" w:fill="auto"/>
            <w:noWrap/>
            <w:vAlign w:val="bottom"/>
            <w:hideMark/>
          </w:tcPr>
          <w:p w14:paraId="11599D27"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38.33</w:t>
            </w:r>
          </w:p>
        </w:tc>
        <w:tc>
          <w:tcPr>
            <w:tcW w:w="472" w:type="pct"/>
            <w:tcBorders>
              <w:top w:val="nil"/>
              <w:left w:val="nil"/>
              <w:bottom w:val="nil"/>
              <w:right w:val="nil"/>
            </w:tcBorders>
            <w:shd w:val="clear" w:color="000000" w:fill="EBF1DE"/>
            <w:noWrap/>
            <w:vAlign w:val="bottom"/>
            <w:hideMark/>
          </w:tcPr>
          <w:p w14:paraId="35EEA069"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0.033</w:t>
            </w:r>
          </w:p>
        </w:tc>
        <w:tc>
          <w:tcPr>
            <w:tcW w:w="472" w:type="pct"/>
            <w:tcBorders>
              <w:top w:val="nil"/>
              <w:left w:val="nil"/>
              <w:bottom w:val="nil"/>
              <w:right w:val="nil"/>
            </w:tcBorders>
            <w:shd w:val="clear" w:color="000000" w:fill="EBF1DE"/>
            <w:noWrap/>
            <w:vAlign w:val="bottom"/>
            <w:hideMark/>
          </w:tcPr>
          <w:p w14:paraId="1E8C9B50"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0.024</w:t>
            </w:r>
          </w:p>
        </w:tc>
        <w:tc>
          <w:tcPr>
            <w:tcW w:w="472" w:type="pct"/>
            <w:tcBorders>
              <w:top w:val="nil"/>
              <w:left w:val="nil"/>
              <w:bottom w:val="nil"/>
              <w:right w:val="nil"/>
            </w:tcBorders>
            <w:shd w:val="clear" w:color="000000" w:fill="EBF1DE"/>
            <w:noWrap/>
            <w:vAlign w:val="bottom"/>
            <w:hideMark/>
          </w:tcPr>
          <w:p w14:paraId="132F0443"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0.045</w:t>
            </w:r>
          </w:p>
        </w:tc>
        <w:tc>
          <w:tcPr>
            <w:tcW w:w="472" w:type="pct"/>
            <w:tcBorders>
              <w:top w:val="nil"/>
              <w:left w:val="nil"/>
              <w:bottom w:val="nil"/>
              <w:right w:val="nil"/>
            </w:tcBorders>
            <w:shd w:val="clear" w:color="000000" w:fill="EBF1DE"/>
            <w:noWrap/>
            <w:vAlign w:val="bottom"/>
            <w:hideMark/>
          </w:tcPr>
          <w:p w14:paraId="0DC33AA9"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0.035</w:t>
            </w:r>
          </w:p>
        </w:tc>
        <w:tc>
          <w:tcPr>
            <w:tcW w:w="469" w:type="pct"/>
            <w:tcBorders>
              <w:top w:val="nil"/>
              <w:left w:val="nil"/>
              <w:bottom w:val="nil"/>
              <w:right w:val="nil"/>
            </w:tcBorders>
            <w:shd w:val="clear" w:color="auto" w:fill="auto"/>
            <w:vAlign w:val="center"/>
          </w:tcPr>
          <w:p w14:paraId="15AE2157"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w:t>
            </w:r>
          </w:p>
        </w:tc>
      </w:tr>
      <w:tr w:rsidR="007F2783" w:rsidRPr="003272B7" w14:paraId="19D9DA5C" w14:textId="77777777" w:rsidTr="006342BC">
        <w:trPr>
          <w:cantSplit/>
          <w:trHeight w:val="299"/>
          <w:jc w:val="center"/>
        </w:trPr>
        <w:tc>
          <w:tcPr>
            <w:tcW w:w="448" w:type="pct"/>
            <w:tcBorders>
              <w:top w:val="nil"/>
              <w:left w:val="nil"/>
              <w:bottom w:val="single" w:sz="4" w:space="0" w:color="auto"/>
              <w:right w:val="nil"/>
            </w:tcBorders>
            <w:shd w:val="clear" w:color="auto" w:fill="auto"/>
            <w:noWrap/>
            <w:vAlign w:val="center"/>
          </w:tcPr>
          <w:p w14:paraId="7A58749B" w14:textId="77777777" w:rsidR="007F2783" w:rsidRPr="003272B7" w:rsidRDefault="007F2783" w:rsidP="003E4D27">
            <w:pPr>
              <w:keepNext/>
              <w:keepLines/>
              <w:widowControl w:val="0"/>
              <w:spacing w:after="0"/>
              <w:rPr>
                <w:rFonts w:eastAsia="Times New Roman" w:cs="Times New Roman"/>
                <w:b/>
                <w:bCs/>
                <w:snapToGrid w:val="0"/>
                <w:sz w:val="20"/>
                <w:szCs w:val="20"/>
              </w:rPr>
            </w:pPr>
            <w:r w:rsidRPr="003272B7">
              <w:rPr>
                <w:rFonts w:eastAsia="Times New Roman" w:cs="Times New Roman"/>
                <w:b/>
                <w:bCs/>
                <w:snapToGrid w:val="0"/>
                <w:sz w:val="20"/>
                <w:szCs w:val="20"/>
              </w:rPr>
              <w:t>9</w:t>
            </w:r>
          </w:p>
        </w:tc>
        <w:tc>
          <w:tcPr>
            <w:tcW w:w="786" w:type="pct"/>
            <w:tcBorders>
              <w:top w:val="nil"/>
              <w:left w:val="nil"/>
              <w:bottom w:val="single" w:sz="4" w:space="0" w:color="auto"/>
              <w:right w:val="nil"/>
            </w:tcBorders>
            <w:vAlign w:val="center"/>
          </w:tcPr>
          <w:p w14:paraId="2E7E56DF" w14:textId="77777777" w:rsidR="007F2783" w:rsidRPr="003272B7" w:rsidRDefault="007F2783" w:rsidP="003E4D27">
            <w:pPr>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889</w:t>
            </w:r>
          </w:p>
        </w:tc>
        <w:tc>
          <w:tcPr>
            <w:tcW w:w="622" w:type="pct"/>
            <w:tcBorders>
              <w:top w:val="nil"/>
              <w:left w:val="nil"/>
              <w:bottom w:val="single" w:sz="4" w:space="0" w:color="auto"/>
              <w:right w:val="nil"/>
            </w:tcBorders>
            <w:shd w:val="clear" w:color="auto" w:fill="auto"/>
            <w:noWrap/>
            <w:vAlign w:val="bottom"/>
          </w:tcPr>
          <w:p w14:paraId="3FD76687"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5.5%</w:t>
            </w:r>
          </w:p>
        </w:tc>
        <w:tc>
          <w:tcPr>
            <w:tcW w:w="786" w:type="pct"/>
            <w:tcBorders>
              <w:top w:val="nil"/>
              <w:left w:val="nil"/>
              <w:bottom w:val="single" w:sz="4" w:space="0" w:color="auto"/>
              <w:right w:val="nil"/>
            </w:tcBorders>
            <w:shd w:val="clear" w:color="auto" w:fill="auto"/>
            <w:noWrap/>
            <w:vAlign w:val="bottom"/>
          </w:tcPr>
          <w:p w14:paraId="458527C1" w14:textId="77777777" w:rsidR="007F2783" w:rsidRPr="003272B7" w:rsidRDefault="007F2783" w:rsidP="003E4D27">
            <w:pPr>
              <w:keepNext/>
              <w:keepLines/>
              <w:widowControl w:val="0"/>
              <w:spacing w:after="0"/>
              <w:rPr>
                <w:rFonts w:eastAsia="Times New Roman" w:cs="Times New Roman"/>
                <w:snapToGrid w:val="0"/>
                <w:color w:val="000000"/>
                <w:sz w:val="20"/>
                <w:szCs w:val="20"/>
              </w:rPr>
            </w:pPr>
            <w:r w:rsidRPr="003272B7">
              <w:rPr>
                <w:rFonts w:eastAsia="Times New Roman" w:cs="Times New Roman"/>
                <w:snapToGrid w:val="0"/>
                <w:color w:val="000000"/>
                <w:sz w:val="20"/>
                <w:szCs w:val="20"/>
              </w:rPr>
              <w:t>45.04</w:t>
            </w:r>
          </w:p>
        </w:tc>
        <w:tc>
          <w:tcPr>
            <w:tcW w:w="472" w:type="pct"/>
            <w:tcBorders>
              <w:top w:val="nil"/>
              <w:left w:val="nil"/>
              <w:bottom w:val="single" w:sz="4" w:space="0" w:color="auto"/>
              <w:right w:val="nil"/>
            </w:tcBorders>
            <w:shd w:val="clear" w:color="auto" w:fill="auto"/>
            <w:noWrap/>
            <w:vAlign w:val="center"/>
          </w:tcPr>
          <w:p w14:paraId="2052E15F" w14:textId="77777777" w:rsidR="007F2783" w:rsidRPr="003272B7" w:rsidRDefault="007F2783" w:rsidP="003E4D27">
            <w:pPr>
              <w:keepNext/>
              <w:keepLines/>
              <w:widowControl w:val="0"/>
              <w:spacing w:after="0"/>
              <w:rPr>
                <w:rFonts w:eastAsia="Times New Roman" w:cs="Times New Roman"/>
                <w:snapToGrid w:val="0"/>
                <w:sz w:val="20"/>
                <w:szCs w:val="20"/>
              </w:rPr>
            </w:pPr>
            <w:r w:rsidRPr="003272B7">
              <w:rPr>
                <w:rFonts w:eastAsia="Times New Roman" w:cs="Times New Roman"/>
                <w:snapToGrid w:val="0"/>
                <w:sz w:val="20"/>
                <w:szCs w:val="20"/>
              </w:rPr>
              <w:t>-</w:t>
            </w:r>
          </w:p>
        </w:tc>
        <w:tc>
          <w:tcPr>
            <w:tcW w:w="472" w:type="pct"/>
            <w:tcBorders>
              <w:top w:val="nil"/>
              <w:left w:val="nil"/>
              <w:bottom w:val="single" w:sz="4" w:space="0" w:color="auto"/>
              <w:right w:val="nil"/>
            </w:tcBorders>
            <w:shd w:val="clear" w:color="auto" w:fill="auto"/>
            <w:noWrap/>
            <w:vAlign w:val="center"/>
          </w:tcPr>
          <w:p w14:paraId="269CAD37" w14:textId="77777777" w:rsidR="007F2783" w:rsidRPr="003272B7" w:rsidRDefault="007F2783" w:rsidP="003E4D27">
            <w:pPr>
              <w:keepNext/>
              <w:keepLines/>
              <w:widowControl w:val="0"/>
              <w:spacing w:after="0"/>
              <w:rPr>
                <w:rFonts w:eastAsia="Times New Roman" w:cs="Times New Roman"/>
                <w:snapToGrid w:val="0"/>
                <w:sz w:val="20"/>
                <w:szCs w:val="20"/>
              </w:rPr>
            </w:pPr>
            <w:r w:rsidRPr="003272B7">
              <w:rPr>
                <w:rFonts w:eastAsia="Times New Roman" w:cs="Times New Roman"/>
                <w:snapToGrid w:val="0"/>
                <w:sz w:val="20"/>
                <w:szCs w:val="20"/>
              </w:rPr>
              <w:t>-</w:t>
            </w:r>
          </w:p>
        </w:tc>
        <w:tc>
          <w:tcPr>
            <w:tcW w:w="472" w:type="pct"/>
            <w:tcBorders>
              <w:top w:val="nil"/>
              <w:left w:val="nil"/>
              <w:bottom w:val="single" w:sz="4" w:space="0" w:color="auto"/>
              <w:right w:val="nil"/>
            </w:tcBorders>
            <w:shd w:val="clear" w:color="auto" w:fill="auto"/>
            <w:noWrap/>
            <w:vAlign w:val="center"/>
          </w:tcPr>
          <w:p w14:paraId="63ADD731" w14:textId="77777777" w:rsidR="007F2783" w:rsidRPr="003272B7" w:rsidRDefault="007F2783" w:rsidP="003E4D27">
            <w:pPr>
              <w:keepNext/>
              <w:keepLines/>
              <w:widowControl w:val="0"/>
              <w:spacing w:after="0"/>
              <w:rPr>
                <w:rFonts w:eastAsia="Times New Roman" w:cs="Times New Roman"/>
                <w:snapToGrid w:val="0"/>
                <w:sz w:val="20"/>
                <w:szCs w:val="20"/>
              </w:rPr>
            </w:pPr>
            <w:r w:rsidRPr="003272B7">
              <w:rPr>
                <w:rFonts w:eastAsia="Times New Roman" w:cs="Times New Roman"/>
                <w:snapToGrid w:val="0"/>
                <w:sz w:val="20"/>
                <w:szCs w:val="20"/>
              </w:rPr>
              <w:t>-</w:t>
            </w:r>
          </w:p>
        </w:tc>
        <w:tc>
          <w:tcPr>
            <w:tcW w:w="472" w:type="pct"/>
            <w:tcBorders>
              <w:top w:val="nil"/>
              <w:left w:val="nil"/>
              <w:bottom w:val="single" w:sz="4" w:space="0" w:color="auto"/>
              <w:right w:val="nil"/>
            </w:tcBorders>
            <w:shd w:val="clear" w:color="auto" w:fill="auto"/>
            <w:noWrap/>
            <w:vAlign w:val="center"/>
          </w:tcPr>
          <w:p w14:paraId="1F256631" w14:textId="77777777" w:rsidR="007F2783" w:rsidRPr="003272B7" w:rsidRDefault="007F2783" w:rsidP="003E4D27">
            <w:pPr>
              <w:keepNext/>
              <w:keepLines/>
              <w:widowControl w:val="0"/>
              <w:spacing w:after="0"/>
              <w:rPr>
                <w:rFonts w:eastAsia="Times New Roman" w:cs="Times New Roman"/>
                <w:snapToGrid w:val="0"/>
                <w:sz w:val="20"/>
                <w:szCs w:val="20"/>
              </w:rPr>
            </w:pPr>
            <w:r w:rsidRPr="003272B7">
              <w:rPr>
                <w:rFonts w:eastAsia="Times New Roman" w:cs="Times New Roman"/>
                <w:snapToGrid w:val="0"/>
                <w:sz w:val="20"/>
                <w:szCs w:val="20"/>
              </w:rPr>
              <w:t>-</w:t>
            </w:r>
          </w:p>
        </w:tc>
        <w:tc>
          <w:tcPr>
            <w:tcW w:w="469" w:type="pct"/>
            <w:tcBorders>
              <w:top w:val="nil"/>
              <w:left w:val="nil"/>
              <w:bottom w:val="single" w:sz="4" w:space="0" w:color="auto"/>
              <w:right w:val="nil"/>
            </w:tcBorders>
            <w:shd w:val="clear" w:color="000000" w:fill="EBF1DE"/>
            <w:vAlign w:val="center"/>
          </w:tcPr>
          <w:p w14:paraId="78CE3526" w14:textId="77777777" w:rsidR="007F2783" w:rsidRPr="003272B7" w:rsidRDefault="007F2783" w:rsidP="003E4D27">
            <w:pPr>
              <w:keepNext/>
              <w:keepLines/>
              <w:widowControl w:val="0"/>
              <w:spacing w:after="0"/>
              <w:rPr>
                <w:rFonts w:eastAsia="Times New Roman" w:cs="Times New Roman"/>
                <w:snapToGrid w:val="0"/>
                <w:sz w:val="20"/>
                <w:szCs w:val="20"/>
              </w:rPr>
            </w:pPr>
            <w:r w:rsidRPr="003272B7">
              <w:rPr>
                <w:rFonts w:eastAsia="Times New Roman" w:cs="Times New Roman"/>
                <w:snapToGrid w:val="0"/>
                <w:sz w:val="20"/>
                <w:szCs w:val="20"/>
              </w:rPr>
              <w:t>0.000</w:t>
            </w:r>
          </w:p>
        </w:tc>
      </w:tr>
      <w:tr w:rsidR="007F2783" w:rsidRPr="003272B7" w14:paraId="2A627D29" w14:textId="77777777" w:rsidTr="006342BC">
        <w:trPr>
          <w:cantSplit/>
          <w:trHeight w:val="299"/>
          <w:jc w:val="center"/>
        </w:trPr>
        <w:tc>
          <w:tcPr>
            <w:tcW w:w="5000" w:type="pct"/>
            <w:gridSpan w:val="9"/>
            <w:tcBorders>
              <w:top w:val="single" w:sz="4" w:space="0" w:color="auto"/>
              <w:left w:val="nil"/>
              <w:right w:val="nil"/>
            </w:tcBorders>
            <w:shd w:val="clear" w:color="auto" w:fill="auto"/>
            <w:noWrap/>
            <w:vAlign w:val="center"/>
          </w:tcPr>
          <w:p w14:paraId="559AB018" w14:textId="77777777" w:rsidR="007F2783" w:rsidRPr="003272B7" w:rsidRDefault="007F2783" w:rsidP="003E4D27">
            <w:pPr>
              <w:keepNext/>
              <w:keepLines/>
              <w:widowControl w:val="0"/>
              <w:spacing w:after="0"/>
              <w:rPr>
                <w:rFonts w:eastAsia="Times New Roman" w:cs="Times New Roman"/>
                <w:snapToGrid w:val="0"/>
                <w:sz w:val="18"/>
                <w:szCs w:val="20"/>
              </w:rPr>
            </w:pPr>
            <w:r w:rsidRPr="003272B7">
              <w:rPr>
                <w:rFonts w:eastAsia="Times New Roman" w:cs="Times New Roman"/>
                <w:i/>
                <w:snapToGrid w:val="0"/>
                <w:sz w:val="18"/>
                <w:szCs w:val="20"/>
              </w:rPr>
              <w:t>Note:</w:t>
            </w:r>
            <w:r w:rsidRPr="003272B7">
              <w:rPr>
                <w:rFonts w:eastAsia="Times New Roman" w:cs="Times New Roman"/>
                <w:snapToGrid w:val="0"/>
                <w:sz w:val="18"/>
                <w:szCs w:val="20"/>
              </w:rPr>
              <w:t xml:space="preserve"> Positive and equivalent </w:t>
            </w:r>
            <w:r w:rsidRPr="003272B7">
              <w:rPr>
                <w:rFonts w:eastAsia="Times New Roman" w:cs="Times New Roman"/>
                <w:noProof/>
                <w:position w:val="-6"/>
                <w:sz w:val="18"/>
                <w:szCs w:val="20"/>
              </w:rPr>
              <w:drawing>
                <wp:inline distT="0" distB="0" distL="0" distR="0" wp14:anchorId="55F4AD6E" wp14:editId="26AE37F1">
                  <wp:extent cx="316483" cy="161364"/>
                  <wp:effectExtent l="0" t="0" r="7620" b="0"/>
                  <wp:docPr id="2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313675" cy="159933"/>
                          </a:xfrm>
                          <a:prstGeom prst="rect">
                            <a:avLst/>
                          </a:prstGeom>
                          <a:noFill/>
                          <a:ln>
                            <a:noFill/>
                          </a:ln>
                        </pic:spPr>
                      </pic:pic>
                    </a:graphicData>
                  </a:graphic>
                </wp:inline>
              </w:drawing>
            </w:r>
            <w:r w:rsidRPr="003272B7">
              <w:rPr>
                <w:rFonts w:eastAsia="Times New Roman" w:cs="Times New Roman"/>
                <w:snapToGrid w:val="0"/>
                <w:sz w:val="18"/>
                <w:szCs w:val="20"/>
              </w:rPr>
              <w:t xml:space="preserve">values with respect to the reference case (Case 1 with 4.9% enriched urania in </w:t>
            </w:r>
            <w:r w:rsidR="00F4572D">
              <w:rPr>
                <w:rFonts w:eastAsia="Times New Roman" w:cs="Times New Roman"/>
                <w:snapToGrid w:val="0"/>
                <w:sz w:val="18"/>
                <w:szCs w:val="20"/>
              </w:rPr>
              <w:t>Zircaloy</w:t>
            </w:r>
            <w:r w:rsidRPr="003272B7">
              <w:rPr>
                <w:rFonts w:eastAsia="Times New Roman" w:cs="Times New Roman"/>
                <w:snapToGrid w:val="0"/>
                <w:sz w:val="18"/>
                <w:szCs w:val="20"/>
              </w:rPr>
              <w:t>-4 cladding) are in highlighted cells.</w:t>
            </w:r>
          </w:p>
        </w:tc>
      </w:tr>
    </w:tbl>
    <w:p w14:paraId="1F684BB6" w14:textId="77777777" w:rsidR="003E4D27" w:rsidRDefault="003E4D27" w:rsidP="0091793B">
      <w:pPr>
        <w:spacing w:line="360" w:lineRule="auto"/>
        <w:jc w:val="both"/>
        <w:rPr>
          <w:rFonts w:cs="Times New Roman"/>
          <w:szCs w:val="24"/>
        </w:rPr>
      </w:pPr>
    </w:p>
    <w:p w14:paraId="7F2D5955" w14:textId="77777777" w:rsidR="007F2783" w:rsidRPr="003272B7" w:rsidRDefault="007F2783" w:rsidP="0091793B">
      <w:pPr>
        <w:spacing w:line="360" w:lineRule="auto"/>
        <w:jc w:val="both"/>
        <w:rPr>
          <w:rFonts w:cs="Times New Roman"/>
          <w:szCs w:val="24"/>
        </w:rPr>
      </w:pPr>
      <w:r w:rsidRPr="003272B7">
        <w:rPr>
          <w:rFonts w:cs="Times New Roman"/>
          <w:szCs w:val="24"/>
        </w:rPr>
        <w:t>Upon decreasing the cladding thickness and increasing the UO</w:t>
      </w:r>
      <w:r w:rsidRPr="003272B7">
        <w:rPr>
          <w:rFonts w:cs="Times New Roman"/>
          <w:szCs w:val="24"/>
          <w:vertAlign w:val="subscript"/>
        </w:rPr>
        <w:t>2</w:t>
      </w:r>
      <w:r w:rsidRPr="003272B7">
        <w:rPr>
          <w:rFonts w:cs="Times New Roman"/>
          <w:szCs w:val="24"/>
        </w:rPr>
        <w:t xml:space="preserve"> fuel pellet volume by nearly 14%, FeCrAl was the only metallic alternate cladding material to meet lifetime requirements while maintaining a constant 4.9% fuel enrichment. SiC, which has slightly lower neutron absorption</w:t>
      </w:r>
      <w:r w:rsidR="00B55AFC">
        <w:rPr>
          <w:rFonts w:cs="Times New Roman"/>
          <w:szCs w:val="24"/>
        </w:rPr>
        <w:t xml:space="preserve"> than </w:t>
      </w:r>
      <w:r w:rsidR="00F4572D">
        <w:rPr>
          <w:rFonts w:cs="Times New Roman"/>
          <w:szCs w:val="24"/>
        </w:rPr>
        <w:t>Zircaloy</w:t>
      </w:r>
      <w:r w:rsidR="00B55AFC">
        <w:rPr>
          <w:rFonts w:cs="Times New Roman"/>
          <w:szCs w:val="24"/>
        </w:rPr>
        <w:t xml:space="preserve"> (shown in Table </w:t>
      </w:r>
      <w:r w:rsidRPr="003272B7">
        <w:rPr>
          <w:rFonts w:cs="Times New Roman"/>
          <w:szCs w:val="24"/>
        </w:rPr>
        <w:t xml:space="preserve">I), exceeded 0.000 without any geometric alterations to the base case conditions. When setting up a conservative SiC model with a cladding thickness of 889 microns, increasing enrichment to 5.5% adds sufficient fissile material to meet lifetime requirements. Combinations of decreased cladding thickness and enrichment were investigated </w:t>
      </w:r>
      <w:r w:rsidR="00C94F60">
        <w:rPr>
          <w:rFonts w:cs="Times New Roman"/>
          <w:szCs w:val="24"/>
        </w:rPr>
        <w:t>next</w:t>
      </w:r>
      <w:r w:rsidRPr="003272B7">
        <w:rPr>
          <w:rFonts w:cs="Times New Roman"/>
          <w:szCs w:val="24"/>
        </w:rPr>
        <w:t>.</w:t>
      </w:r>
    </w:p>
    <w:p w14:paraId="09C91861" w14:textId="12C0DE21" w:rsidR="007F2783" w:rsidRPr="003272B7" w:rsidRDefault="007F2783" w:rsidP="0091793B">
      <w:pPr>
        <w:spacing w:line="360" w:lineRule="auto"/>
        <w:jc w:val="both"/>
        <w:rPr>
          <w:rFonts w:cs="Times New Roman"/>
          <w:szCs w:val="24"/>
        </w:rPr>
      </w:pPr>
      <w:r w:rsidRPr="003272B7">
        <w:rPr>
          <w:rFonts w:cs="Times New Roman"/>
          <w:szCs w:val="24"/>
        </w:rPr>
        <w:t xml:space="preserve">The necessary enrichment to match the fuel cycle length of the reference case was calculated in this section for various alternate cladding concepts. Given the higher strength of iron-based alloys when compared to zirconium-based alloys, a reduced cladding thickness of 350 μm was considered for these cases. This is consistent with historic utilization of these materials as fuel </w:t>
      </w:r>
      <w:r w:rsidRPr="003272B7">
        <w:rPr>
          <w:rFonts w:cs="Times New Roman"/>
          <w:szCs w:val="24"/>
        </w:rPr>
        <w:lastRenderedPageBreak/>
        <w:t xml:space="preserve">cladding in LWRs </w:t>
      </w:r>
      <w:r w:rsidRPr="003272B7">
        <w:rPr>
          <w:rFonts w:cs="Times New Roman"/>
          <w:szCs w:val="24"/>
        </w:rPr>
        <w:fldChar w:fldCharType="begin"/>
      </w:r>
      <w:r w:rsidR="00046F32">
        <w:rPr>
          <w:rFonts w:cs="Times New Roman"/>
          <w:szCs w:val="24"/>
        </w:rPr>
        <w:instrText xml:space="preserve"> ADDIN EN.CITE &lt;EndNote&gt;&lt;Cite&gt;&lt;Author&gt;Strasser&lt;/Author&gt;&lt;Year&gt;1982&lt;/Year&gt;&lt;RecNum&gt;3321&lt;/RecNum&gt;&lt;DisplayText&gt;[22]&lt;/DisplayText&gt;&lt;record&gt;&lt;rec-number&gt;3321&lt;/rec-number&gt;&lt;foreign-keys&gt;&lt;key app="EN" db-id="dt5svtsa5rvr0iew5p3xswt5dpssxpvdr2at" timestamp="0"&gt;3321&lt;/key&gt;&lt;/foreign-keys&gt;&lt;ref-type name="Report"&gt;27&lt;/ref-type&gt;&lt;contributors&gt;&lt;authors&gt;&lt;author&gt;A. Strasser&lt;/author&gt;&lt;author&gt;J. Santucci&lt;/author&gt;&lt;author&gt;K. Lindquist&lt;/author&gt;&lt;author&gt;W. Yario&lt;/author&gt;&lt;author&gt;G. Stern&lt;/author&gt;&lt;author&gt;L. Goldstein&lt;/author&gt;&lt;author&gt;L. Joseph&lt;/author&gt;&lt;/authors&gt;&lt;/contributors&gt;&lt;titles&gt;&lt;title&gt;An Evaluation of Stainless Steel Cladding for Use in Current Design LWRs, NP-2642&lt;/title&gt;&lt;/titles&gt;&lt;number&gt;NP-2642&lt;/number&gt;&lt;keywords&gt;&lt;keyword&gt;Austenitic stainless steel, fuel cladding, light water reactors, stress corrosion cracking, review, pressurized water reactors, boiling water reactors, LWRs&lt;/keyword&gt;&lt;/keywords&gt;&lt;dates&gt;&lt;year&gt;1982&lt;/year&gt;&lt;/dates&gt;&lt;pub-location&gt;Palo Alto, CA&lt;/pub-location&gt;&lt;publisher&gt;Electric Power Research Institute&lt;/publisher&gt;&lt;urls&gt;&lt;/urls&gt;&lt;research-notes&gt;originally published under export control; changed to publicly available in Oct., 2008&amp;#xD;Typical fuel cladding heat fluxes are 40-140 W/cm2 (0.4-1.4 MW/m2)&lt;/research-notes&gt;&lt;/record&gt;&lt;/Cite&gt;&lt;/EndNote&gt;</w:instrText>
      </w:r>
      <w:r w:rsidRPr="003272B7">
        <w:rPr>
          <w:rFonts w:cs="Times New Roman"/>
          <w:szCs w:val="24"/>
        </w:rPr>
        <w:fldChar w:fldCharType="separate"/>
      </w:r>
      <w:r w:rsidR="00046F32">
        <w:rPr>
          <w:rFonts w:cs="Times New Roman"/>
          <w:noProof/>
          <w:szCs w:val="24"/>
        </w:rPr>
        <w:t>[</w:t>
      </w:r>
      <w:hyperlink w:anchor="_ENREF_22" w:tooltip="Strasser, 1982 #7" w:history="1">
        <w:r w:rsidR="00DF20CB">
          <w:rPr>
            <w:rFonts w:cs="Times New Roman"/>
            <w:noProof/>
            <w:szCs w:val="24"/>
          </w:rPr>
          <w:t>22</w:t>
        </w:r>
      </w:hyperlink>
      <w:r w:rsidR="00046F32">
        <w:rPr>
          <w:rFonts w:cs="Times New Roman"/>
          <w:noProof/>
          <w:szCs w:val="24"/>
        </w:rPr>
        <w:t>]</w:t>
      </w:r>
      <w:r w:rsidRPr="003272B7">
        <w:rPr>
          <w:rFonts w:cs="Times New Roman"/>
          <w:szCs w:val="24"/>
        </w:rPr>
        <w:fldChar w:fldCharType="end"/>
      </w:r>
      <w:r w:rsidRPr="003272B7">
        <w:rPr>
          <w:rFonts w:cs="Times New Roman"/>
          <w:szCs w:val="24"/>
        </w:rPr>
        <w:t xml:space="preserve">. The cladding thicknesses for the SiC and </w:t>
      </w:r>
      <w:r w:rsidR="00F4572D">
        <w:rPr>
          <w:rFonts w:cs="Times New Roman"/>
          <w:szCs w:val="24"/>
        </w:rPr>
        <w:t>Zircaloy</w:t>
      </w:r>
      <w:r w:rsidRPr="003272B7">
        <w:rPr>
          <w:rFonts w:cs="Times New Roman"/>
          <w:szCs w:val="24"/>
        </w:rPr>
        <w:t xml:space="preserve"> cases were kept at 571.5 μm, which represents a typical thickness for a Westinghouse PWR fuel rod. Although a broad range of alloys was initially considered, the subsequent calculations will focus on </w:t>
      </w:r>
      <w:r w:rsidR="00F4572D">
        <w:rPr>
          <w:rFonts w:cs="Times New Roman"/>
          <w:szCs w:val="24"/>
        </w:rPr>
        <w:t>Zircaloy</w:t>
      </w:r>
      <w:r w:rsidRPr="003272B7">
        <w:rPr>
          <w:rFonts w:cs="Times New Roman"/>
          <w:szCs w:val="24"/>
        </w:rPr>
        <w:t xml:space="preserve">, FeCrAl, 310SS, </w:t>
      </w:r>
      <w:r w:rsidR="004B73AF">
        <w:rPr>
          <w:rFonts w:cs="Times New Roman"/>
          <w:szCs w:val="24"/>
        </w:rPr>
        <w:t xml:space="preserve">and </w:t>
      </w:r>
      <w:proofErr w:type="gramStart"/>
      <w:r w:rsidR="004B73AF">
        <w:rPr>
          <w:rFonts w:cs="Times New Roman"/>
          <w:szCs w:val="24"/>
        </w:rPr>
        <w:t>SiC</w:t>
      </w:r>
      <w:proofErr w:type="gramEnd"/>
      <w:r w:rsidR="004B73AF">
        <w:rPr>
          <w:rFonts w:cs="Times New Roman"/>
          <w:szCs w:val="24"/>
        </w:rPr>
        <w:t xml:space="preserve"> as cladding materials. </w:t>
      </w:r>
    </w:p>
    <w:p w14:paraId="02B8F684" w14:textId="77777777" w:rsidR="007F2783" w:rsidRDefault="007F2783" w:rsidP="0091793B">
      <w:pPr>
        <w:spacing w:line="360" w:lineRule="auto"/>
        <w:jc w:val="both"/>
        <w:rPr>
          <w:rFonts w:cs="Times New Roman"/>
          <w:szCs w:val="24"/>
        </w:rPr>
      </w:pPr>
      <w:r w:rsidRPr="003272B7">
        <w:rPr>
          <w:rFonts w:cs="Times New Roman"/>
          <w:szCs w:val="24"/>
        </w:rPr>
        <w:t xml:space="preserve">Therefore, with these new geometric properties, enrichment was interpolated until an EOC value of 0.000 (+/- 0.001) was obtained from the respective k-infinity results. After multiple iterations, the enrichment and geometry combinations shown in Table </w:t>
      </w:r>
      <w:r w:rsidR="00F32DE9">
        <w:rPr>
          <w:rFonts w:cs="Times New Roman"/>
          <w:szCs w:val="24"/>
        </w:rPr>
        <w:t>XI</w:t>
      </w:r>
      <w:r w:rsidRPr="003272B7">
        <w:rPr>
          <w:rFonts w:cs="Times New Roman"/>
          <w:szCs w:val="24"/>
        </w:rPr>
        <w:t xml:space="preserve"> were used for the remaining neutronics calculations. For all cases, an outer rod diameter of 0.94996 cm was kept constant, therefore maintaining a pitch-to-rod ratio of 1.326 so that the thermal hydraulics in the PWR system would not be affected drastically if commercialized. </w:t>
      </w:r>
    </w:p>
    <w:p w14:paraId="0CD5DF0D" w14:textId="77777777" w:rsidR="003E4D27" w:rsidRPr="003272B7" w:rsidRDefault="003E4D27" w:rsidP="0091793B">
      <w:pPr>
        <w:spacing w:line="360" w:lineRule="auto"/>
        <w:jc w:val="both"/>
        <w:rPr>
          <w:rFonts w:cs="Times New Roman"/>
          <w:szCs w:val="24"/>
        </w:rPr>
      </w:pPr>
    </w:p>
    <w:p w14:paraId="03DAB8F1" w14:textId="77777777" w:rsidR="007F2783" w:rsidRPr="00B25C95" w:rsidRDefault="00B25C95" w:rsidP="003E4D27">
      <w:pPr>
        <w:rPr>
          <w:rFonts w:eastAsia="Times New Roman" w:cs="Times New Roman"/>
          <w:snapToGrid w:val="0"/>
          <w:szCs w:val="24"/>
        </w:rPr>
      </w:pPr>
      <w:bookmarkStart w:id="44" w:name="_Toc416993434"/>
      <w:r>
        <w:t xml:space="preserve">Table </w:t>
      </w:r>
      <w:fldSimple w:instr=" SEQ Table \* ROMAN ">
        <w:r w:rsidR="00EC7A3E">
          <w:rPr>
            <w:noProof/>
          </w:rPr>
          <w:t>XI</w:t>
        </w:r>
      </w:fldSimple>
      <w:r>
        <w:t xml:space="preserve">. </w:t>
      </w:r>
      <w:r w:rsidR="00CB65D8">
        <w:rPr>
          <w:rFonts w:cs="Times New Roman"/>
          <w:szCs w:val="24"/>
          <w:vertAlign w:val="superscript"/>
        </w:rPr>
        <w:t>235</w:t>
      </w:r>
      <w:r w:rsidR="00CB65D8">
        <w:rPr>
          <w:rFonts w:cs="Times New Roman"/>
          <w:szCs w:val="24"/>
        </w:rPr>
        <w:t>U</w:t>
      </w:r>
      <w:r w:rsidR="00CB65D8" w:rsidRPr="00256A01">
        <w:t xml:space="preserve"> </w:t>
      </w:r>
      <w:r w:rsidRPr="00256A01">
        <w:t>Enrichment Matching Cycle Length Requirements</w:t>
      </w:r>
      <w:bookmarkEnd w:id="44"/>
    </w:p>
    <w:tbl>
      <w:tblPr>
        <w:tblW w:w="5297" w:type="dxa"/>
        <w:jc w:val="center"/>
        <w:tblInd w:w="93" w:type="dxa"/>
        <w:tblLook w:val="04A0" w:firstRow="1" w:lastRow="0" w:firstColumn="1" w:lastColumn="0" w:noHBand="0" w:noVBand="1"/>
      </w:tblPr>
      <w:tblGrid>
        <w:gridCol w:w="1678"/>
        <w:gridCol w:w="1072"/>
        <w:gridCol w:w="2738"/>
      </w:tblGrid>
      <w:tr w:rsidR="007F2783" w:rsidRPr="003272B7" w14:paraId="373198E4" w14:textId="77777777" w:rsidTr="006342BC">
        <w:trPr>
          <w:trHeight w:val="311"/>
          <w:jc w:val="center"/>
        </w:trPr>
        <w:tc>
          <w:tcPr>
            <w:tcW w:w="1678" w:type="dxa"/>
            <w:tcBorders>
              <w:top w:val="single" w:sz="4" w:space="0" w:color="auto"/>
              <w:left w:val="nil"/>
              <w:bottom w:val="single" w:sz="4" w:space="0" w:color="auto"/>
              <w:right w:val="nil"/>
            </w:tcBorders>
            <w:shd w:val="clear" w:color="auto" w:fill="F2F2F2" w:themeFill="background1" w:themeFillShade="F2"/>
            <w:noWrap/>
            <w:vAlign w:val="center"/>
            <w:hideMark/>
          </w:tcPr>
          <w:p w14:paraId="78F59708" w14:textId="77777777" w:rsidR="007F2783" w:rsidRPr="003272B7" w:rsidRDefault="007F2783" w:rsidP="003E4D27">
            <w:pPr>
              <w:spacing w:after="0"/>
              <w:rPr>
                <w:rFonts w:eastAsia="Times New Roman" w:cs="Times New Roman"/>
                <w:color w:val="000000"/>
                <w:sz w:val="20"/>
                <w:szCs w:val="24"/>
              </w:rPr>
            </w:pPr>
          </w:p>
        </w:tc>
        <w:tc>
          <w:tcPr>
            <w:tcW w:w="881" w:type="dxa"/>
            <w:tcBorders>
              <w:top w:val="single" w:sz="4" w:space="0" w:color="auto"/>
              <w:left w:val="nil"/>
              <w:bottom w:val="single" w:sz="4" w:space="0" w:color="auto"/>
              <w:right w:val="nil"/>
            </w:tcBorders>
            <w:shd w:val="clear" w:color="auto" w:fill="F2F2F2" w:themeFill="background1" w:themeFillShade="F2"/>
            <w:noWrap/>
            <w:vAlign w:val="center"/>
            <w:hideMark/>
          </w:tcPr>
          <w:p w14:paraId="00B00646" w14:textId="77777777" w:rsidR="007F2783" w:rsidRPr="003272B7" w:rsidRDefault="007F2783" w:rsidP="003E4D27">
            <w:pPr>
              <w:spacing w:after="0"/>
              <w:rPr>
                <w:rFonts w:eastAsia="Times New Roman" w:cs="Times New Roman"/>
                <w:b/>
                <w:color w:val="000000"/>
                <w:sz w:val="20"/>
                <w:szCs w:val="24"/>
              </w:rPr>
            </w:pPr>
            <w:r w:rsidRPr="003272B7">
              <w:rPr>
                <w:rFonts w:eastAsia="Times New Roman" w:cs="Times New Roman"/>
                <w:b/>
                <w:color w:val="000000"/>
                <w:sz w:val="20"/>
                <w:szCs w:val="24"/>
              </w:rPr>
              <w:t>Cladding Thickness (μm)</w:t>
            </w:r>
          </w:p>
        </w:tc>
        <w:tc>
          <w:tcPr>
            <w:tcW w:w="2738" w:type="dxa"/>
            <w:tcBorders>
              <w:top w:val="single" w:sz="4" w:space="0" w:color="auto"/>
              <w:left w:val="nil"/>
              <w:bottom w:val="single" w:sz="4" w:space="0" w:color="auto"/>
              <w:right w:val="nil"/>
            </w:tcBorders>
            <w:shd w:val="clear" w:color="auto" w:fill="F2F2F2" w:themeFill="background1" w:themeFillShade="F2"/>
            <w:noWrap/>
            <w:vAlign w:val="center"/>
            <w:hideMark/>
          </w:tcPr>
          <w:p w14:paraId="7BED5B75" w14:textId="77777777" w:rsidR="007F2783" w:rsidRPr="003272B7" w:rsidRDefault="007F2783" w:rsidP="003E4D27">
            <w:pPr>
              <w:spacing w:after="0"/>
              <w:rPr>
                <w:rFonts w:eastAsia="Times New Roman" w:cs="Times New Roman"/>
                <w:b/>
                <w:color w:val="000000"/>
                <w:sz w:val="20"/>
                <w:szCs w:val="24"/>
              </w:rPr>
            </w:pPr>
            <w:r w:rsidRPr="003272B7">
              <w:rPr>
                <w:rFonts w:eastAsia="Times New Roman" w:cs="Times New Roman"/>
                <w:b/>
                <w:color w:val="000000"/>
                <w:sz w:val="20"/>
                <w:szCs w:val="24"/>
              </w:rPr>
              <w:t xml:space="preserve">Required </w:t>
            </w:r>
            <w:r w:rsidRPr="003272B7">
              <w:rPr>
                <w:rFonts w:eastAsia="Times New Roman" w:cs="Times New Roman"/>
                <w:b/>
                <w:color w:val="000000"/>
                <w:sz w:val="20"/>
                <w:szCs w:val="24"/>
                <w:vertAlign w:val="superscript"/>
              </w:rPr>
              <w:t>235</w:t>
            </w:r>
            <w:r w:rsidRPr="003272B7">
              <w:rPr>
                <w:rFonts w:eastAsia="Times New Roman" w:cs="Times New Roman"/>
                <w:b/>
                <w:color w:val="000000"/>
                <w:sz w:val="20"/>
                <w:szCs w:val="24"/>
              </w:rPr>
              <w:t xml:space="preserve">U % </w:t>
            </w:r>
          </w:p>
          <w:p w14:paraId="5BDA81E7" w14:textId="77777777" w:rsidR="007F2783" w:rsidRPr="003272B7" w:rsidRDefault="007F2783" w:rsidP="003E4D27">
            <w:pPr>
              <w:spacing w:after="0"/>
              <w:rPr>
                <w:rFonts w:eastAsia="Times New Roman" w:cs="Times New Roman"/>
                <w:b/>
                <w:color w:val="000000"/>
                <w:sz w:val="20"/>
                <w:szCs w:val="24"/>
              </w:rPr>
            </w:pPr>
            <w:r w:rsidRPr="003272B7">
              <w:rPr>
                <w:rFonts w:eastAsia="Times New Roman" w:cs="Times New Roman"/>
                <w:b/>
                <w:color w:val="000000"/>
                <w:sz w:val="20"/>
                <w:szCs w:val="24"/>
              </w:rPr>
              <w:t xml:space="preserve">Enrichment for Equivalent </w:t>
            </w:r>
          </w:p>
          <w:p w14:paraId="68B65D99" w14:textId="77777777" w:rsidR="007F2783" w:rsidRPr="003272B7" w:rsidRDefault="007F2783" w:rsidP="003E4D27">
            <w:pPr>
              <w:spacing w:after="0"/>
              <w:rPr>
                <w:rFonts w:eastAsia="Times New Roman" w:cs="Times New Roman"/>
                <w:b/>
                <w:color w:val="000000"/>
                <w:sz w:val="20"/>
                <w:szCs w:val="24"/>
              </w:rPr>
            </w:pPr>
            <w:r w:rsidRPr="003272B7">
              <w:rPr>
                <w:rFonts w:eastAsia="Times New Roman" w:cs="Times New Roman"/>
                <w:b/>
                <w:color w:val="000000"/>
                <w:sz w:val="20"/>
                <w:szCs w:val="24"/>
              </w:rPr>
              <w:t>EOC Value (0.000)</w:t>
            </w:r>
          </w:p>
        </w:tc>
      </w:tr>
      <w:tr w:rsidR="007F2783" w:rsidRPr="003272B7" w14:paraId="7165BB90" w14:textId="77777777" w:rsidTr="006342BC">
        <w:trPr>
          <w:trHeight w:val="311"/>
          <w:jc w:val="center"/>
        </w:trPr>
        <w:tc>
          <w:tcPr>
            <w:tcW w:w="1678" w:type="dxa"/>
            <w:tcBorders>
              <w:top w:val="single" w:sz="4" w:space="0" w:color="auto"/>
              <w:left w:val="nil"/>
              <w:bottom w:val="nil"/>
              <w:right w:val="nil"/>
            </w:tcBorders>
            <w:shd w:val="clear" w:color="auto" w:fill="auto"/>
            <w:noWrap/>
            <w:vAlign w:val="center"/>
          </w:tcPr>
          <w:p w14:paraId="04C3224C" w14:textId="77777777" w:rsidR="007F2783" w:rsidRPr="003272B7" w:rsidRDefault="00F4572D" w:rsidP="003E4D27">
            <w:pPr>
              <w:spacing w:after="0"/>
              <w:rPr>
                <w:rFonts w:eastAsia="Times New Roman" w:cs="Times New Roman"/>
                <w:b/>
                <w:color w:val="000000"/>
                <w:sz w:val="20"/>
                <w:szCs w:val="24"/>
              </w:rPr>
            </w:pPr>
            <w:r>
              <w:rPr>
                <w:rFonts w:eastAsia="Times New Roman" w:cs="Times New Roman"/>
                <w:b/>
                <w:color w:val="000000"/>
                <w:sz w:val="20"/>
                <w:szCs w:val="24"/>
              </w:rPr>
              <w:t>Zircaloy</w:t>
            </w:r>
            <w:r w:rsidR="007F2783" w:rsidRPr="003272B7">
              <w:rPr>
                <w:rFonts w:eastAsia="Times New Roman" w:cs="Times New Roman"/>
                <w:b/>
                <w:color w:val="000000"/>
                <w:sz w:val="20"/>
                <w:szCs w:val="24"/>
              </w:rPr>
              <w:t xml:space="preserve"> (Standard Fuel)</w:t>
            </w:r>
          </w:p>
        </w:tc>
        <w:tc>
          <w:tcPr>
            <w:tcW w:w="881" w:type="dxa"/>
            <w:tcBorders>
              <w:top w:val="single" w:sz="4" w:space="0" w:color="auto"/>
              <w:left w:val="nil"/>
              <w:bottom w:val="nil"/>
              <w:right w:val="nil"/>
            </w:tcBorders>
            <w:shd w:val="clear" w:color="auto" w:fill="auto"/>
            <w:noWrap/>
            <w:vAlign w:val="center"/>
          </w:tcPr>
          <w:p w14:paraId="4D076B51" w14:textId="77777777" w:rsidR="007F2783" w:rsidRPr="003272B7" w:rsidRDefault="007F2783" w:rsidP="003E4D27">
            <w:pPr>
              <w:spacing w:after="0"/>
              <w:rPr>
                <w:rFonts w:eastAsia="Times New Roman" w:cs="Times New Roman"/>
                <w:color w:val="000000"/>
                <w:sz w:val="20"/>
                <w:szCs w:val="24"/>
              </w:rPr>
            </w:pPr>
            <w:r w:rsidRPr="003272B7">
              <w:rPr>
                <w:rFonts w:eastAsia="Times New Roman" w:cs="Times New Roman"/>
                <w:color w:val="000000"/>
                <w:sz w:val="20"/>
                <w:szCs w:val="24"/>
              </w:rPr>
              <w:t>571.5</w:t>
            </w:r>
          </w:p>
        </w:tc>
        <w:tc>
          <w:tcPr>
            <w:tcW w:w="2738" w:type="dxa"/>
            <w:tcBorders>
              <w:top w:val="single" w:sz="4" w:space="0" w:color="auto"/>
              <w:left w:val="nil"/>
              <w:bottom w:val="nil"/>
              <w:right w:val="nil"/>
            </w:tcBorders>
            <w:shd w:val="clear" w:color="auto" w:fill="auto"/>
            <w:noWrap/>
            <w:vAlign w:val="center"/>
          </w:tcPr>
          <w:p w14:paraId="30ACD4A0" w14:textId="77777777" w:rsidR="007F2783" w:rsidRPr="003272B7" w:rsidRDefault="007F2783" w:rsidP="003E4D27">
            <w:pPr>
              <w:spacing w:after="0"/>
              <w:rPr>
                <w:rFonts w:eastAsia="Times New Roman" w:cs="Times New Roman"/>
                <w:color w:val="000000"/>
                <w:sz w:val="20"/>
                <w:szCs w:val="24"/>
              </w:rPr>
            </w:pPr>
            <w:r w:rsidRPr="003272B7">
              <w:rPr>
                <w:rFonts w:eastAsia="Times New Roman" w:cs="Times New Roman"/>
                <w:color w:val="000000"/>
                <w:sz w:val="20"/>
                <w:szCs w:val="24"/>
              </w:rPr>
              <w:t>4.90</w:t>
            </w:r>
          </w:p>
        </w:tc>
      </w:tr>
      <w:tr w:rsidR="007F2783" w:rsidRPr="003272B7" w14:paraId="6EE59164" w14:textId="77777777" w:rsidTr="006342BC">
        <w:trPr>
          <w:trHeight w:val="311"/>
          <w:jc w:val="center"/>
        </w:trPr>
        <w:tc>
          <w:tcPr>
            <w:tcW w:w="1678" w:type="dxa"/>
            <w:tcBorders>
              <w:top w:val="nil"/>
              <w:left w:val="nil"/>
              <w:bottom w:val="nil"/>
              <w:right w:val="nil"/>
            </w:tcBorders>
            <w:shd w:val="clear" w:color="auto" w:fill="auto"/>
            <w:noWrap/>
            <w:vAlign w:val="center"/>
            <w:hideMark/>
          </w:tcPr>
          <w:p w14:paraId="66D9816A" w14:textId="77777777" w:rsidR="007F2783" w:rsidRPr="003272B7" w:rsidRDefault="007F2783" w:rsidP="003E4D27">
            <w:pPr>
              <w:spacing w:after="0"/>
              <w:rPr>
                <w:rFonts w:eastAsia="Times New Roman" w:cs="Times New Roman"/>
                <w:b/>
                <w:color w:val="000000"/>
                <w:sz w:val="20"/>
                <w:szCs w:val="24"/>
              </w:rPr>
            </w:pPr>
            <w:r w:rsidRPr="003272B7">
              <w:rPr>
                <w:rFonts w:eastAsia="Times New Roman" w:cs="Times New Roman"/>
                <w:b/>
                <w:color w:val="000000"/>
                <w:sz w:val="20"/>
                <w:szCs w:val="24"/>
              </w:rPr>
              <w:t>FeCrAl</w:t>
            </w:r>
          </w:p>
        </w:tc>
        <w:tc>
          <w:tcPr>
            <w:tcW w:w="881" w:type="dxa"/>
            <w:tcBorders>
              <w:top w:val="nil"/>
              <w:left w:val="nil"/>
              <w:bottom w:val="nil"/>
              <w:right w:val="nil"/>
            </w:tcBorders>
            <w:shd w:val="clear" w:color="auto" w:fill="auto"/>
            <w:noWrap/>
            <w:vAlign w:val="center"/>
            <w:hideMark/>
          </w:tcPr>
          <w:p w14:paraId="4146B452" w14:textId="77777777" w:rsidR="007F2783" w:rsidRPr="003272B7" w:rsidRDefault="007F2783" w:rsidP="003E4D27">
            <w:pPr>
              <w:spacing w:after="0"/>
              <w:rPr>
                <w:rFonts w:eastAsia="Times New Roman" w:cs="Times New Roman"/>
                <w:color w:val="000000"/>
                <w:sz w:val="20"/>
                <w:szCs w:val="24"/>
              </w:rPr>
            </w:pPr>
            <w:r w:rsidRPr="003272B7">
              <w:rPr>
                <w:rFonts w:eastAsia="Times New Roman" w:cs="Times New Roman"/>
                <w:color w:val="000000"/>
                <w:sz w:val="20"/>
                <w:szCs w:val="24"/>
              </w:rPr>
              <w:t>350.0</w:t>
            </w:r>
          </w:p>
        </w:tc>
        <w:tc>
          <w:tcPr>
            <w:tcW w:w="2738" w:type="dxa"/>
            <w:tcBorders>
              <w:top w:val="nil"/>
              <w:left w:val="nil"/>
              <w:bottom w:val="nil"/>
              <w:right w:val="nil"/>
            </w:tcBorders>
            <w:shd w:val="clear" w:color="auto" w:fill="auto"/>
            <w:noWrap/>
            <w:vAlign w:val="center"/>
            <w:hideMark/>
          </w:tcPr>
          <w:p w14:paraId="50808E72" w14:textId="77777777" w:rsidR="007F2783" w:rsidRPr="003272B7" w:rsidRDefault="007F2783" w:rsidP="003E4D27">
            <w:pPr>
              <w:spacing w:after="0"/>
              <w:rPr>
                <w:rFonts w:eastAsia="Times New Roman" w:cs="Times New Roman"/>
                <w:color w:val="000000"/>
                <w:sz w:val="20"/>
                <w:szCs w:val="24"/>
              </w:rPr>
            </w:pPr>
            <w:r w:rsidRPr="003272B7">
              <w:rPr>
                <w:rFonts w:eastAsia="Times New Roman" w:cs="Times New Roman"/>
                <w:color w:val="000000"/>
                <w:sz w:val="20"/>
                <w:szCs w:val="24"/>
              </w:rPr>
              <w:t>5.06</w:t>
            </w:r>
          </w:p>
        </w:tc>
      </w:tr>
      <w:tr w:rsidR="007F2783" w:rsidRPr="003272B7" w14:paraId="14BE696A" w14:textId="77777777" w:rsidTr="006342BC">
        <w:trPr>
          <w:trHeight w:val="311"/>
          <w:jc w:val="center"/>
        </w:trPr>
        <w:tc>
          <w:tcPr>
            <w:tcW w:w="1678" w:type="dxa"/>
            <w:tcBorders>
              <w:top w:val="nil"/>
              <w:left w:val="nil"/>
              <w:bottom w:val="nil"/>
              <w:right w:val="nil"/>
            </w:tcBorders>
            <w:shd w:val="clear" w:color="auto" w:fill="auto"/>
            <w:noWrap/>
            <w:vAlign w:val="center"/>
            <w:hideMark/>
          </w:tcPr>
          <w:p w14:paraId="78078B55" w14:textId="77777777" w:rsidR="007F2783" w:rsidRPr="003272B7" w:rsidRDefault="007F2783" w:rsidP="003E4D27">
            <w:pPr>
              <w:spacing w:after="0"/>
              <w:rPr>
                <w:rFonts w:eastAsia="Times New Roman" w:cs="Times New Roman"/>
                <w:b/>
                <w:sz w:val="20"/>
                <w:szCs w:val="24"/>
              </w:rPr>
            </w:pPr>
            <w:r w:rsidRPr="003272B7">
              <w:rPr>
                <w:rFonts w:eastAsia="Times New Roman" w:cs="Times New Roman"/>
                <w:b/>
                <w:sz w:val="20"/>
                <w:szCs w:val="24"/>
              </w:rPr>
              <w:t>SiC</w:t>
            </w:r>
          </w:p>
        </w:tc>
        <w:tc>
          <w:tcPr>
            <w:tcW w:w="881" w:type="dxa"/>
            <w:tcBorders>
              <w:top w:val="nil"/>
              <w:left w:val="nil"/>
              <w:bottom w:val="nil"/>
              <w:right w:val="nil"/>
            </w:tcBorders>
            <w:shd w:val="clear" w:color="auto" w:fill="auto"/>
            <w:noWrap/>
            <w:vAlign w:val="center"/>
            <w:hideMark/>
          </w:tcPr>
          <w:p w14:paraId="54792C32" w14:textId="77777777" w:rsidR="007F2783" w:rsidRPr="003272B7" w:rsidRDefault="007F2783" w:rsidP="003E4D27">
            <w:pPr>
              <w:spacing w:after="0"/>
              <w:rPr>
                <w:rFonts w:eastAsia="Times New Roman" w:cs="Times New Roman"/>
                <w:sz w:val="20"/>
                <w:szCs w:val="24"/>
              </w:rPr>
            </w:pPr>
            <w:r w:rsidRPr="003272B7">
              <w:rPr>
                <w:rFonts w:eastAsia="Times New Roman" w:cs="Times New Roman"/>
                <w:sz w:val="20"/>
                <w:szCs w:val="24"/>
              </w:rPr>
              <w:t>571.5</w:t>
            </w:r>
          </w:p>
        </w:tc>
        <w:tc>
          <w:tcPr>
            <w:tcW w:w="2738" w:type="dxa"/>
            <w:tcBorders>
              <w:top w:val="nil"/>
              <w:left w:val="nil"/>
              <w:bottom w:val="nil"/>
              <w:right w:val="nil"/>
            </w:tcBorders>
            <w:shd w:val="clear" w:color="auto" w:fill="auto"/>
            <w:noWrap/>
            <w:vAlign w:val="center"/>
            <w:hideMark/>
          </w:tcPr>
          <w:p w14:paraId="47A15ECB" w14:textId="77777777" w:rsidR="007F2783" w:rsidRPr="003272B7" w:rsidRDefault="007F2783" w:rsidP="003E4D27">
            <w:pPr>
              <w:spacing w:after="0"/>
              <w:rPr>
                <w:rFonts w:eastAsia="Times New Roman" w:cs="Times New Roman"/>
                <w:sz w:val="20"/>
                <w:szCs w:val="24"/>
              </w:rPr>
            </w:pPr>
            <w:r w:rsidRPr="003272B7">
              <w:rPr>
                <w:rFonts w:eastAsia="Times New Roman" w:cs="Times New Roman"/>
                <w:sz w:val="20"/>
                <w:szCs w:val="24"/>
              </w:rPr>
              <w:t>4.81</w:t>
            </w:r>
          </w:p>
        </w:tc>
      </w:tr>
      <w:tr w:rsidR="007F2783" w:rsidRPr="003272B7" w14:paraId="3A9B1875" w14:textId="77777777" w:rsidTr="006342BC">
        <w:trPr>
          <w:trHeight w:val="311"/>
          <w:jc w:val="center"/>
        </w:trPr>
        <w:tc>
          <w:tcPr>
            <w:tcW w:w="1678" w:type="dxa"/>
            <w:tcBorders>
              <w:top w:val="nil"/>
              <w:left w:val="nil"/>
              <w:bottom w:val="single" w:sz="4" w:space="0" w:color="auto"/>
              <w:right w:val="nil"/>
            </w:tcBorders>
            <w:shd w:val="clear" w:color="auto" w:fill="auto"/>
            <w:noWrap/>
            <w:vAlign w:val="center"/>
          </w:tcPr>
          <w:p w14:paraId="67DECEEA" w14:textId="77777777" w:rsidR="007F2783" w:rsidRPr="003272B7" w:rsidRDefault="007F2783" w:rsidP="003E4D27">
            <w:pPr>
              <w:spacing w:after="0"/>
              <w:rPr>
                <w:rFonts w:eastAsia="Times New Roman" w:cs="Times New Roman"/>
                <w:b/>
                <w:sz w:val="20"/>
                <w:szCs w:val="24"/>
              </w:rPr>
            </w:pPr>
            <w:r w:rsidRPr="003272B7">
              <w:rPr>
                <w:rFonts w:eastAsia="Times New Roman" w:cs="Times New Roman"/>
                <w:b/>
                <w:sz w:val="20"/>
                <w:szCs w:val="24"/>
              </w:rPr>
              <w:t>310SS</w:t>
            </w:r>
          </w:p>
        </w:tc>
        <w:tc>
          <w:tcPr>
            <w:tcW w:w="881" w:type="dxa"/>
            <w:tcBorders>
              <w:top w:val="nil"/>
              <w:left w:val="nil"/>
              <w:bottom w:val="single" w:sz="4" w:space="0" w:color="auto"/>
              <w:right w:val="nil"/>
            </w:tcBorders>
            <w:shd w:val="clear" w:color="auto" w:fill="auto"/>
            <w:noWrap/>
            <w:vAlign w:val="center"/>
          </w:tcPr>
          <w:p w14:paraId="69B4C4D1" w14:textId="77777777" w:rsidR="007F2783" w:rsidRPr="003272B7" w:rsidRDefault="007F2783" w:rsidP="003E4D27">
            <w:pPr>
              <w:spacing w:after="0"/>
              <w:rPr>
                <w:rFonts w:eastAsia="Times New Roman" w:cs="Times New Roman"/>
                <w:sz w:val="20"/>
                <w:szCs w:val="24"/>
              </w:rPr>
            </w:pPr>
            <w:r w:rsidRPr="003272B7">
              <w:rPr>
                <w:rFonts w:eastAsia="Times New Roman" w:cs="Times New Roman"/>
                <w:sz w:val="20"/>
                <w:szCs w:val="24"/>
              </w:rPr>
              <w:t>350.0</w:t>
            </w:r>
          </w:p>
        </w:tc>
        <w:tc>
          <w:tcPr>
            <w:tcW w:w="2738" w:type="dxa"/>
            <w:tcBorders>
              <w:top w:val="nil"/>
              <w:left w:val="nil"/>
              <w:bottom w:val="single" w:sz="4" w:space="0" w:color="auto"/>
              <w:right w:val="nil"/>
            </w:tcBorders>
            <w:shd w:val="clear" w:color="auto" w:fill="auto"/>
            <w:noWrap/>
            <w:vAlign w:val="center"/>
          </w:tcPr>
          <w:p w14:paraId="56EF6FA6" w14:textId="77777777" w:rsidR="007F2783" w:rsidRPr="003272B7" w:rsidRDefault="007F2783" w:rsidP="003E4D27">
            <w:pPr>
              <w:spacing w:after="0"/>
              <w:rPr>
                <w:rFonts w:eastAsia="Times New Roman" w:cs="Times New Roman"/>
                <w:sz w:val="20"/>
                <w:szCs w:val="24"/>
              </w:rPr>
            </w:pPr>
            <w:r w:rsidRPr="003272B7">
              <w:rPr>
                <w:rFonts w:eastAsia="Times New Roman" w:cs="Times New Roman"/>
                <w:sz w:val="20"/>
                <w:szCs w:val="24"/>
              </w:rPr>
              <w:t>5.39</w:t>
            </w:r>
          </w:p>
        </w:tc>
      </w:tr>
    </w:tbl>
    <w:p w14:paraId="6B062295" w14:textId="77777777" w:rsidR="003E4D27" w:rsidRDefault="003E4D27" w:rsidP="0091793B">
      <w:pPr>
        <w:spacing w:line="360" w:lineRule="auto"/>
        <w:rPr>
          <w:rFonts w:cs="Times New Roman"/>
          <w:szCs w:val="24"/>
        </w:rPr>
      </w:pPr>
    </w:p>
    <w:p w14:paraId="6569A56A" w14:textId="77777777" w:rsidR="003E4D27" w:rsidRPr="003272B7" w:rsidRDefault="003E4D27" w:rsidP="0091793B">
      <w:pPr>
        <w:spacing w:line="360" w:lineRule="auto"/>
        <w:rPr>
          <w:rFonts w:cs="Times New Roman"/>
          <w:szCs w:val="24"/>
        </w:rPr>
      </w:pPr>
    </w:p>
    <w:p w14:paraId="20FBB3F1" w14:textId="77777777" w:rsidR="007F2783" w:rsidRPr="004B73AF" w:rsidRDefault="007F2783" w:rsidP="0091793B">
      <w:pPr>
        <w:spacing w:line="360" w:lineRule="auto"/>
        <w:jc w:val="both"/>
        <w:rPr>
          <w:rFonts w:cs="Times New Roman"/>
          <w:szCs w:val="24"/>
        </w:rPr>
      </w:pPr>
      <w:r w:rsidRPr="003272B7">
        <w:rPr>
          <w:rFonts w:cs="Times New Roman"/>
          <w:szCs w:val="24"/>
        </w:rPr>
        <w:t xml:space="preserve">Cladding materials 310SS and FeCrAl were modeled with an increased pellet diameter and reduced cladding thickness, while maintaining a constant pellet-clad gap thickness. This allows for increased heavy metal loading, thus reducing the </w:t>
      </w:r>
      <w:r w:rsidRPr="003272B7">
        <w:rPr>
          <w:rFonts w:cs="Times New Roman"/>
          <w:szCs w:val="24"/>
          <w:vertAlign w:val="superscript"/>
        </w:rPr>
        <w:t>235</w:t>
      </w:r>
      <w:r w:rsidRPr="003272B7">
        <w:rPr>
          <w:rFonts w:cs="Times New Roman"/>
          <w:szCs w:val="24"/>
        </w:rPr>
        <w:t xml:space="preserve">U enrichment required to match PWR cycle lengths when using </w:t>
      </w:r>
      <w:r w:rsidR="00F4572D">
        <w:rPr>
          <w:rFonts w:cs="Times New Roman"/>
          <w:szCs w:val="24"/>
        </w:rPr>
        <w:t>Zircaloy</w:t>
      </w:r>
      <w:r w:rsidRPr="003272B7">
        <w:rPr>
          <w:rFonts w:cs="Times New Roman"/>
          <w:szCs w:val="24"/>
        </w:rPr>
        <w:t>. Because of reduced neutron absorption in the clad for SiC, a reduction in enrichment below 4.9% was possible while matching</w:t>
      </w:r>
      <w:r w:rsidR="004B73AF">
        <w:rPr>
          <w:rFonts w:cs="Times New Roman"/>
          <w:szCs w:val="24"/>
        </w:rPr>
        <w:t xml:space="preserve"> the reference EOC k</w:t>
      </w:r>
      <w:r w:rsidR="004B73AF">
        <w:rPr>
          <w:rFonts w:cs="Times New Roman"/>
          <w:szCs w:val="24"/>
        </w:rPr>
        <w:noBreakHyphen/>
        <w:t xml:space="preserve">infinity. </w:t>
      </w:r>
    </w:p>
    <w:p w14:paraId="7332F59F" w14:textId="77777777" w:rsidR="007F2783" w:rsidRDefault="007F2783" w:rsidP="0091793B">
      <w:pPr>
        <w:spacing w:line="360" w:lineRule="auto"/>
        <w:jc w:val="both"/>
        <w:rPr>
          <w:rFonts w:cs="Times New Roman"/>
          <w:szCs w:val="24"/>
        </w:rPr>
      </w:pPr>
      <w:r w:rsidRPr="003272B7">
        <w:rPr>
          <w:rFonts w:cs="Times New Roman"/>
          <w:szCs w:val="24"/>
        </w:rPr>
        <w:t xml:space="preserve">In addition to interpolating enrichment with a fixed cladding thickness, the necessary cladding thickness for each material to achieve identical EOC k-infinity to that of the base case was also </w:t>
      </w:r>
      <w:r w:rsidRPr="003272B7">
        <w:rPr>
          <w:rFonts w:cs="Times New Roman"/>
          <w:szCs w:val="24"/>
        </w:rPr>
        <w:lastRenderedPageBreak/>
        <w:t>interpolated by fixing the enrichment of the UO</w:t>
      </w:r>
      <w:r w:rsidRPr="003272B7">
        <w:rPr>
          <w:rFonts w:cs="Times New Roman"/>
          <w:szCs w:val="24"/>
        </w:rPr>
        <w:softHyphen/>
      </w:r>
      <w:r w:rsidRPr="003272B7">
        <w:rPr>
          <w:rFonts w:cs="Times New Roman"/>
          <w:szCs w:val="24"/>
          <w:vertAlign w:val="subscript"/>
        </w:rPr>
        <w:t>2</w:t>
      </w:r>
      <w:r w:rsidRPr="003272B7">
        <w:rPr>
          <w:rFonts w:cs="Times New Roman"/>
          <w:szCs w:val="24"/>
        </w:rPr>
        <w:t xml:space="preserve"> fuel at 4.9% </w:t>
      </w:r>
      <w:r w:rsidRPr="003272B7">
        <w:rPr>
          <w:rFonts w:cs="Times New Roman"/>
          <w:szCs w:val="24"/>
          <w:vertAlign w:val="superscript"/>
        </w:rPr>
        <w:t>235</w:t>
      </w:r>
      <w:r w:rsidR="00F32DE9">
        <w:rPr>
          <w:rFonts w:cs="Times New Roman"/>
          <w:szCs w:val="24"/>
        </w:rPr>
        <w:t>U. Table X</w:t>
      </w:r>
      <w:r w:rsidR="00B55AFC">
        <w:rPr>
          <w:rFonts w:cs="Times New Roman"/>
          <w:szCs w:val="24"/>
        </w:rPr>
        <w:t>I</w:t>
      </w:r>
      <w:r w:rsidRPr="003272B7">
        <w:rPr>
          <w:rFonts w:cs="Times New Roman"/>
          <w:szCs w:val="24"/>
        </w:rPr>
        <w:t>I provides the cladding thicknesses required for a 0.000 (+/- 0.001) EOC value. The amount of clad thinning presented in the following table is done purely on a neutronics basis to match lifetime requirements and does not account for the thermo-mechanical fuel performance constraints of the cladding concepts (e.g., maintaining cladding</w:t>
      </w:r>
      <w:r w:rsidR="00BC5FCA">
        <w:rPr>
          <w:rFonts w:cs="Times New Roman"/>
          <w:szCs w:val="24"/>
        </w:rPr>
        <w:t xml:space="preserve"> integrity during operations). </w:t>
      </w:r>
    </w:p>
    <w:p w14:paraId="0505C323" w14:textId="77777777" w:rsidR="003E4D27" w:rsidRDefault="003E4D27" w:rsidP="0091793B">
      <w:pPr>
        <w:spacing w:line="360" w:lineRule="auto"/>
        <w:jc w:val="both"/>
        <w:rPr>
          <w:rFonts w:cs="Times New Roman"/>
          <w:szCs w:val="24"/>
        </w:rPr>
      </w:pPr>
    </w:p>
    <w:p w14:paraId="491BB842" w14:textId="77777777" w:rsidR="007F2783" w:rsidRPr="003272B7" w:rsidRDefault="00B25C95" w:rsidP="003E4D27">
      <w:pPr>
        <w:rPr>
          <w:rFonts w:eastAsia="Times New Roman" w:cs="Times New Roman"/>
          <w:b/>
          <w:snapToGrid w:val="0"/>
          <w:szCs w:val="24"/>
        </w:rPr>
      </w:pPr>
      <w:bookmarkStart w:id="45" w:name="_Toc416993435"/>
      <w:r>
        <w:t xml:space="preserve">Table </w:t>
      </w:r>
      <w:fldSimple w:instr=" SEQ Table \* ROMAN ">
        <w:r w:rsidR="00EC7A3E">
          <w:rPr>
            <w:noProof/>
          </w:rPr>
          <w:t>XII</w:t>
        </w:r>
      </w:fldSimple>
      <w:r>
        <w:t xml:space="preserve">. </w:t>
      </w:r>
      <w:r w:rsidRPr="00D14918">
        <w:t>Cladding Thickness Matching Cycle Length Requirements</w:t>
      </w:r>
      <w:bookmarkEnd w:id="45"/>
    </w:p>
    <w:tbl>
      <w:tblPr>
        <w:tblW w:w="5282" w:type="dxa"/>
        <w:jc w:val="center"/>
        <w:tblInd w:w="93" w:type="dxa"/>
        <w:tblLook w:val="04A0" w:firstRow="1" w:lastRow="0" w:firstColumn="1" w:lastColumn="0" w:noHBand="0" w:noVBand="1"/>
      </w:tblPr>
      <w:tblGrid>
        <w:gridCol w:w="1635"/>
        <w:gridCol w:w="1239"/>
        <w:gridCol w:w="2408"/>
      </w:tblGrid>
      <w:tr w:rsidR="007F2783" w:rsidRPr="003272B7" w14:paraId="39E1E241" w14:textId="77777777" w:rsidTr="00B25C95">
        <w:trPr>
          <w:trHeight w:val="315"/>
          <w:jc w:val="center"/>
        </w:trPr>
        <w:tc>
          <w:tcPr>
            <w:tcW w:w="1635" w:type="dxa"/>
            <w:tcBorders>
              <w:top w:val="single" w:sz="4" w:space="0" w:color="auto"/>
              <w:left w:val="nil"/>
              <w:bottom w:val="single" w:sz="4" w:space="0" w:color="auto"/>
              <w:right w:val="nil"/>
            </w:tcBorders>
            <w:shd w:val="clear" w:color="auto" w:fill="F2F2F2" w:themeFill="background1" w:themeFillShade="F2"/>
            <w:noWrap/>
            <w:vAlign w:val="bottom"/>
            <w:hideMark/>
          </w:tcPr>
          <w:p w14:paraId="47788BB3" w14:textId="77777777" w:rsidR="007F2783" w:rsidRPr="003272B7" w:rsidRDefault="007F2783" w:rsidP="003E4D27">
            <w:pPr>
              <w:spacing w:after="0"/>
              <w:rPr>
                <w:rFonts w:eastAsia="Times New Roman" w:cs="Times New Roman"/>
                <w:color w:val="000000"/>
                <w:sz w:val="20"/>
                <w:szCs w:val="18"/>
              </w:rPr>
            </w:pPr>
          </w:p>
        </w:tc>
        <w:tc>
          <w:tcPr>
            <w:tcW w:w="1239" w:type="dxa"/>
            <w:tcBorders>
              <w:top w:val="single" w:sz="4" w:space="0" w:color="auto"/>
              <w:left w:val="nil"/>
              <w:bottom w:val="single" w:sz="4" w:space="0" w:color="auto"/>
              <w:right w:val="nil"/>
            </w:tcBorders>
            <w:shd w:val="clear" w:color="auto" w:fill="F2F2F2" w:themeFill="background1" w:themeFillShade="F2"/>
            <w:noWrap/>
            <w:vAlign w:val="center"/>
            <w:hideMark/>
          </w:tcPr>
          <w:p w14:paraId="7694360E" w14:textId="77777777" w:rsidR="007F2783" w:rsidRPr="003272B7" w:rsidRDefault="007F2783" w:rsidP="003E4D27">
            <w:pPr>
              <w:spacing w:after="0"/>
              <w:rPr>
                <w:rFonts w:eastAsia="Times New Roman" w:cs="Times New Roman"/>
                <w:b/>
                <w:color w:val="000000"/>
                <w:sz w:val="20"/>
                <w:szCs w:val="18"/>
              </w:rPr>
            </w:pPr>
            <w:r w:rsidRPr="003272B7">
              <w:rPr>
                <w:rFonts w:eastAsia="Times New Roman" w:cs="Times New Roman"/>
                <w:b/>
                <w:color w:val="000000"/>
                <w:sz w:val="20"/>
                <w:szCs w:val="18"/>
                <w:vertAlign w:val="superscript"/>
              </w:rPr>
              <w:t>235</w:t>
            </w:r>
            <w:r w:rsidRPr="003272B7">
              <w:rPr>
                <w:rFonts w:eastAsia="Times New Roman" w:cs="Times New Roman"/>
                <w:b/>
                <w:color w:val="000000"/>
                <w:sz w:val="20"/>
                <w:szCs w:val="18"/>
              </w:rPr>
              <w:t>U % Enrichment</w:t>
            </w:r>
          </w:p>
        </w:tc>
        <w:tc>
          <w:tcPr>
            <w:tcW w:w="2408" w:type="dxa"/>
            <w:tcBorders>
              <w:top w:val="single" w:sz="4" w:space="0" w:color="auto"/>
              <w:left w:val="nil"/>
              <w:bottom w:val="single" w:sz="4" w:space="0" w:color="auto"/>
              <w:right w:val="nil"/>
            </w:tcBorders>
            <w:shd w:val="clear" w:color="auto" w:fill="F2F2F2" w:themeFill="background1" w:themeFillShade="F2"/>
            <w:noWrap/>
            <w:vAlign w:val="bottom"/>
            <w:hideMark/>
          </w:tcPr>
          <w:p w14:paraId="2EEAA3BC" w14:textId="77777777" w:rsidR="007F2783" w:rsidRPr="003272B7" w:rsidRDefault="007F2783" w:rsidP="003E4D27">
            <w:pPr>
              <w:spacing w:after="0"/>
              <w:rPr>
                <w:rFonts w:eastAsia="Times New Roman" w:cs="Times New Roman"/>
                <w:b/>
                <w:color w:val="000000"/>
                <w:sz w:val="20"/>
                <w:szCs w:val="18"/>
              </w:rPr>
            </w:pPr>
            <w:r w:rsidRPr="003272B7">
              <w:rPr>
                <w:rFonts w:eastAsia="Times New Roman" w:cs="Times New Roman"/>
                <w:b/>
                <w:color w:val="000000"/>
                <w:sz w:val="20"/>
                <w:szCs w:val="18"/>
              </w:rPr>
              <w:t xml:space="preserve">Cladding Thickness (μm) Required for Equivalent </w:t>
            </w:r>
          </w:p>
          <w:p w14:paraId="7A982575" w14:textId="77777777" w:rsidR="007F2783" w:rsidRPr="003272B7" w:rsidRDefault="007F2783" w:rsidP="003E4D27">
            <w:pPr>
              <w:spacing w:after="0"/>
              <w:rPr>
                <w:rFonts w:eastAsia="Times New Roman" w:cs="Times New Roman"/>
                <w:b/>
                <w:color w:val="000000"/>
                <w:sz w:val="20"/>
                <w:szCs w:val="18"/>
              </w:rPr>
            </w:pPr>
            <w:r w:rsidRPr="003272B7">
              <w:rPr>
                <w:rFonts w:eastAsia="Times New Roman" w:cs="Times New Roman"/>
                <w:b/>
                <w:color w:val="000000"/>
                <w:sz w:val="20"/>
                <w:szCs w:val="18"/>
              </w:rPr>
              <w:t>EOC Value (0.000)</w:t>
            </w:r>
          </w:p>
        </w:tc>
      </w:tr>
      <w:tr w:rsidR="007F2783" w:rsidRPr="003272B7" w14:paraId="425A4C61" w14:textId="77777777" w:rsidTr="00B25C95">
        <w:trPr>
          <w:trHeight w:val="315"/>
          <w:jc w:val="center"/>
        </w:trPr>
        <w:tc>
          <w:tcPr>
            <w:tcW w:w="1635" w:type="dxa"/>
            <w:tcBorders>
              <w:top w:val="single" w:sz="4" w:space="0" w:color="auto"/>
              <w:left w:val="nil"/>
              <w:bottom w:val="nil"/>
              <w:right w:val="nil"/>
            </w:tcBorders>
            <w:shd w:val="clear" w:color="auto" w:fill="auto"/>
            <w:noWrap/>
            <w:vAlign w:val="center"/>
          </w:tcPr>
          <w:p w14:paraId="29B1AF0E" w14:textId="77777777" w:rsidR="007F2783" w:rsidRPr="003272B7" w:rsidRDefault="00F4572D" w:rsidP="003E4D27">
            <w:pPr>
              <w:spacing w:after="0"/>
              <w:rPr>
                <w:rFonts w:eastAsia="Times New Roman" w:cs="Times New Roman"/>
                <w:b/>
                <w:color w:val="000000"/>
                <w:sz w:val="20"/>
                <w:szCs w:val="18"/>
              </w:rPr>
            </w:pPr>
            <w:r>
              <w:rPr>
                <w:rFonts w:eastAsia="Times New Roman" w:cs="Times New Roman"/>
                <w:b/>
                <w:color w:val="000000"/>
                <w:sz w:val="20"/>
                <w:szCs w:val="18"/>
              </w:rPr>
              <w:t>Zircaloy</w:t>
            </w:r>
            <w:r w:rsidR="007F2783" w:rsidRPr="003272B7">
              <w:rPr>
                <w:rFonts w:eastAsia="Times New Roman" w:cs="Times New Roman"/>
                <w:b/>
                <w:color w:val="000000"/>
                <w:sz w:val="20"/>
                <w:szCs w:val="18"/>
              </w:rPr>
              <w:t xml:space="preserve"> (Standard Fuel)</w:t>
            </w:r>
          </w:p>
        </w:tc>
        <w:tc>
          <w:tcPr>
            <w:tcW w:w="1239" w:type="dxa"/>
            <w:tcBorders>
              <w:top w:val="single" w:sz="4" w:space="0" w:color="auto"/>
              <w:left w:val="nil"/>
              <w:bottom w:val="nil"/>
              <w:right w:val="nil"/>
            </w:tcBorders>
            <w:shd w:val="clear" w:color="auto" w:fill="auto"/>
            <w:noWrap/>
            <w:vAlign w:val="center"/>
          </w:tcPr>
          <w:p w14:paraId="209584F4" w14:textId="77777777" w:rsidR="007F2783" w:rsidRPr="003272B7" w:rsidRDefault="007F2783" w:rsidP="003E4D27">
            <w:pPr>
              <w:spacing w:after="0"/>
              <w:rPr>
                <w:rFonts w:eastAsia="Times New Roman" w:cs="Times New Roman"/>
                <w:color w:val="000000"/>
                <w:sz w:val="20"/>
                <w:szCs w:val="18"/>
              </w:rPr>
            </w:pPr>
            <w:r w:rsidRPr="003272B7">
              <w:rPr>
                <w:rFonts w:eastAsia="Times New Roman" w:cs="Times New Roman"/>
                <w:color w:val="000000"/>
                <w:sz w:val="20"/>
                <w:szCs w:val="18"/>
              </w:rPr>
              <w:t>4.90</w:t>
            </w:r>
          </w:p>
        </w:tc>
        <w:tc>
          <w:tcPr>
            <w:tcW w:w="2408" w:type="dxa"/>
            <w:tcBorders>
              <w:top w:val="single" w:sz="4" w:space="0" w:color="auto"/>
              <w:left w:val="nil"/>
              <w:bottom w:val="nil"/>
              <w:right w:val="nil"/>
            </w:tcBorders>
            <w:shd w:val="clear" w:color="auto" w:fill="auto"/>
            <w:noWrap/>
            <w:vAlign w:val="center"/>
          </w:tcPr>
          <w:p w14:paraId="231A4874" w14:textId="77777777" w:rsidR="007F2783" w:rsidRPr="003272B7" w:rsidRDefault="007F2783" w:rsidP="003E4D27">
            <w:pPr>
              <w:spacing w:after="0"/>
              <w:rPr>
                <w:rFonts w:eastAsia="Times New Roman" w:cs="Times New Roman"/>
                <w:color w:val="000000"/>
                <w:sz w:val="20"/>
                <w:szCs w:val="18"/>
              </w:rPr>
            </w:pPr>
            <w:r w:rsidRPr="003272B7">
              <w:rPr>
                <w:rFonts w:eastAsia="Times New Roman" w:cs="Times New Roman"/>
                <w:color w:val="000000"/>
                <w:sz w:val="20"/>
                <w:szCs w:val="18"/>
              </w:rPr>
              <w:t>571.5</w:t>
            </w:r>
          </w:p>
        </w:tc>
      </w:tr>
      <w:tr w:rsidR="007F2783" w:rsidRPr="003272B7" w14:paraId="0750EA76" w14:textId="77777777" w:rsidTr="00B25C95">
        <w:trPr>
          <w:trHeight w:val="315"/>
          <w:jc w:val="center"/>
        </w:trPr>
        <w:tc>
          <w:tcPr>
            <w:tcW w:w="1635" w:type="dxa"/>
            <w:tcBorders>
              <w:top w:val="nil"/>
              <w:left w:val="nil"/>
              <w:bottom w:val="nil"/>
              <w:right w:val="nil"/>
            </w:tcBorders>
            <w:shd w:val="clear" w:color="auto" w:fill="auto"/>
            <w:noWrap/>
            <w:vAlign w:val="center"/>
            <w:hideMark/>
          </w:tcPr>
          <w:p w14:paraId="1D30EE98" w14:textId="77777777" w:rsidR="007F2783" w:rsidRPr="003272B7" w:rsidRDefault="007F2783" w:rsidP="003E4D27">
            <w:pPr>
              <w:spacing w:after="0"/>
              <w:rPr>
                <w:rFonts w:eastAsia="Times New Roman" w:cs="Times New Roman"/>
                <w:b/>
                <w:color w:val="000000"/>
                <w:sz w:val="20"/>
                <w:szCs w:val="18"/>
              </w:rPr>
            </w:pPr>
            <w:r w:rsidRPr="003272B7">
              <w:rPr>
                <w:rFonts w:eastAsia="Times New Roman" w:cs="Times New Roman"/>
                <w:b/>
                <w:color w:val="000000"/>
                <w:sz w:val="20"/>
                <w:szCs w:val="18"/>
              </w:rPr>
              <w:t>FeCrAl</w:t>
            </w:r>
          </w:p>
        </w:tc>
        <w:tc>
          <w:tcPr>
            <w:tcW w:w="1239" w:type="dxa"/>
            <w:tcBorders>
              <w:top w:val="nil"/>
              <w:left w:val="nil"/>
              <w:bottom w:val="nil"/>
              <w:right w:val="nil"/>
            </w:tcBorders>
            <w:shd w:val="clear" w:color="auto" w:fill="auto"/>
            <w:noWrap/>
            <w:vAlign w:val="center"/>
            <w:hideMark/>
          </w:tcPr>
          <w:p w14:paraId="793E1063" w14:textId="77777777" w:rsidR="007F2783" w:rsidRPr="003272B7" w:rsidRDefault="007F2783" w:rsidP="003E4D27">
            <w:pPr>
              <w:spacing w:after="0"/>
              <w:rPr>
                <w:rFonts w:eastAsia="Times New Roman" w:cs="Times New Roman"/>
                <w:color w:val="000000"/>
                <w:sz w:val="20"/>
                <w:szCs w:val="18"/>
              </w:rPr>
            </w:pPr>
            <w:r w:rsidRPr="003272B7">
              <w:rPr>
                <w:rFonts w:eastAsia="Times New Roman" w:cs="Times New Roman"/>
                <w:color w:val="000000"/>
                <w:sz w:val="20"/>
                <w:szCs w:val="18"/>
              </w:rPr>
              <w:t>4.90</w:t>
            </w:r>
          </w:p>
        </w:tc>
        <w:tc>
          <w:tcPr>
            <w:tcW w:w="2408" w:type="dxa"/>
            <w:tcBorders>
              <w:top w:val="nil"/>
              <w:left w:val="nil"/>
              <w:bottom w:val="nil"/>
              <w:right w:val="nil"/>
            </w:tcBorders>
            <w:shd w:val="clear" w:color="auto" w:fill="auto"/>
            <w:noWrap/>
            <w:vAlign w:val="center"/>
            <w:hideMark/>
          </w:tcPr>
          <w:p w14:paraId="5D0797A1" w14:textId="77777777" w:rsidR="007F2783" w:rsidRPr="003272B7" w:rsidRDefault="007F2783" w:rsidP="003E4D27">
            <w:pPr>
              <w:spacing w:after="0"/>
              <w:rPr>
                <w:rFonts w:eastAsia="Times New Roman" w:cs="Times New Roman"/>
                <w:sz w:val="20"/>
                <w:szCs w:val="18"/>
              </w:rPr>
            </w:pPr>
            <w:r w:rsidRPr="003272B7">
              <w:rPr>
                <w:rFonts w:eastAsia="Times New Roman" w:cs="Times New Roman"/>
                <w:sz w:val="20"/>
                <w:szCs w:val="18"/>
              </w:rPr>
              <w:t>302.2</w:t>
            </w:r>
          </w:p>
        </w:tc>
      </w:tr>
      <w:tr w:rsidR="007F2783" w:rsidRPr="003272B7" w14:paraId="20D48256" w14:textId="77777777" w:rsidTr="00B25C95">
        <w:trPr>
          <w:trHeight w:val="315"/>
          <w:jc w:val="center"/>
        </w:trPr>
        <w:tc>
          <w:tcPr>
            <w:tcW w:w="1635" w:type="dxa"/>
            <w:tcBorders>
              <w:top w:val="nil"/>
              <w:left w:val="nil"/>
              <w:bottom w:val="nil"/>
              <w:right w:val="nil"/>
            </w:tcBorders>
            <w:shd w:val="clear" w:color="auto" w:fill="auto"/>
            <w:noWrap/>
            <w:vAlign w:val="center"/>
            <w:hideMark/>
          </w:tcPr>
          <w:p w14:paraId="463F64B8" w14:textId="77777777" w:rsidR="007F2783" w:rsidRPr="003272B7" w:rsidRDefault="007F2783" w:rsidP="003E4D27">
            <w:pPr>
              <w:spacing w:after="0"/>
              <w:rPr>
                <w:rFonts w:eastAsia="Times New Roman" w:cs="Times New Roman"/>
                <w:b/>
                <w:sz w:val="20"/>
                <w:szCs w:val="18"/>
              </w:rPr>
            </w:pPr>
            <w:r w:rsidRPr="003272B7">
              <w:rPr>
                <w:rFonts w:eastAsia="Times New Roman" w:cs="Times New Roman"/>
                <w:b/>
                <w:sz w:val="20"/>
                <w:szCs w:val="18"/>
              </w:rPr>
              <w:t>SiC</w:t>
            </w:r>
          </w:p>
        </w:tc>
        <w:tc>
          <w:tcPr>
            <w:tcW w:w="1239" w:type="dxa"/>
            <w:tcBorders>
              <w:top w:val="nil"/>
              <w:left w:val="nil"/>
              <w:bottom w:val="nil"/>
              <w:right w:val="nil"/>
            </w:tcBorders>
            <w:shd w:val="clear" w:color="auto" w:fill="auto"/>
            <w:noWrap/>
            <w:vAlign w:val="center"/>
            <w:hideMark/>
          </w:tcPr>
          <w:p w14:paraId="0907B4FF" w14:textId="77777777" w:rsidR="007F2783" w:rsidRPr="003272B7" w:rsidRDefault="007F2783" w:rsidP="003E4D27">
            <w:pPr>
              <w:spacing w:after="0"/>
              <w:rPr>
                <w:rFonts w:eastAsia="Times New Roman" w:cs="Times New Roman"/>
                <w:sz w:val="20"/>
                <w:szCs w:val="18"/>
              </w:rPr>
            </w:pPr>
            <w:r w:rsidRPr="003272B7">
              <w:rPr>
                <w:rFonts w:eastAsia="Times New Roman" w:cs="Times New Roman"/>
                <w:sz w:val="20"/>
                <w:szCs w:val="18"/>
              </w:rPr>
              <w:t>4.90</w:t>
            </w:r>
          </w:p>
        </w:tc>
        <w:tc>
          <w:tcPr>
            <w:tcW w:w="2408" w:type="dxa"/>
            <w:tcBorders>
              <w:top w:val="nil"/>
              <w:left w:val="nil"/>
              <w:bottom w:val="nil"/>
              <w:right w:val="nil"/>
            </w:tcBorders>
            <w:shd w:val="clear" w:color="auto" w:fill="auto"/>
            <w:noWrap/>
            <w:vAlign w:val="center"/>
            <w:hideMark/>
          </w:tcPr>
          <w:p w14:paraId="07B75F6D" w14:textId="77777777" w:rsidR="007F2783" w:rsidRPr="003272B7" w:rsidRDefault="007F2783" w:rsidP="003E4D27">
            <w:pPr>
              <w:spacing w:after="0"/>
              <w:rPr>
                <w:rFonts w:eastAsia="Times New Roman" w:cs="Times New Roman"/>
                <w:sz w:val="20"/>
                <w:szCs w:val="18"/>
              </w:rPr>
            </w:pPr>
            <w:r w:rsidRPr="003272B7">
              <w:rPr>
                <w:rFonts w:eastAsia="Times New Roman" w:cs="Times New Roman"/>
                <w:sz w:val="20"/>
                <w:szCs w:val="18"/>
              </w:rPr>
              <w:t>606.7</w:t>
            </w:r>
          </w:p>
        </w:tc>
      </w:tr>
      <w:tr w:rsidR="007F2783" w:rsidRPr="003272B7" w14:paraId="6868F13D" w14:textId="77777777" w:rsidTr="00B25C95">
        <w:trPr>
          <w:trHeight w:val="315"/>
          <w:jc w:val="center"/>
        </w:trPr>
        <w:tc>
          <w:tcPr>
            <w:tcW w:w="1635" w:type="dxa"/>
            <w:tcBorders>
              <w:top w:val="nil"/>
              <w:left w:val="nil"/>
              <w:bottom w:val="single" w:sz="4" w:space="0" w:color="auto"/>
              <w:right w:val="nil"/>
            </w:tcBorders>
            <w:shd w:val="clear" w:color="auto" w:fill="auto"/>
            <w:noWrap/>
            <w:vAlign w:val="center"/>
          </w:tcPr>
          <w:p w14:paraId="1398D764" w14:textId="77777777" w:rsidR="007F2783" w:rsidRPr="003272B7" w:rsidRDefault="007F2783" w:rsidP="003E4D27">
            <w:pPr>
              <w:spacing w:after="0"/>
              <w:rPr>
                <w:rFonts w:eastAsia="Times New Roman" w:cs="Times New Roman"/>
                <w:b/>
                <w:color w:val="000000"/>
                <w:sz w:val="20"/>
                <w:szCs w:val="18"/>
              </w:rPr>
            </w:pPr>
            <w:r w:rsidRPr="003272B7">
              <w:rPr>
                <w:rFonts w:eastAsia="Times New Roman" w:cs="Times New Roman"/>
                <w:b/>
                <w:color w:val="000000"/>
                <w:sz w:val="20"/>
                <w:szCs w:val="18"/>
              </w:rPr>
              <w:t>310SS</w:t>
            </w:r>
          </w:p>
        </w:tc>
        <w:tc>
          <w:tcPr>
            <w:tcW w:w="1239" w:type="dxa"/>
            <w:tcBorders>
              <w:top w:val="nil"/>
              <w:left w:val="nil"/>
              <w:bottom w:val="single" w:sz="4" w:space="0" w:color="auto"/>
              <w:right w:val="nil"/>
            </w:tcBorders>
            <w:shd w:val="clear" w:color="auto" w:fill="auto"/>
            <w:noWrap/>
            <w:vAlign w:val="center"/>
          </w:tcPr>
          <w:p w14:paraId="698BC901" w14:textId="77777777" w:rsidR="007F2783" w:rsidRPr="003272B7" w:rsidRDefault="007F2783" w:rsidP="003E4D27">
            <w:pPr>
              <w:spacing w:after="0"/>
              <w:rPr>
                <w:rFonts w:eastAsia="Times New Roman" w:cs="Times New Roman"/>
                <w:color w:val="000000"/>
                <w:sz w:val="20"/>
                <w:szCs w:val="18"/>
              </w:rPr>
            </w:pPr>
            <w:r w:rsidRPr="003272B7">
              <w:rPr>
                <w:rFonts w:eastAsia="Times New Roman" w:cs="Times New Roman"/>
                <w:color w:val="000000"/>
                <w:sz w:val="20"/>
                <w:szCs w:val="18"/>
              </w:rPr>
              <w:t>4.90</w:t>
            </w:r>
          </w:p>
        </w:tc>
        <w:tc>
          <w:tcPr>
            <w:tcW w:w="2408" w:type="dxa"/>
            <w:tcBorders>
              <w:top w:val="nil"/>
              <w:left w:val="nil"/>
              <w:bottom w:val="single" w:sz="4" w:space="0" w:color="auto"/>
              <w:right w:val="nil"/>
            </w:tcBorders>
            <w:shd w:val="clear" w:color="auto" w:fill="auto"/>
            <w:noWrap/>
            <w:vAlign w:val="center"/>
          </w:tcPr>
          <w:p w14:paraId="32AB159D" w14:textId="77777777" w:rsidR="007F2783" w:rsidRPr="003272B7" w:rsidRDefault="007F2783" w:rsidP="003E4D27">
            <w:pPr>
              <w:spacing w:after="0"/>
              <w:rPr>
                <w:rFonts w:eastAsia="Times New Roman" w:cs="Times New Roman"/>
                <w:sz w:val="20"/>
                <w:szCs w:val="18"/>
              </w:rPr>
            </w:pPr>
            <w:r w:rsidRPr="003272B7">
              <w:rPr>
                <w:rFonts w:eastAsia="Times New Roman" w:cs="Times New Roman"/>
                <w:sz w:val="20"/>
                <w:szCs w:val="18"/>
              </w:rPr>
              <w:t>226.3</w:t>
            </w:r>
          </w:p>
        </w:tc>
      </w:tr>
    </w:tbl>
    <w:p w14:paraId="1CFB9CC2" w14:textId="77777777" w:rsidR="007F2783" w:rsidRDefault="007F2783" w:rsidP="0091793B">
      <w:pPr>
        <w:spacing w:line="360" w:lineRule="auto"/>
        <w:jc w:val="both"/>
        <w:rPr>
          <w:rFonts w:cs="Times New Roman"/>
          <w:b/>
          <w:szCs w:val="24"/>
        </w:rPr>
      </w:pPr>
    </w:p>
    <w:p w14:paraId="7BB99205" w14:textId="77777777" w:rsidR="003E4D27" w:rsidRPr="003272B7" w:rsidRDefault="003E4D27" w:rsidP="0091793B">
      <w:pPr>
        <w:spacing w:line="360" w:lineRule="auto"/>
        <w:jc w:val="both"/>
        <w:rPr>
          <w:rFonts w:cs="Times New Roman"/>
          <w:b/>
          <w:szCs w:val="24"/>
        </w:rPr>
      </w:pPr>
    </w:p>
    <w:p w14:paraId="4D5744B0" w14:textId="77777777" w:rsidR="00A41304" w:rsidRDefault="007F2783" w:rsidP="00A41304">
      <w:pPr>
        <w:spacing w:line="360" w:lineRule="auto"/>
        <w:jc w:val="both"/>
        <w:rPr>
          <w:rFonts w:cs="Times New Roman"/>
          <w:szCs w:val="24"/>
        </w:rPr>
      </w:pPr>
      <w:r w:rsidRPr="003272B7">
        <w:rPr>
          <w:rFonts w:cs="Times New Roman"/>
          <w:szCs w:val="24"/>
        </w:rPr>
        <w:t>The geometric and enrichme</w:t>
      </w:r>
      <w:r w:rsidR="00F32DE9">
        <w:rPr>
          <w:rFonts w:cs="Times New Roman"/>
          <w:szCs w:val="24"/>
        </w:rPr>
        <w:t>nt specifications from Tables X</w:t>
      </w:r>
      <w:r w:rsidR="006E3142">
        <w:rPr>
          <w:rFonts w:cs="Times New Roman"/>
          <w:szCs w:val="24"/>
        </w:rPr>
        <w:t>I</w:t>
      </w:r>
      <w:r w:rsidR="00F32DE9">
        <w:rPr>
          <w:rFonts w:cs="Times New Roman"/>
          <w:szCs w:val="24"/>
        </w:rPr>
        <w:t xml:space="preserve"> and X</w:t>
      </w:r>
      <w:r w:rsidRPr="003272B7">
        <w:rPr>
          <w:rFonts w:cs="Times New Roman"/>
          <w:szCs w:val="24"/>
        </w:rPr>
        <w:t xml:space="preserve">II were gathered into a single plot, </w:t>
      </w:r>
      <w:r w:rsidR="00563708">
        <w:rPr>
          <w:rFonts w:cs="Times New Roman"/>
          <w:szCs w:val="24"/>
        </w:rPr>
        <w:t>Figure</w:t>
      </w:r>
      <w:r w:rsidRPr="003272B7">
        <w:rPr>
          <w:rFonts w:cs="Times New Roman"/>
          <w:szCs w:val="24"/>
        </w:rPr>
        <w:t xml:space="preserve"> </w:t>
      </w:r>
      <w:r w:rsidR="00563708">
        <w:rPr>
          <w:rFonts w:cs="Times New Roman"/>
          <w:szCs w:val="24"/>
        </w:rPr>
        <w:t>31</w:t>
      </w:r>
      <w:r w:rsidRPr="003272B7">
        <w:rPr>
          <w:rFonts w:cs="Times New Roman"/>
          <w:szCs w:val="24"/>
        </w:rPr>
        <w:t xml:space="preserve">, representing all simulations with parameter combinations expected to meet reactivity lifetime requirements in a PWR environment. The blue data point at the intersection of the abscissa and ordinate represents the Westinghouse 17 × 17 base case </w:t>
      </w:r>
      <w:r w:rsidR="00F4572D">
        <w:rPr>
          <w:rFonts w:cs="Times New Roman"/>
          <w:szCs w:val="24"/>
        </w:rPr>
        <w:t>Zircaloy</w:t>
      </w:r>
      <w:r w:rsidRPr="003272B7">
        <w:rPr>
          <w:rFonts w:cs="Times New Roman"/>
          <w:szCs w:val="24"/>
        </w:rPr>
        <w:t xml:space="preserve"> pin containing 4.9% enriched uranium and a cladding thickness of 571.5 μm. Fitting the data, a linear trend is shown when modifying fuel parameters. Any combination of enrichment and cladding thicknesses left and upward of the linear trend line shown for each material is expected to meet or exceed cycle length requirements.</w:t>
      </w:r>
      <w:r w:rsidR="00A41304" w:rsidRPr="00A41304">
        <w:rPr>
          <w:rFonts w:cs="Times New Roman"/>
          <w:szCs w:val="24"/>
        </w:rPr>
        <w:t xml:space="preserve"> </w:t>
      </w:r>
    </w:p>
    <w:p w14:paraId="4E6A62D3" w14:textId="27F2EDEE" w:rsidR="00A41304" w:rsidRDefault="00A41304" w:rsidP="00A41304">
      <w:pPr>
        <w:spacing w:line="360" w:lineRule="auto"/>
        <w:jc w:val="both"/>
        <w:rPr>
          <w:rFonts w:cs="Times New Roman"/>
          <w:szCs w:val="24"/>
        </w:rPr>
      </w:pPr>
      <w:r w:rsidRPr="003272B7">
        <w:rPr>
          <w:rFonts w:cs="Times New Roman"/>
          <w:szCs w:val="24"/>
        </w:rPr>
        <w:t xml:space="preserve">As mentioned previously, 310SS and FeCrAl contain elements with higher neutron absorption than </w:t>
      </w:r>
      <w:r>
        <w:rPr>
          <w:rFonts w:cs="Times New Roman"/>
          <w:szCs w:val="24"/>
        </w:rPr>
        <w:t>Zircaloy</w:t>
      </w:r>
      <w:r w:rsidRPr="003272B7">
        <w:rPr>
          <w:rFonts w:cs="Times New Roman"/>
          <w:szCs w:val="24"/>
        </w:rPr>
        <w:t xml:space="preserve">; if enrichment is kept constant, a greater heavy metal loading is needed for these materials to match the cycle length of </w:t>
      </w:r>
      <w:r>
        <w:rPr>
          <w:rFonts w:cs="Times New Roman"/>
          <w:szCs w:val="24"/>
        </w:rPr>
        <w:t>Zircaloy</w:t>
      </w:r>
      <w:r w:rsidRPr="003272B7">
        <w:rPr>
          <w:rFonts w:cs="Times New Roman"/>
          <w:szCs w:val="24"/>
        </w:rPr>
        <w:t xml:space="preserve">. This is achieved by using a thinner cladding while maintaining </w:t>
      </w:r>
      <w:proofErr w:type="gramStart"/>
      <w:r w:rsidRPr="003272B7">
        <w:rPr>
          <w:rFonts w:cs="Times New Roman"/>
          <w:szCs w:val="24"/>
        </w:rPr>
        <w:t>a constant P/D. Increased levels</w:t>
      </w:r>
      <w:proofErr w:type="gramEnd"/>
      <w:r w:rsidRPr="003272B7">
        <w:rPr>
          <w:rFonts w:cs="Times New Roman"/>
          <w:szCs w:val="24"/>
        </w:rPr>
        <w:t xml:space="preserve"> of </w:t>
      </w:r>
      <w:r w:rsidRPr="003272B7">
        <w:rPr>
          <w:rFonts w:cs="Times New Roman"/>
          <w:szCs w:val="24"/>
          <w:vertAlign w:val="superscript"/>
        </w:rPr>
        <w:t>235</w:t>
      </w:r>
      <w:r w:rsidRPr="003272B7">
        <w:rPr>
          <w:rFonts w:cs="Times New Roman"/>
          <w:szCs w:val="24"/>
        </w:rPr>
        <w:t xml:space="preserve">U enrichment also could help maintain the cycle length achieved by </w:t>
      </w:r>
      <w:r>
        <w:rPr>
          <w:rFonts w:cs="Times New Roman"/>
          <w:szCs w:val="24"/>
        </w:rPr>
        <w:t>Zircaloy</w:t>
      </w:r>
      <w:r w:rsidRPr="003272B7">
        <w:rPr>
          <w:rFonts w:cs="Times New Roman"/>
          <w:szCs w:val="24"/>
        </w:rPr>
        <w:t xml:space="preserve">, but additional enrichment will increase fuel fabrication </w:t>
      </w:r>
      <w:r w:rsidRPr="003272B7">
        <w:rPr>
          <w:rFonts w:cs="Times New Roman"/>
          <w:szCs w:val="24"/>
        </w:rPr>
        <w:lastRenderedPageBreak/>
        <w:t xml:space="preserve">costs. From a safety and economic standpoint, data points closer to the bottom right of the plot signify fuel parameters that are more desirable because the enrichment and total heavy metal loading in the fuel are lowest, and clad integrity should be highest. </w:t>
      </w:r>
    </w:p>
    <w:p w14:paraId="1923B7F7" w14:textId="77777777" w:rsidR="007F2783" w:rsidRPr="003272B7" w:rsidRDefault="007F2783" w:rsidP="0091793B">
      <w:pPr>
        <w:spacing w:line="360" w:lineRule="auto"/>
        <w:jc w:val="both"/>
        <w:rPr>
          <w:rFonts w:cs="Times New Roman"/>
          <w:b/>
          <w:szCs w:val="24"/>
        </w:rPr>
      </w:pPr>
    </w:p>
    <w:p w14:paraId="0A5532CF" w14:textId="77777777" w:rsidR="001B315B" w:rsidRPr="003272B7" w:rsidRDefault="001B315B" w:rsidP="0091793B">
      <w:pPr>
        <w:spacing w:line="360" w:lineRule="auto"/>
        <w:rPr>
          <w:rFonts w:cs="Times New Roman"/>
          <w:b/>
          <w:szCs w:val="24"/>
        </w:rPr>
      </w:pPr>
      <w:r w:rsidRPr="001B315B">
        <w:rPr>
          <w:rFonts w:cs="Times New Roman"/>
          <w:b/>
          <w:noProof/>
          <w:szCs w:val="24"/>
        </w:rPr>
        <w:drawing>
          <wp:inline distT="0" distB="0" distL="0" distR="0" wp14:anchorId="04A4F05F" wp14:editId="46A61B7E">
            <wp:extent cx="3657600" cy="2893325"/>
            <wp:effectExtent l="0" t="0" r="19050" b="21590"/>
            <wp:docPr id="32" name="Chart 32"/>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018AEBE5" w14:textId="03599888" w:rsidR="007F2783" w:rsidRDefault="003E4D27" w:rsidP="003E4D27">
      <w:pPr>
        <w:tabs>
          <w:tab w:val="center" w:pos="4680"/>
          <w:tab w:val="right" w:pos="9360"/>
        </w:tabs>
        <w:spacing w:line="360" w:lineRule="auto"/>
        <w:jc w:val="left"/>
      </w:pPr>
      <w:r>
        <w:tab/>
      </w:r>
      <w:bookmarkStart w:id="46" w:name="_Toc416993470"/>
      <w:r w:rsidR="009E4E51">
        <w:t xml:space="preserve">Figure </w:t>
      </w:r>
      <w:fldSimple w:instr=" SEQ Figure \* ARABIC ">
        <w:r w:rsidR="00F3244B">
          <w:rPr>
            <w:noProof/>
          </w:rPr>
          <w:t>31</w:t>
        </w:r>
      </w:fldSimple>
      <w:r w:rsidR="009E4E51">
        <w:t xml:space="preserve">: </w:t>
      </w:r>
      <w:r w:rsidR="009E4E51" w:rsidRPr="001440C0">
        <w:t xml:space="preserve">Fuel parameters required to match the </w:t>
      </w:r>
      <w:r w:rsidR="00373287">
        <w:t>PWR</w:t>
      </w:r>
      <w:r w:rsidR="009E4E51" w:rsidRPr="001440C0">
        <w:t xml:space="preserve"> lifetime</w:t>
      </w:r>
      <w:bookmarkEnd w:id="46"/>
      <w:r>
        <w:tab/>
      </w:r>
    </w:p>
    <w:p w14:paraId="4988689D" w14:textId="77777777" w:rsidR="003E4D27" w:rsidRPr="003272B7" w:rsidRDefault="003E4D27" w:rsidP="003E4D27">
      <w:pPr>
        <w:tabs>
          <w:tab w:val="center" w:pos="4680"/>
          <w:tab w:val="right" w:pos="9360"/>
        </w:tabs>
        <w:spacing w:line="360" w:lineRule="auto"/>
        <w:jc w:val="left"/>
        <w:rPr>
          <w:b/>
          <w:szCs w:val="24"/>
        </w:rPr>
      </w:pPr>
    </w:p>
    <w:p w14:paraId="653C6562" w14:textId="77777777" w:rsidR="00BC5FCA" w:rsidRDefault="00BC5FCA" w:rsidP="0091793B">
      <w:pPr>
        <w:spacing w:line="360" w:lineRule="auto"/>
        <w:jc w:val="both"/>
        <w:rPr>
          <w:rFonts w:cs="Times New Roman"/>
          <w:szCs w:val="24"/>
        </w:rPr>
      </w:pPr>
    </w:p>
    <w:p w14:paraId="590A3F89" w14:textId="77777777" w:rsidR="007F2783" w:rsidRPr="004B73AF" w:rsidRDefault="004B73AF" w:rsidP="0091793B">
      <w:pPr>
        <w:spacing w:line="360" w:lineRule="auto"/>
        <w:jc w:val="both"/>
        <w:rPr>
          <w:rFonts w:cs="Times New Roman"/>
          <w:b/>
          <w:sz w:val="28"/>
          <w:szCs w:val="24"/>
        </w:rPr>
      </w:pPr>
      <w:proofErr w:type="gramStart"/>
      <w:r>
        <w:rPr>
          <w:rFonts w:cs="Times New Roman"/>
          <w:b/>
          <w:sz w:val="28"/>
          <w:szCs w:val="24"/>
        </w:rPr>
        <w:t>V.C.</w:t>
      </w:r>
      <w:proofErr w:type="gramEnd"/>
      <w:r>
        <w:rPr>
          <w:rFonts w:cs="Times New Roman"/>
          <w:b/>
          <w:sz w:val="28"/>
          <w:szCs w:val="24"/>
        </w:rPr>
        <w:tab/>
      </w:r>
      <w:r>
        <w:rPr>
          <w:rFonts w:cs="Times New Roman"/>
          <w:b/>
          <w:sz w:val="28"/>
          <w:szCs w:val="24"/>
        </w:rPr>
        <w:tab/>
        <w:t>Spectral Results</w:t>
      </w:r>
    </w:p>
    <w:p w14:paraId="793449ED" w14:textId="77777777" w:rsidR="007F2783" w:rsidRPr="00013BA1" w:rsidRDefault="007F2783" w:rsidP="0091793B">
      <w:pPr>
        <w:spacing w:line="360" w:lineRule="auto"/>
        <w:jc w:val="both"/>
        <w:rPr>
          <w:rFonts w:cs="Times New Roman"/>
          <w:b/>
          <w:szCs w:val="24"/>
        </w:rPr>
      </w:pPr>
      <w:r w:rsidRPr="00013BA1">
        <w:rPr>
          <w:rFonts w:cs="Times New Roman"/>
          <w:b/>
          <w:szCs w:val="24"/>
        </w:rPr>
        <w:t>V.</w:t>
      </w:r>
      <w:r>
        <w:rPr>
          <w:rFonts w:cs="Times New Roman"/>
          <w:b/>
          <w:szCs w:val="24"/>
        </w:rPr>
        <w:t>C</w:t>
      </w:r>
      <w:r w:rsidRPr="00013BA1">
        <w:rPr>
          <w:rFonts w:cs="Times New Roman"/>
          <w:b/>
          <w:szCs w:val="24"/>
        </w:rPr>
        <w:t>.</w:t>
      </w:r>
      <w:r>
        <w:rPr>
          <w:rFonts w:cs="Times New Roman"/>
          <w:b/>
          <w:szCs w:val="24"/>
        </w:rPr>
        <w:t>1.</w:t>
      </w:r>
      <w:r>
        <w:rPr>
          <w:rFonts w:cs="Times New Roman"/>
          <w:b/>
          <w:szCs w:val="24"/>
        </w:rPr>
        <w:tab/>
      </w:r>
      <w:r>
        <w:rPr>
          <w:rFonts w:cs="Times New Roman"/>
          <w:b/>
          <w:szCs w:val="24"/>
        </w:rPr>
        <w:tab/>
        <w:t xml:space="preserve">FCM </w:t>
      </w:r>
      <w:r w:rsidRPr="00013BA1">
        <w:rPr>
          <w:rFonts w:cs="Times New Roman"/>
          <w:b/>
          <w:szCs w:val="24"/>
        </w:rPr>
        <w:t>Flux Spectra Evaluation</w:t>
      </w:r>
    </w:p>
    <w:p w14:paraId="6604FD29" w14:textId="22D6540C" w:rsidR="007F2783" w:rsidRDefault="007F2783" w:rsidP="0091793B">
      <w:pPr>
        <w:spacing w:line="360" w:lineRule="auto"/>
        <w:jc w:val="both"/>
        <w:rPr>
          <w:rFonts w:cs="Times New Roman"/>
          <w:szCs w:val="24"/>
        </w:rPr>
      </w:pPr>
      <w:r w:rsidRPr="00013BA1">
        <w:rPr>
          <w:rFonts w:cs="Times New Roman"/>
          <w:szCs w:val="24"/>
        </w:rPr>
        <w:t>The neutron flux spectra of FCM fuel and conventional PWR UO</w:t>
      </w:r>
      <w:r w:rsidRPr="00013BA1">
        <w:rPr>
          <w:rFonts w:cs="Times New Roman"/>
          <w:szCs w:val="24"/>
          <w:vertAlign w:val="subscript"/>
        </w:rPr>
        <w:t>2</w:t>
      </w:r>
      <w:r w:rsidRPr="00013BA1">
        <w:rPr>
          <w:rFonts w:cs="Times New Roman"/>
          <w:szCs w:val="24"/>
        </w:rPr>
        <w:t xml:space="preserve"> fuel were c</w:t>
      </w:r>
      <w:r w:rsidR="00442FCA">
        <w:rPr>
          <w:rFonts w:cs="Times New Roman"/>
          <w:szCs w:val="24"/>
        </w:rPr>
        <w:t>ompared at BOL, MOL</w:t>
      </w:r>
      <w:r w:rsidRPr="00013BA1">
        <w:rPr>
          <w:rFonts w:cs="Times New Roman"/>
          <w:szCs w:val="24"/>
        </w:rPr>
        <w:t xml:space="preserve"> and EOL. A depletion model was run first to output the isotopic inventory of the fuel regions at each time step for both models. In the FCM model, TRISO particles were modeled in SCALE with an 800 μm diameter fuel </w:t>
      </w:r>
      <w:proofErr w:type="gramStart"/>
      <w:r w:rsidRPr="00013BA1">
        <w:rPr>
          <w:rFonts w:cs="Times New Roman"/>
          <w:szCs w:val="24"/>
        </w:rPr>
        <w:t>kernel</w:t>
      </w:r>
      <w:proofErr w:type="gramEnd"/>
      <w:r w:rsidRPr="00013BA1">
        <w:rPr>
          <w:rFonts w:cs="Times New Roman"/>
          <w:szCs w:val="24"/>
        </w:rPr>
        <w:t xml:space="preserve"> and standard coating thicknesses:  70 μm buffer, 35 μm IPyC, 35 μm SiC and 35 μm OPyC layers. These TRISO dimensions are similar to the design </w:t>
      </w:r>
      <w:r w:rsidRPr="00013BA1">
        <w:rPr>
          <w:rFonts w:cs="Times New Roman"/>
          <w:szCs w:val="24"/>
        </w:rPr>
        <w:lastRenderedPageBreak/>
        <w:t>specifica</w:t>
      </w:r>
      <w:r w:rsidR="00D00A8B">
        <w:rPr>
          <w:rFonts w:cs="Times New Roman"/>
          <w:szCs w:val="24"/>
        </w:rPr>
        <w:t xml:space="preserve">tions used in previous studies </w:t>
      </w:r>
      <w:r w:rsidR="00D00A8B">
        <w:rPr>
          <w:rFonts w:cs="Times New Roman"/>
          <w:szCs w:val="24"/>
        </w:rPr>
        <w:fldChar w:fldCharType="begin"/>
      </w:r>
      <w:r w:rsidR="00046F32">
        <w:rPr>
          <w:rFonts w:cs="Times New Roman"/>
          <w:szCs w:val="24"/>
        </w:rPr>
        <w:instrText xml:space="preserve"> ADDIN EN.CITE &lt;EndNote&gt;&lt;Cite&gt;&lt;Author&gt;Terrani&lt;/Author&gt;&lt;Year&gt;2012&lt;/Year&gt;&lt;RecNum&gt;8&lt;/RecNum&gt;&lt;DisplayText&gt;[12]&lt;/DisplayText&gt;&lt;record&gt;&lt;rec-number&gt;8&lt;/rec-number&gt;&lt;foreign-keys&gt;&lt;key app="EN" db-id="trfxzx057wwv0qe0vz1vttttwf0522tvtwpt" timestamp="1422124226"&gt;8&lt;/key&gt;&lt;/foreign-keys&gt;&lt;ref-type name="Journal Article"&gt;17&lt;/ref-type&gt;&lt;contributors&gt;&lt;authors&gt;&lt;author&gt;Terrani, Kurt A&lt;/author&gt;&lt;author&gt;Snead, Lance L&lt;/author&gt;&lt;author&gt;Gehin, Jess C&lt;/author&gt;&lt;/authors&gt;&lt;/contributors&gt;&lt;titles&gt;&lt;title&gt;Microencapsulated fuel technology for commercial light water and advanced reactor application&lt;/title&gt;&lt;secondary-title&gt;Journal of Nuclear Materials&lt;/secondary-title&gt;&lt;/titles&gt;&lt;periodical&gt;&lt;full-title&gt;Journal of Nuclear Materials&lt;/full-title&gt;&lt;/periodical&gt;&lt;pages&gt;209-224&lt;/pages&gt;&lt;volume&gt;427&lt;/volume&gt;&lt;number&gt;1&lt;/number&gt;&lt;dates&gt;&lt;year&gt;2012&lt;/year&gt;&lt;/dates&gt;&lt;isbn&gt;0022-3115&lt;/isbn&gt;&lt;urls&gt;&lt;/urls&gt;&lt;/record&gt;&lt;/Cite&gt;&lt;/EndNote&gt;</w:instrText>
      </w:r>
      <w:r w:rsidR="00D00A8B">
        <w:rPr>
          <w:rFonts w:cs="Times New Roman"/>
          <w:szCs w:val="24"/>
        </w:rPr>
        <w:fldChar w:fldCharType="separate"/>
      </w:r>
      <w:r w:rsidR="00046F32">
        <w:rPr>
          <w:rFonts w:cs="Times New Roman"/>
          <w:noProof/>
          <w:szCs w:val="24"/>
        </w:rPr>
        <w:t>[</w:t>
      </w:r>
      <w:hyperlink w:anchor="_ENREF_12" w:tooltip="Terrani, 2012 #8" w:history="1">
        <w:r w:rsidR="00DF20CB">
          <w:rPr>
            <w:rFonts w:cs="Times New Roman"/>
            <w:noProof/>
            <w:szCs w:val="24"/>
          </w:rPr>
          <w:t>12</w:t>
        </w:r>
      </w:hyperlink>
      <w:r w:rsidR="00046F32">
        <w:rPr>
          <w:rFonts w:cs="Times New Roman"/>
          <w:noProof/>
          <w:szCs w:val="24"/>
        </w:rPr>
        <w:t>]</w:t>
      </w:r>
      <w:r w:rsidR="00D00A8B">
        <w:rPr>
          <w:rFonts w:cs="Times New Roman"/>
          <w:szCs w:val="24"/>
        </w:rPr>
        <w:fldChar w:fldCharType="end"/>
      </w:r>
      <w:r w:rsidRPr="00013BA1">
        <w:rPr>
          <w:rFonts w:cs="Times New Roman"/>
          <w:szCs w:val="24"/>
        </w:rPr>
        <w:t>.</w:t>
      </w:r>
      <w:r w:rsidRPr="00013BA1">
        <w:rPr>
          <w:rFonts w:cs="Times New Roman"/>
          <w:b/>
          <w:szCs w:val="24"/>
        </w:rPr>
        <w:t xml:space="preserve"> </w:t>
      </w:r>
      <w:r w:rsidRPr="00013BA1">
        <w:rPr>
          <w:rFonts w:cs="Times New Roman"/>
          <w:szCs w:val="24"/>
        </w:rPr>
        <w:t>A 42% PF of particles to SiC matrix was modeled with enlarged fuel rods at a radius of 0.558 cm. An enlarged fuel radius was used so that sufficient fissile material was present to match lifetime requirements of a UO</w:t>
      </w:r>
      <w:r w:rsidRPr="00013BA1">
        <w:rPr>
          <w:rFonts w:cs="Times New Roman"/>
          <w:szCs w:val="24"/>
          <w:vertAlign w:val="subscript"/>
        </w:rPr>
        <w:t>2</w:t>
      </w:r>
      <w:r w:rsidRPr="00013BA1">
        <w:rPr>
          <w:rFonts w:cs="Times New Roman"/>
          <w:szCs w:val="24"/>
        </w:rPr>
        <w:t xml:space="preserve"> fuel rod. Thus a fair comparison between spectra could be made between FCM and standard fuel. Using the resulting isotopics, the neutron flux was calculated across a plane perpendicular to the axial direction of the rod at the center spanning across the entire cell (fuel, cladding, and moderator). Normalized flux per unit lethargy was thus plotted at the aforementioned time steps, and spectral hardening throughout the lifetime was analyzed.</w:t>
      </w:r>
    </w:p>
    <w:p w14:paraId="3422FCE7" w14:textId="77777777" w:rsidR="00A41304" w:rsidRDefault="00A41304" w:rsidP="00A41304">
      <w:pPr>
        <w:spacing w:line="360" w:lineRule="auto"/>
        <w:jc w:val="both"/>
        <w:rPr>
          <w:rFonts w:cs="Times New Roman"/>
          <w:szCs w:val="24"/>
        </w:rPr>
      </w:pPr>
      <w:r w:rsidRPr="003272B7">
        <w:rPr>
          <w:rFonts w:cs="Times New Roman"/>
          <w:szCs w:val="24"/>
        </w:rPr>
        <w:t>Focusing on the thermal peaks at 0.1 eV, a definite spectral shift is shown throughout the lifetime of the fuel. The FCM thermal peak is significantly lower than conventional UO</w:t>
      </w:r>
      <w:r w:rsidRPr="003272B7">
        <w:rPr>
          <w:rFonts w:cs="Times New Roman"/>
          <w:szCs w:val="24"/>
          <w:vertAlign w:val="subscript"/>
        </w:rPr>
        <w:t>2</w:t>
      </w:r>
      <w:r w:rsidRPr="003272B7">
        <w:rPr>
          <w:rFonts w:cs="Times New Roman"/>
          <w:szCs w:val="24"/>
        </w:rPr>
        <w:t xml:space="preserve"> fuel at BOL until a gradual shift occurs where the thermal peak of the FCM fuel be</w:t>
      </w:r>
      <w:r>
        <w:rPr>
          <w:rFonts w:cs="Times New Roman"/>
          <w:szCs w:val="24"/>
        </w:rPr>
        <w:t>comes greater at EOL. As Figure 32</w:t>
      </w:r>
      <w:r w:rsidRPr="003272B7">
        <w:rPr>
          <w:rFonts w:cs="Times New Roman"/>
          <w:szCs w:val="24"/>
        </w:rPr>
        <w:t xml:space="preserve"> contains normalized values, it is clear that the FCM spectrum is softened from BOL to EOL, while the conventional UO</w:t>
      </w:r>
      <w:r w:rsidRPr="003272B7">
        <w:rPr>
          <w:rFonts w:cs="Times New Roman"/>
          <w:szCs w:val="24"/>
          <w:vertAlign w:val="subscript"/>
        </w:rPr>
        <w:t>2</w:t>
      </w:r>
      <w:r w:rsidRPr="003272B7">
        <w:rPr>
          <w:rFonts w:cs="Times New Roman"/>
          <w:szCs w:val="24"/>
        </w:rPr>
        <w:t xml:space="preserve"> fuel spectrum appears to harden. This is because at BOL, the FCM fuel has about 10% more fissile material than conventional fuel, and thus thermal neutrons are being absorbed at a greater rate. However near EOL, the fissile inventory in the FCM fuel is drastically depleted, while the conventional fuel is breeding significantly more plutonium. This reduction of highly absorbing isotopes in the FCM fuel causes the inventory of thermal neutrons to increase near EOL, while the increased plutonium inventory in standard UO</w:t>
      </w:r>
      <w:r w:rsidRPr="003272B7">
        <w:rPr>
          <w:rFonts w:cs="Times New Roman"/>
          <w:szCs w:val="24"/>
          <w:vertAlign w:val="subscript"/>
        </w:rPr>
        <w:t>2</w:t>
      </w:r>
      <w:r w:rsidRPr="003272B7">
        <w:rPr>
          <w:rFonts w:cs="Times New Roman"/>
          <w:szCs w:val="24"/>
        </w:rPr>
        <w:t xml:space="preserve"> fuel causes i</w:t>
      </w:r>
      <w:r>
        <w:rPr>
          <w:rFonts w:cs="Times New Roman"/>
          <w:szCs w:val="24"/>
        </w:rPr>
        <w:t xml:space="preserve">ts thermal spectrum to harden. </w:t>
      </w:r>
    </w:p>
    <w:p w14:paraId="3D4CF8E5" w14:textId="77777777" w:rsidR="00A41304" w:rsidRDefault="00A41304" w:rsidP="00A41304">
      <w:pPr>
        <w:spacing w:line="360" w:lineRule="auto"/>
        <w:jc w:val="both"/>
        <w:rPr>
          <w:rFonts w:cs="Times New Roman"/>
          <w:szCs w:val="24"/>
        </w:rPr>
      </w:pPr>
    </w:p>
    <w:p w14:paraId="4CF52DE6" w14:textId="77777777" w:rsidR="00A41304" w:rsidRDefault="00A41304" w:rsidP="00A41304">
      <w:pPr>
        <w:spacing w:line="360" w:lineRule="auto"/>
        <w:jc w:val="both"/>
        <w:rPr>
          <w:rFonts w:cs="Times New Roman"/>
          <w:szCs w:val="24"/>
        </w:rPr>
      </w:pPr>
    </w:p>
    <w:p w14:paraId="74EEC00C" w14:textId="77777777" w:rsidR="00A41304" w:rsidRPr="00DF6D6B" w:rsidRDefault="00A41304" w:rsidP="00A41304">
      <w:pPr>
        <w:spacing w:line="360" w:lineRule="auto"/>
        <w:jc w:val="both"/>
        <w:rPr>
          <w:rFonts w:cs="Times New Roman"/>
          <w:szCs w:val="24"/>
        </w:rPr>
      </w:pPr>
    </w:p>
    <w:p w14:paraId="6870F5AB" w14:textId="77777777" w:rsidR="003E4D27" w:rsidRPr="00013BA1" w:rsidRDefault="003E4D27" w:rsidP="0091793B">
      <w:pPr>
        <w:spacing w:line="360" w:lineRule="auto"/>
        <w:jc w:val="both"/>
        <w:rPr>
          <w:rFonts w:cs="Times New Roman"/>
          <w:szCs w:val="24"/>
        </w:rPr>
      </w:pPr>
    </w:p>
    <w:p w14:paraId="508D90EA" w14:textId="77777777" w:rsidR="007F2783" w:rsidRPr="00013BA1" w:rsidRDefault="007F2783" w:rsidP="0091793B">
      <w:pPr>
        <w:spacing w:line="360" w:lineRule="auto"/>
        <w:rPr>
          <w:rFonts w:cs="Times New Roman"/>
          <w:b/>
          <w:szCs w:val="24"/>
        </w:rPr>
      </w:pPr>
      <w:r w:rsidRPr="00013BA1">
        <w:rPr>
          <w:rFonts w:cs="Times New Roman"/>
          <w:noProof/>
          <w:szCs w:val="24"/>
        </w:rPr>
        <w:lastRenderedPageBreak/>
        <w:drawing>
          <wp:inline distT="0" distB="0" distL="0" distR="0" wp14:anchorId="6D798657" wp14:editId="6A23A214">
            <wp:extent cx="5943600" cy="2027555"/>
            <wp:effectExtent l="0" t="0" r="19050" b="10795"/>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61FD3B25" w14:textId="77777777" w:rsidR="007F2783" w:rsidRPr="00013BA1" w:rsidRDefault="007F2783" w:rsidP="0091793B">
      <w:pPr>
        <w:spacing w:line="360" w:lineRule="auto"/>
        <w:rPr>
          <w:rFonts w:cs="Times New Roman"/>
          <w:b/>
          <w:szCs w:val="24"/>
        </w:rPr>
      </w:pPr>
      <w:r w:rsidRPr="00013BA1">
        <w:rPr>
          <w:rFonts w:cs="Times New Roman"/>
          <w:noProof/>
          <w:szCs w:val="24"/>
        </w:rPr>
        <w:drawing>
          <wp:inline distT="0" distB="0" distL="0" distR="0" wp14:anchorId="740DB773" wp14:editId="4D439CFB">
            <wp:extent cx="5943600" cy="2047875"/>
            <wp:effectExtent l="0" t="0" r="19050" b="9525"/>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4AD2E7FC" w14:textId="77777777" w:rsidR="007F2783" w:rsidRPr="003272B7" w:rsidRDefault="007F2783" w:rsidP="0091793B">
      <w:pPr>
        <w:spacing w:line="360" w:lineRule="auto"/>
        <w:rPr>
          <w:rFonts w:cs="Times New Roman"/>
          <w:b/>
          <w:szCs w:val="24"/>
        </w:rPr>
      </w:pPr>
      <w:r w:rsidRPr="003272B7">
        <w:rPr>
          <w:rFonts w:cs="Times New Roman"/>
          <w:noProof/>
          <w:szCs w:val="24"/>
        </w:rPr>
        <w:drawing>
          <wp:inline distT="0" distB="0" distL="0" distR="0" wp14:anchorId="35EA19BC" wp14:editId="70E9FEE3">
            <wp:extent cx="5943600" cy="2022475"/>
            <wp:effectExtent l="0" t="0" r="19050" b="15875"/>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81A9DD1" w14:textId="1F3D543A" w:rsidR="007F2783" w:rsidRDefault="009E4E51" w:rsidP="0091793B">
      <w:pPr>
        <w:spacing w:line="360" w:lineRule="auto"/>
      </w:pPr>
      <w:bookmarkStart w:id="47" w:name="_Toc416993471"/>
      <w:r>
        <w:t xml:space="preserve">Figure </w:t>
      </w:r>
      <w:fldSimple w:instr=" SEQ Figure \* ARABIC ">
        <w:r w:rsidR="00F3244B">
          <w:rPr>
            <w:noProof/>
          </w:rPr>
          <w:t>32</w:t>
        </w:r>
      </w:fldSimple>
      <w:r>
        <w:t xml:space="preserve">: </w:t>
      </w:r>
      <w:r w:rsidRPr="00A23CCF">
        <w:t xml:space="preserve">Average scalar flux throughout fuel lifetime: </w:t>
      </w:r>
      <w:r w:rsidR="00373287">
        <w:t>BOL</w:t>
      </w:r>
      <w:r w:rsidRPr="00A23CCF">
        <w:t xml:space="preserve"> (a), </w:t>
      </w:r>
      <w:r w:rsidR="00373287">
        <w:t>MOL</w:t>
      </w:r>
      <w:r w:rsidRPr="00A23CCF">
        <w:t xml:space="preserve"> (b), and </w:t>
      </w:r>
      <w:r w:rsidR="00373287">
        <w:t>EOL</w:t>
      </w:r>
      <w:r w:rsidRPr="00A23CCF">
        <w:t xml:space="preserve"> (c)</w:t>
      </w:r>
      <w:bookmarkEnd w:id="47"/>
      <w:r w:rsidRPr="00A23CCF">
        <w:t xml:space="preserve"> </w:t>
      </w:r>
    </w:p>
    <w:p w14:paraId="50252AA6" w14:textId="77777777" w:rsidR="003E4D27" w:rsidRDefault="003E4D27" w:rsidP="0091793B">
      <w:pPr>
        <w:spacing w:line="360" w:lineRule="auto"/>
        <w:rPr>
          <w:rFonts w:cs="Times New Roman"/>
          <w:szCs w:val="24"/>
        </w:rPr>
      </w:pPr>
    </w:p>
    <w:p w14:paraId="064A70FE" w14:textId="77777777" w:rsidR="00A41304" w:rsidRPr="003272B7" w:rsidRDefault="00A41304" w:rsidP="0091793B">
      <w:pPr>
        <w:spacing w:line="360" w:lineRule="auto"/>
        <w:rPr>
          <w:rFonts w:cs="Times New Roman"/>
          <w:szCs w:val="24"/>
        </w:rPr>
      </w:pPr>
    </w:p>
    <w:p w14:paraId="4619D786" w14:textId="77777777" w:rsidR="007F2783" w:rsidRPr="003272B7" w:rsidRDefault="007F2783" w:rsidP="0091793B">
      <w:pPr>
        <w:spacing w:line="360" w:lineRule="auto"/>
        <w:jc w:val="both"/>
        <w:rPr>
          <w:rFonts w:cs="Times New Roman"/>
          <w:b/>
          <w:szCs w:val="24"/>
        </w:rPr>
      </w:pPr>
      <w:r w:rsidRPr="003272B7">
        <w:rPr>
          <w:rFonts w:cs="Times New Roman"/>
          <w:b/>
          <w:szCs w:val="24"/>
        </w:rPr>
        <w:lastRenderedPageBreak/>
        <w:t>V.</w:t>
      </w:r>
      <w:r w:rsidR="008860C4">
        <w:rPr>
          <w:rFonts w:cs="Times New Roman"/>
          <w:b/>
          <w:szCs w:val="24"/>
        </w:rPr>
        <w:t>C</w:t>
      </w:r>
      <w:r w:rsidRPr="003272B7">
        <w:rPr>
          <w:rFonts w:cs="Times New Roman"/>
          <w:b/>
          <w:szCs w:val="24"/>
        </w:rPr>
        <w:t>.</w:t>
      </w:r>
      <w:r w:rsidR="008860C4">
        <w:rPr>
          <w:rFonts w:cs="Times New Roman"/>
          <w:b/>
          <w:szCs w:val="24"/>
        </w:rPr>
        <w:t>2</w:t>
      </w:r>
      <w:r>
        <w:rPr>
          <w:rFonts w:cs="Times New Roman"/>
          <w:b/>
          <w:szCs w:val="24"/>
        </w:rPr>
        <w:t>.</w:t>
      </w:r>
      <w:r w:rsidRPr="003272B7">
        <w:rPr>
          <w:rFonts w:cs="Times New Roman"/>
          <w:b/>
          <w:szCs w:val="24"/>
        </w:rPr>
        <w:t xml:space="preserve"> </w:t>
      </w:r>
      <w:r>
        <w:rPr>
          <w:rFonts w:cs="Times New Roman"/>
          <w:b/>
          <w:szCs w:val="24"/>
        </w:rPr>
        <w:tab/>
      </w:r>
      <w:r>
        <w:rPr>
          <w:rFonts w:cs="Times New Roman"/>
          <w:b/>
          <w:szCs w:val="24"/>
        </w:rPr>
        <w:tab/>
        <w:t xml:space="preserve">Alternate Cladding </w:t>
      </w:r>
      <w:r w:rsidRPr="003272B7">
        <w:rPr>
          <w:rFonts w:cs="Times New Roman"/>
          <w:b/>
          <w:szCs w:val="24"/>
        </w:rPr>
        <w:t>Spectral Hardening</w:t>
      </w:r>
    </w:p>
    <w:p w14:paraId="686E180D" w14:textId="77777777" w:rsidR="007F2783" w:rsidRPr="003272B7" w:rsidRDefault="007F2783" w:rsidP="0091793B">
      <w:pPr>
        <w:spacing w:line="360" w:lineRule="auto"/>
        <w:jc w:val="both"/>
        <w:rPr>
          <w:rFonts w:cs="Times New Roman"/>
          <w:szCs w:val="24"/>
        </w:rPr>
      </w:pPr>
      <w:r w:rsidRPr="003272B7">
        <w:rPr>
          <w:rFonts w:cs="Times New Roman"/>
          <w:szCs w:val="24"/>
        </w:rPr>
        <w:t xml:space="preserve">Spectral hardening was investigated next for the Fe-based, SiC and </w:t>
      </w:r>
      <w:r w:rsidR="00F4572D">
        <w:rPr>
          <w:rFonts w:cs="Times New Roman"/>
          <w:szCs w:val="24"/>
        </w:rPr>
        <w:t>Zircaloy</w:t>
      </w:r>
      <w:r w:rsidRPr="003272B7">
        <w:rPr>
          <w:rFonts w:cs="Times New Roman"/>
          <w:szCs w:val="24"/>
        </w:rPr>
        <w:t xml:space="preserve"> cladding materials under consideration. For this study, the neutron flux was calculated across a plane perpendicular to the axial direction of the rod at the center height spanning across the entire cell (fuel, cladding, and moderator). Lethargy was then calculated for each point so that the normalized flux per unit lethargy could be plotted at each </w:t>
      </w:r>
      <w:r w:rsidR="00D551CA">
        <w:rPr>
          <w:rFonts w:cs="Times New Roman"/>
          <w:szCs w:val="24"/>
        </w:rPr>
        <w:t xml:space="preserve">of the 238 energy groups. </w:t>
      </w:r>
      <w:r w:rsidR="00563708">
        <w:rPr>
          <w:rFonts w:cs="Times New Roman"/>
          <w:szCs w:val="24"/>
        </w:rPr>
        <w:t>Figure</w:t>
      </w:r>
      <w:r w:rsidR="00D551CA">
        <w:rPr>
          <w:rFonts w:cs="Times New Roman"/>
          <w:szCs w:val="24"/>
        </w:rPr>
        <w:t xml:space="preserve"> </w:t>
      </w:r>
      <w:r w:rsidR="00563708">
        <w:rPr>
          <w:rFonts w:cs="Times New Roman"/>
          <w:szCs w:val="24"/>
        </w:rPr>
        <w:t>33</w:t>
      </w:r>
      <w:r w:rsidRPr="003272B7">
        <w:rPr>
          <w:rFonts w:cs="Times New Roman"/>
          <w:szCs w:val="24"/>
        </w:rPr>
        <w:t xml:space="preserve"> corresponds to the flux spectra at BOL. </w:t>
      </w:r>
    </w:p>
    <w:p w14:paraId="629DABE6" w14:textId="77777777" w:rsidR="007F2783" w:rsidRPr="003272B7" w:rsidRDefault="007F2783" w:rsidP="0091793B">
      <w:pPr>
        <w:spacing w:line="360" w:lineRule="auto"/>
        <w:rPr>
          <w:rFonts w:cs="Times New Roman"/>
          <w:b/>
          <w:szCs w:val="24"/>
        </w:rPr>
      </w:pPr>
    </w:p>
    <w:p w14:paraId="55D87616" w14:textId="77777777" w:rsidR="007F2783" w:rsidRPr="003272B7" w:rsidRDefault="007F2783" w:rsidP="0091793B">
      <w:pPr>
        <w:keepNext/>
        <w:spacing w:line="360" w:lineRule="auto"/>
        <w:rPr>
          <w:rFonts w:cs="Times New Roman"/>
          <w:b/>
          <w:szCs w:val="24"/>
        </w:rPr>
      </w:pPr>
      <w:r w:rsidRPr="003272B7">
        <w:rPr>
          <w:rFonts w:cs="Times New Roman"/>
          <w:b/>
          <w:noProof/>
          <w:szCs w:val="24"/>
        </w:rPr>
        <w:drawing>
          <wp:inline distT="0" distB="0" distL="0" distR="0" wp14:anchorId="5BE43024" wp14:editId="5C17C1A6">
            <wp:extent cx="4552950" cy="2790831"/>
            <wp:effectExtent l="0" t="0" r="0"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4558609" cy="2794300"/>
                    </a:xfrm>
                    <a:prstGeom prst="rect">
                      <a:avLst/>
                    </a:prstGeom>
                    <a:noFill/>
                    <a:ln>
                      <a:noFill/>
                    </a:ln>
                  </pic:spPr>
                </pic:pic>
              </a:graphicData>
            </a:graphic>
          </wp:inline>
        </w:drawing>
      </w:r>
    </w:p>
    <w:p w14:paraId="6C371A88" w14:textId="0ED4FF1A" w:rsidR="007F2783" w:rsidRDefault="009E4E51" w:rsidP="0091793B">
      <w:pPr>
        <w:spacing w:line="360" w:lineRule="auto"/>
      </w:pPr>
      <w:bookmarkStart w:id="48" w:name="_Toc416993472"/>
      <w:r>
        <w:t xml:space="preserve">Figure </w:t>
      </w:r>
      <w:fldSimple w:instr=" SEQ Figure \* ARABIC ">
        <w:r w:rsidR="00F3244B">
          <w:rPr>
            <w:noProof/>
          </w:rPr>
          <w:t>33</w:t>
        </w:r>
      </w:fldSimple>
      <w:r>
        <w:t xml:space="preserve">: </w:t>
      </w:r>
      <w:r w:rsidRPr="001E7DFA">
        <w:t xml:space="preserve">Neutron flux spectrum at </w:t>
      </w:r>
      <w:r w:rsidR="00373287">
        <w:t>BOL</w:t>
      </w:r>
      <w:bookmarkEnd w:id="48"/>
    </w:p>
    <w:p w14:paraId="1901CCDE" w14:textId="77777777" w:rsidR="003E4D27" w:rsidRPr="003272B7" w:rsidRDefault="003E4D27" w:rsidP="0091793B">
      <w:pPr>
        <w:spacing w:line="360" w:lineRule="auto"/>
        <w:rPr>
          <w:b/>
          <w:szCs w:val="24"/>
        </w:rPr>
      </w:pPr>
    </w:p>
    <w:p w14:paraId="751D250E" w14:textId="77777777" w:rsidR="007F2783" w:rsidRPr="00DF6D6B" w:rsidRDefault="007F2783" w:rsidP="0091793B">
      <w:pPr>
        <w:pStyle w:val="FIGCAP1line"/>
        <w:spacing w:line="360" w:lineRule="auto"/>
        <w:jc w:val="both"/>
        <w:rPr>
          <w:b w:val="0"/>
          <w:sz w:val="24"/>
          <w:szCs w:val="24"/>
        </w:rPr>
      </w:pPr>
      <w:r w:rsidRPr="003272B7">
        <w:rPr>
          <w:b w:val="0"/>
          <w:sz w:val="24"/>
          <w:szCs w:val="24"/>
        </w:rPr>
        <w:t xml:space="preserve">The spectrum also was plotted at MOL and EOL. Analysis of the thermal peaks indicates that cladding materials containing higher absorbing isotopes produce a harder neutron spectrum throughout the depletion cycle. More thermal neutrons are being absorbed in the FeCrAl and 310SS cladding; therefore, the fraction of fast neutrons in the system increases. Thus, the thermal peak shown in the top left corner of </w:t>
      </w:r>
      <w:r w:rsidR="00563708">
        <w:rPr>
          <w:b w:val="0"/>
          <w:sz w:val="24"/>
          <w:szCs w:val="24"/>
        </w:rPr>
        <w:t>Figure</w:t>
      </w:r>
      <w:r w:rsidRPr="003272B7">
        <w:rPr>
          <w:b w:val="0"/>
          <w:sz w:val="24"/>
          <w:szCs w:val="24"/>
        </w:rPr>
        <w:t xml:space="preserve"> </w:t>
      </w:r>
      <w:r w:rsidR="00563708">
        <w:rPr>
          <w:b w:val="0"/>
          <w:sz w:val="24"/>
          <w:szCs w:val="24"/>
        </w:rPr>
        <w:t>33</w:t>
      </w:r>
      <w:r w:rsidRPr="003272B7">
        <w:rPr>
          <w:b w:val="0"/>
          <w:sz w:val="24"/>
          <w:szCs w:val="24"/>
        </w:rPr>
        <w:t xml:space="preserve"> is lower for the higher absorbing materials and higher for </w:t>
      </w:r>
      <w:r w:rsidR="00F4572D">
        <w:rPr>
          <w:b w:val="0"/>
          <w:sz w:val="24"/>
          <w:szCs w:val="24"/>
        </w:rPr>
        <w:t>Zircaloy</w:t>
      </w:r>
      <w:r w:rsidRPr="003272B7">
        <w:rPr>
          <w:b w:val="0"/>
          <w:sz w:val="24"/>
          <w:szCs w:val="24"/>
        </w:rPr>
        <w:t xml:space="preserve"> and SiC. For all four cases, a hardening of the spectrum was found from BOL </w:t>
      </w:r>
      <w:r w:rsidRPr="003272B7">
        <w:rPr>
          <w:b w:val="0"/>
          <w:sz w:val="24"/>
          <w:szCs w:val="24"/>
        </w:rPr>
        <w:lastRenderedPageBreak/>
        <w:t>to EOL as the thermal peaks at 0.1 eV decrease and the fast peaks at 1 MeV increase. This phenomenon is due to the depletion of overall fissile material and, in turn, an increased accumulation of fission product</w:t>
      </w:r>
      <w:r w:rsidR="00DF6D6B">
        <w:rPr>
          <w:b w:val="0"/>
          <w:sz w:val="24"/>
          <w:szCs w:val="24"/>
        </w:rPr>
        <w:t xml:space="preserve">s and actinides in the system. </w:t>
      </w:r>
    </w:p>
    <w:p w14:paraId="3F8E754A" w14:textId="77777777" w:rsidR="00F62552" w:rsidRDefault="00F62552" w:rsidP="0091793B">
      <w:pPr>
        <w:spacing w:line="360" w:lineRule="auto"/>
        <w:jc w:val="both"/>
        <w:rPr>
          <w:rFonts w:cs="Times New Roman"/>
          <w:szCs w:val="24"/>
        </w:rPr>
      </w:pPr>
    </w:p>
    <w:p w14:paraId="064C8D7D" w14:textId="77777777" w:rsidR="00274225" w:rsidRDefault="00274225" w:rsidP="0091793B">
      <w:pPr>
        <w:spacing w:line="360" w:lineRule="auto"/>
        <w:jc w:val="both"/>
        <w:rPr>
          <w:rFonts w:cs="Times New Roman"/>
          <w:szCs w:val="24"/>
        </w:rPr>
      </w:pPr>
    </w:p>
    <w:p w14:paraId="57366E20" w14:textId="77777777" w:rsidR="007F2783" w:rsidRPr="004B73AF" w:rsidRDefault="007F2783" w:rsidP="0091793B">
      <w:pPr>
        <w:spacing w:line="360" w:lineRule="auto"/>
        <w:jc w:val="both"/>
        <w:rPr>
          <w:rFonts w:cs="Times New Roman"/>
          <w:b/>
          <w:sz w:val="28"/>
          <w:szCs w:val="24"/>
        </w:rPr>
      </w:pPr>
      <w:proofErr w:type="gramStart"/>
      <w:r w:rsidRPr="007F2783">
        <w:rPr>
          <w:rFonts w:cs="Times New Roman"/>
          <w:b/>
          <w:sz w:val="28"/>
          <w:szCs w:val="24"/>
        </w:rPr>
        <w:t>V.D.</w:t>
      </w:r>
      <w:proofErr w:type="gramEnd"/>
      <w:r w:rsidRPr="007F2783">
        <w:rPr>
          <w:rFonts w:cs="Times New Roman"/>
          <w:b/>
          <w:sz w:val="28"/>
          <w:szCs w:val="24"/>
        </w:rPr>
        <w:tab/>
      </w:r>
      <w:r w:rsidRPr="007F2783">
        <w:rPr>
          <w:rFonts w:cs="Times New Roman"/>
          <w:b/>
          <w:sz w:val="28"/>
          <w:szCs w:val="24"/>
        </w:rPr>
        <w:tab/>
        <w:t>Reactivity Coefficients</w:t>
      </w:r>
    </w:p>
    <w:p w14:paraId="5E2B9E16" w14:textId="63307FBB" w:rsidR="007F2783" w:rsidRDefault="007F2783" w:rsidP="0091793B">
      <w:pPr>
        <w:spacing w:line="360" w:lineRule="auto"/>
        <w:jc w:val="both"/>
        <w:rPr>
          <w:rFonts w:cs="Times New Roman"/>
          <w:szCs w:val="24"/>
        </w:rPr>
      </w:pPr>
      <w:r w:rsidRPr="003272B7">
        <w:rPr>
          <w:rFonts w:cs="Times New Roman"/>
          <w:szCs w:val="24"/>
        </w:rPr>
        <w:t xml:space="preserve">In keeping with the safety standards of operational PWRs, it is imperative that each cladding material maintains negative moderator and void coefficients. Because only minor changes were made to the fuel enrichment, the Doppler coefficient was expected to be consistent with that of standard PWR fuel and was therefore not investigated in this study. Thus, moderator temperature and void reactivity responses were calculated for each alternate cladding case by perturbing the conditions of the coolant. To simulate the effective density changes of water for each temperature perturbation, a Fluid Properties Database </w:t>
      </w:r>
      <w:r w:rsidR="00CB7B4E">
        <w:rPr>
          <w:rFonts w:cs="Times New Roman"/>
          <w:szCs w:val="24"/>
        </w:rPr>
        <w:t>Program from the NIST</w:t>
      </w:r>
      <w:r w:rsidR="00E97B42">
        <w:rPr>
          <w:rFonts w:cs="Times New Roman"/>
          <w:szCs w:val="24"/>
        </w:rPr>
        <w:t xml:space="preserve"> </w:t>
      </w:r>
      <w:r w:rsidRPr="003272B7">
        <w:rPr>
          <w:rFonts w:cs="Times New Roman"/>
          <w:szCs w:val="24"/>
        </w:rPr>
        <w:t>was used</w:t>
      </w:r>
      <w:r w:rsidR="00DF20CB">
        <w:rPr>
          <w:rFonts w:cs="Times New Roman"/>
          <w:szCs w:val="24"/>
        </w:rPr>
        <w:t xml:space="preserve"> </w:t>
      </w:r>
      <w:r w:rsidR="00DF20CB">
        <w:rPr>
          <w:rFonts w:cs="Times New Roman"/>
          <w:szCs w:val="24"/>
        </w:rPr>
        <w:fldChar w:fldCharType="begin"/>
      </w:r>
      <w:r w:rsidR="00DF20CB">
        <w:rPr>
          <w:rFonts w:cs="Times New Roman"/>
          <w:szCs w:val="24"/>
        </w:rPr>
        <w:instrText xml:space="preserve"> ADDIN EN.CITE &lt;EndNote&gt;&lt;Cite&gt;&lt;Author&gt;Lemmon&lt;/Author&gt;&lt;Year&gt;2007&lt;/Year&gt;&lt;RecNum&gt;46&lt;/RecNum&gt;&lt;DisplayText&gt;[54]&lt;/DisplayText&gt;&lt;record&gt;&lt;rec-number&gt;46&lt;/rec-number&gt;&lt;foreign-keys&gt;&lt;key app="EN" db-id="trfxzx057wwv0qe0vz1vttttwf0522tvtwpt" timestamp="1422130004"&gt;46&lt;/key&gt;&lt;/foreign-keys&gt;&lt;ref-type name="Generic"&gt;13&lt;/ref-type&gt;&lt;contributors&gt;&lt;authors&gt;&lt;author&gt;Lemmon, EW&lt;/author&gt;&lt;author&gt;Peskin, AP&lt;/author&gt;&lt;author&gt;McLinden, MO&lt;/author&gt;&lt;author&gt;Friend, DG&lt;/author&gt;&lt;/authors&gt;&lt;/contributors&gt;&lt;titles&gt;&lt;title&gt;NIST12 Thermodynamic and Transport Properties of Pure Fluids-NIST Standard Reference Database 23&lt;/title&gt;&lt;/titles&gt;&lt;dates&gt;&lt;year&gt;2007&lt;/year&gt;&lt;/dates&gt;&lt;publisher&gt;Version&lt;/publisher&gt;&lt;urls&gt;&lt;/urls&gt;&lt;/record&gt;&lt;/Cite&gt;&lt;/EndNote&gt;</w:instrText>
      </w:r>
      <w:r w:rsidR="00DF20CB">
        <w:rPr>
          <w:rFonts w:cs="Times New Roman"/>
          <w:szCs w:val="24"/>
        </w:rPr>
        <w:fldChar w:fldCharType="separate"/>
      </w:r>
      <w:r w:rsidR="00DF20CB">
        <w:rPr>
          <w:rFonts w:cs="Times New Roman"/>
          <w:noProof/>
          <w:szCs w:val="24"/>
        </w:rPr>
        <w:t>[</w:t>
      </w:r>
      <w:hyperlink w:anchor="_ENREF_54" w:tooltip="Lemmon, 2007 #46" w:history="1">
        <w:r w:rsidR="00DF20CB">
          <w:rPr>
            <w:rFonts w:cs="Times New Roman"/>
            <w:noProof/>
            <w:szCs w:val="24"/>
          </w:rPr>
          <w:t>54</w:t>
        </w:r>
      </w:hyperlink>
      <w:r w:rsidR="00DF20CB">
        <w:rPr>
          <w:rFonts w:cs="Times New Roman"/>
          <w:noProof/>
          <w:szCs w:val="24"/>
        </w:rPr>
        <w:t>]</w:t>
      </w:r>
      <w:r w:rsidR="00DF20CB">
        <w:rPr>
          <w:rFonts w:cs="Times New Roman"/>
          <w:szCs w:val="24"/>
        </w:rPr>
        <w:fldChar w:fldCharType="end"/>
      </w:r>
      <w:r w:rsidR="00D00A8B">
        <w:rPr>
          <w:rFonts w:cs="Times New Roman"/>
          <w:szCs w:val="24"/>
        </w:rPr>
        <w:t xml:space="preserve">. </w:t>
      </w:r>
      <w:r w:rsidRPr="003272B7">
        <w:rPr>
          <w:rFonts w:cs="Times New Roman"/>
          <w:szCs w:val="24"/>
        </w:rPr>
        <w:t>When simulating the presence of superheated steam in the coolant, the density of water was decreased by the fraction of</w:t>
      </w:r>
      <w:r w:rsidR="00F32DE9">
        <w:rPr>
          <w:rFonts w:cs="Times New Roman"/>
          <w:szCs w:val="24"/>
        </w:rPr>
        <w:t xml:space="preserve"> the void in the system. Table X</w:t>
      </w:r>
      <w:r w:rsidRPr="003272B7">
        <w:rPr>
          <w:rFonts w:cs="Times New Roman"/>
          <w:szCs w:val="24"/>
        </w:rPr>
        <w:t>III summarizes the temperature and density perturbations made for each alternate cladding study. Perturbations branch from the nominal base case conditions, which are a moderator temperature of 580 K (0.7119 g/cm</w:t>
      </w:r>
      <w:r w:rsidRPr="003272B7">
        <w:rPr>
          <w:rFonts w:cs="Times New Roman"/>
          <w:szCs w:val="24"/>
          <w:vertAlign w:val="superscript"/>
        </w:rPr>
        <w:t>3</w:t>
      </w:r>
      <w:r w:rsidRPr="003272B7">
        <w:rPr>
          <w:rFonts w:cs="Times New Roman"/>
          <w:szCs w:val="24"/>
        </w:rPr>
        <w:t>) and 0% void. In all o</w:t>
      </w:r>
      <w:r w:rsidR="00F32DE9">
        <w:rPr>
          <w:rFonts w:cs="Times New Roman"/>
          <w:szCs w:val="24"/>
        </w:rPr>
        <w:t>f the cases</w:t>
      </w:r>
      <w:r w:rsidRPr="003272B7">
        <w:rPr>
          <w:rFonts w:cs="Times New Roman"/>
          <w:szCs w:val="24"/>
        </w:rPr>
        <w:t>, the boron concentration was maintained at the average conditions of 630 ppm, and therefore the analysis is for representative fuel burnups rather than for accurate operating conditions; that effect</w:t>
      </w:r>
      <w:r w:rsidR="009120DE">
        <w:rPr>
          <w:rFonts w:cs="Times New Roman"/>
          <w:szCs w:val="24"/>
        </w:rPr>
        <w:t xml:space="preserve"> is observed independently</w:t>
      </w:r>
      <w:r w:rsidR="00125D92">
        <w:rPr>
          <w:rFonts w:cs="Times New Roman"/>
          <w:szCs w:val="24"/>
        </w:rPr>
        <w:t xml:space="preserve"> below</w:t>
      </w:r>
      <w:r w:rsidRPr="003272B7">
        <w:rPr>
          <w:rFonts w:cs="Times New Roman"/>
          <w:szCs w:val="24"/>
        </w:rPr>
        <w:t>.</w:t>
      </w:r>
    </w:p>
    <w:p w14:paraId="4A5C9160" w14:textId="1A569F82" w:rsidR="0000081E" w:rsidRPr="00442FCA" w:rsidRDefault="00A41304" w:rsidP="0091793B">
      <w:pPr>
        <w:spacing w:line="360" w:lineRule="auto"/>
        <w:jc w:val="both"/>
        <w:rPr>
          <w:rFonts w:cs="Times New Roman"/>
          <w:szCs w:val="24"/>
        </w:rPr>
      </w:pPr>
      <w:r w:rsidRPr="003272B7">
        <w:rPr>
          <w:rFonts w:cs="Times New Roman"/>
          <w:szCs w:val="24"/>
        </w:rPr>
        <w:t>To change the temperature and density parameters throughout the depletion cycle, branch perturbations were run in the SCALE model. Rather than deplete the fuel separately with each change in moderator property, a nominal model was run with the base conditions described above. From there, the isotopics of the nominal model were used at each timestep simulating instantane</w:t>
      </w:r>
      <w:r>
        <w:rPr>
          <w:rFonts w:cs="Times New Roman"/>
          <w:szCs w:val="24"/>
        </w:rPr>
        <w:t xml:space="preserve">ous perturbations. Table </w:t>
      </w:r>
      <w:r w:rsidRPr="003272B7">
        <w:rPr>
          <w:rFonts w:cs="Times New Roman"/>
          <w:szCs w:val="24"/>
        </w:rPr>
        <w:t>X</w:t>
      </w:r>
      <w:r>
        <w:rPr>
          <w:rFonts w:cs="Times New Roman"/>
          <w:szCs w:val="24"/>
        </w:rPr>
        <w:t>IV</w:t>
      </w:r>
      <w:r w:rsidRPr="003272B7">
        <w:rPr>
          <w:rFonts w:cs="Times New Roman"/>
          <w:szCs w:val="24"/>
        </w:rPr>
        <w:t xml:space="preserve"> represents th</w:t>
      </w:r>
      <w:r>
        <w:rPr>
          <w:rFonts w:cs="Times New Roman"/>
          <w:szCs w:val="24"/>
        </w:rPr>
        <w:t>e MTC at BOL, MOL</w:t>
      </w:r>
      <w:r w:rsidRPr="003272B7">
        <w:rPr>
          <w:rFonts w:cs="Times New Roman"/>
          <w:szCs w:val="24"/>
        </w:rPr>
        <w:t>, and EOL. For these calculations as well as the remaining spectral and radial analyses done in later sections, thickness and enrichment specifica</w:t>
      </w:r>
      <w:r>
        <w:rPr>
          <w:rFonts w:cs="Times New Roman"/>
          <w:szCs w:val="24"/>
        </w:rPr>
        <w:t>tions were taken from Table XI.</w:t>
      </w:r>
    </w:p>
    <w:p w14:paraId="5C41F27B" w14:textId="77777777" w:rsidR="007F2783" w:rsidRPr="003272B7" w:rsidRDefault="00B25C95" w:rsidP="00241031">
      <w:pPr>
        <w:rPr>
          <w:rFonts w:eastAsia="Times New Roman" w:cs="Times New Roman"/>
          <w:b/>
          <w:snapToGrid w:val="0"/>
          <w:szCs w:val="24"/>
        </w:rPr>
      </w:pPr>
      <w:bookmarkStart w:id="49" w:name="_Toc416993436"/>
      <w:r>
        <w:lastRenderedPageBreak/>
        <w:t xml:space="preserve">Table </w:t>
      </w:r>
      <w:fldSimple w:instr=" SEQ Table \* ROMAN ">
        <w:r w:rsidR="00EC7A3E">
          <w:rPr>
            <w:noProof/>
          </w:rPr>
          <w:t>XIII</w:t>
        </w:r>
      </w:fldSimple>
      <w:r>
        <w:t xml:space="preserve">. </w:t>
      </w:r>
      <w:r w:rsidRPr="00125F9B">
        <w:t>Reactivity Safety Coefficient Perturbations in Moderator</w:t>
      </w:r>
      <w:bookmarkEnd w:id="49"/>
    </w:p>
    <w:tbl>
      <w:tblPr>
        <w:tblW w:w="6465" w:type="dxa"/>
        <w:jc w:val="center"/>
        <w:tblInd w:w="1762" w:type="dxa"/>
        <w:tblLook w:val="04A0" w:firstRow="1" w:lastRow="0" w:firstColumn="1" w:lastColumn="0" w:noHBand="0" w:noVBand="1"/>
      </w:tblPr>
      <w:tblGrid>
        <w:gridCol w:w="1703"/>
        <w:gridCol w:w="1629"/>
        <w:gridCol w:w="1521"/>
        <w:gridCol w:w="1612"/>
      </w:tblGrid>
      <w:tr w:rsidR="007F2783" w:rsidRPr="003272B7" w14:paraId="59C36BE6" w14:textId="77777777" w:rsidTr="006342BC">
        <w:trPr>
          <w:trHeight w:val="318"/>
          <w:jc w:val="center"/>
        </w:trPr>
        <w:tc>
          <w:tcPr>
            <w:tcW w:w="3332" w:type="dxa"/>
            <w:gridSpan w:val="2"/>
            <w:tcBorders>
              <w:top w:val="single" w:sz="4" w:space="0" w:color="auto"/>
              <w:left w:val="nil"/>
              <w:bottom w:val="nil"/>
              <w:right w:val="single" w:sz="4" w:space="0" w:color="auto"/>
            </w:tcBorders>
            <w:shd w:val="clear" w:color="000000" w:fill="F2F2F2"/>
            <w:noWrap/>
            <w:vAlign w:val="center"/>
            <w:hideMark/>
          </w:tcPr>
          <w:p w14:paraId="69003405" w14:textId="77777777" w:rsidR="007F2783" w:rsidRPr="003272B7" w:rsidRDefault="007F2783" w:rsidP="00241031">
            <w:pPr>
              <w:spacing w:after="0"/>
              <w:rPr>
                <w:rFonts w:eastAsia="Times New Roman" w:cs="Times New Roman"/>
                <w:b/>
                <w:bCs/>
                <w:sz w:val="20"/>
                <w:szCs w:val="18"/>
              </w:rPr>
            </w:pPr>
            <w:r w:rsidRPr="003272B7">
              <w:rPr>
                <w:rFonts w:eastAsia="Times New Roman" w:cs="Times New Roman"/>
                <w:b/>
                <w:bCs/>
                <w:sz w:val="20"/>
                <w:szCs w:val="18"/>
              </w:rPr>
              <w:t>Moderator Temp Coefficient</w:t>
            </w:r>
          </w:p>
        </w:tc>
        <w:tc>
          <w:tcPr>
            <w:tcW w:w="3133" w:type="dxa"/>
            <w:gridSpan w:val="2"/>
            <w:tcBorders>
              <w:top w:val="single" w:sz="4" w:space="0" w:color="auto"/>
              <w:left w:val="single" w:sz="4" w:space="0" w:color="auto"/>
              <w:bottom w:val="nil"/>
              <w:right w:val="nil"/>
            </w:tcBorders>
            <w:shd w:val="clear" w:color="000000" w:fill="F2F2F2"/>
            <w:noWrap/>
            <w:vAlign w:val="center"/>
            <w:hideMark/>
          </w:tcPr>
          <w:p w14:paraId="47D88DC4" w14:textId="77777777" w:rsidR="007F2783" w:rsidRPr="003272B7" w:rsidRDefault="007F2783" w:rsidP="00241031">
            <w:pPr>
              <w:spacing w:after="0"/>
              <w:rPr>
                <w:rFonts w:eastAsia="Times New Roman" w:cs="Times New Roman"/>
                <w:b/>
                <w:bCs/>
                <w:sz w:val="20"/>
                <w:szCs w:val="18"/>
              </w:rPr>
            </w:pPr>
            <w:r w:rsidRPr="003272B7">
              <w:rPr>
                <w:rFonts w:eastAsia="Times New Roman" w:cs="Times New Roman"/>
                <w:b/>
                <w:bCs/>
                <w:sz w:val="20"/>
                <w:szCs w:val="18"/>
              </w:rPr>
              <w:t>Moderator Void Coefficient</w:t>
            </w:r>
          </w:p>
        </w:tc>
      </w:tr>
      <w:tr w:rsidR="007F2783" w:rsidRPr="003272B7" w14:paraId="1CC52EDD" w14:textId="77777777" w:rsidTr="006342BC">
        <w:trPr>
          <w:trHeight w:val="318"/>
          <w:jc w:val="center"/>
        </w:trPr>
        <w:tc>
          <w:tcPr>
            <w:tcW w:w="1703" w:type="dxa"/>
            <w:tcBorders>
              <w:top w:val="nil"/>
              <w:left w:val="nil"/>
              <w:bottom w:val="single" w:sz="4" w:space="0" w:color="auto"/>
              <w:right w:val="nil"/>
            </w:tcBorders>
            <w:shd w:val="clear" w:color="000000" w:fill="F2F2F2"/>
            <w:noWrap/>
            <w:vAlign w:val="center"/>
            <w:hideMark/>
          </w:tcPr>
          <w:p w14:paraId="390F2C46" w14:textId="77777777" w:rsidR="007F2783" w:rsidRPr="003272B7" w:rsidRDefault="007F2783" w:rsidP="00241031">
            <w:pPr>
              <w:spacing w:after="0"/>
              <w:rPr>
                <w:rFonts w:eastAsia="Times New Roman" w:cs="Times New Roman"/>
                <w:b/>
                <w:bCs/>
                <w:sz w:val="20"/>
                <w:szCs w:val="18"/>
              </w:rPr>
            </w:pPr>
            <w:r w:rsidRPr="003272B7">
              <w:rPr>
                <w:rFonts w:eastAsia="Times New Roman" w:cs="Times New Roman"/>
                <w:b/>
                <w:bCs/>
                <w:sz w:val="20"/>
                <w:szCs w:val="18"/>
              </w:rPr>
              <w:t>Temperature (K)</w:t>
            </w:r>
          </w:p>
        </w:tc>
        <w:tc>
          <w:tcPr>
            <w:tcW w:w="1629" w:type="dxa"/>
            <w:tcBorders>
              <w:top w:val="nil"/>
              <w:left w:val="nil"/>
              <w:bottom w:val="single" w:sz="4" w:space="0" w:color="auto"/>
              <w:right w:val="single" w:sz="4" w:space="0" w:color="auto"/>
            </w:tcBorders>
            <w:shd w:val="clear" w:color="000000" w:fill="F2F2F2"/>
            <w:noWrap/>
            <w:vAlign w:val="center"/>
            <w:hideMark/>
          </w:tcPr>
          <w:p w14:paraId="16224B7B" w14:textId="77777777" w:rsidR="007F2783" w:rsidRPr="003272B7" w:rsidRDefault="007F2783" w:rsidP="00241031">
            <w:pPr>
              <w:spacing w:after="0"/>
              <w:rPr>
                <w:rFonts w:eastAsia="Times New Roman" w:cs="Times New Roman"/>
                <w:b/>
                <w:bCs/>
                <w:sz w:val="20"/>
                <w:szCs w:val="18"/>
              </w:rPr>
            </w:pPr>
            <w:r w:rsidRPr="003272B7">
              <w:rPr>
                <w:rFonts w:eastAsia="Times New Roman" w:cs="Times New Roman"/>
                <w:b/>
                <w:bCs/>
                <w:sz w:val="20"/>
                <w:szCs w:val="18"/>
              </w:rPr>
              <w:t>Density (g/cm</w:t>
            </w:r>
            <w:r w:rsidRPr="003272B7">
              <w:rPr>
                <w:rFonts w:eastAsia="Times New Roman" w:cs="Times New Roman"/>
                <w:b/>
                <w:bCs/>
                <w:sz w:val="20"/>
                <w:szCs w:val="18"/>
                <w:vertAlign w:val="superscript"/>
              </w:rPr>
              <w:t>3</w:t>
            </w:r>
            <w:r w:rsidRPr="003272B7">
              <w:rPr>
                <w:rFonts w:eastAsia="Times New Roman" w:cs="Times New Roman"/>
                <w:b/>
                <w:bCs/>
                <w:sz w:val="20"/>
                <w:szCs w:val="18"/>
              </w:rPr>
              <w:t>)</w:t>
            </w:r>
          </w:p>
        </w:tc>
        <w:tc>
          <w:tcPr>
            <w:tcW w:w="1521" w:type="dxa"/>
            <w:tcBorders>
              <w:top w:val="nil"/>
              <w:left w:val="single" w:sz="4" w:space="0" w:color="auto"/>
              <w:bottom w:val="single" w:sz="4" w:space="0" w:color="auto"/>
              <w:right w:val="nil"/>
            </w:tcBorders>
            <w:shd w:val="clear" w:color="000000" w:fill="F2F2F2"/>
            <w:noWrap/>
            <w:vAlign w:val="center"/>
            <w:hideMark/>
          </w:tcPr>
          <w:p w14:paraId="3CB65D30" w14:textId="77777777" w:rsidR="007F2783" w:rsidRPr="003272B7" w:rsidRDefault="007F2783" w:rsidP="00241031">
            <w:pPr>
              <w:spacing w:after="0"/>
              <w:rPr>
                <w:rFonts w:eastAsia="Times New Roman" w:cs="Times New Roman"/>
                <w:b/>
                <w:bCs/>
                <w:sz w:val="20"/>
                <w:szCs w:val="18"/>
              </w:rPr>
            </w:pPr>
            <w:r w:rsidRPr="003272B7">
              <w:rPr>
                <w:rFonts w:eastAsia="Times New Roman" w:cs="Times New Roman"/>
                <w:b/>
                <w:bCs/>
                <w:sz w:val="20"/>
                <w:szCs w:val="18"/>
              </w:rPr>
              <w:t>Void (%)</w:t>
            </w:r>
          </w:p>
        </w:tc>
        <w:tc>
          <w:tcPr>
            <w:tcW w:w="1612" w:type="dxa"/>
            <w:tcBorders>
              <w:top w:val="nil"/>
              <w:left w:val="nil"/>
              <w:bottom w:val="single" w:sz="4" w:space="0" w:color="auto"/>
              <w:right w:val="nil"/>
            </w:tcBorders>
            <w:shd w:val="clear" w:color="000000" w:fill="F2F2F2"/>
            <w:noWrap/>
            <w:vAlign w:val="center"/>
            <w:hideMark/>
          </w:tcPr>
          <w:p w14:paraId="3B21DA6C" w14:textId="77777777" w:rsidR="007F2783" w:rsidRPr="003272B7" w:rsidRDefault="007F2783" w:rsidP="00241031">
            <w:pPr>
              <w:spacing w:after="0"/>
              <w:rPr>
                <w:rFonts w:eastAsia="Times New Roman" w:cs="Times New Roman"/>
                <w:b/>
                <w:bCs/>
                <w:sz w:val="20"/>
                <w:szCs w:val="18"/>
              </w:rPr>
            </w:pPr>
            <w:r w:rsidRPr="003272B7">
              <w:rPr>
                <w:rFonts w:eastAsia="Times New Roman" w:cs="Times New Roman"/>
                <w:b/>
                <w:bCs/>
                <w:sz w:val="20"/>
                <w:szCs w:val="18"/>
              </w:rPr>
              <w:t>Density (g/cm</w:t>
            </w:r>
            <w:r w:rsidRPr="003272B7">
              <w:rPr>
                <w:rFonts w:eastAsia="Times New Roman" w:cs="Times New Roman"/>
                <w:b/>
                <w:bCs/>
                <w:sz w:val="20"/>
                <w:szCs w:val="18"/>
                <w:vertAlign w:val="superscript"/>
              </w:rPr>
              <w:t>3</w:t>
            </w:r>
            <w:r w:rsidRPr="003272B7">
              <w:rPr>
                <w:rFonts w:eastAsia="Times New Roman" w:cs="Times New Roman"/>
                <w:b/>
                <w:bCs/>
                <w:sz w:val="20"/>
                <w:szCs w:val="18"/>
              </w:rPr>
              <w:t>)</w:t>
            </w:r>
          </w:p>
        </w:tc>
      </w:tr>
      <w:tr w:rsidR="007F2783" w:rsidRPr="003272B7" w14:paraId="3822FFD8" w14:textId="77777777" w:rsidTr="006342BC">
        <w:trPr>
          <w:trHeight w:val="318"/>
          <w:jc w:val="center"/>
        </w:trPr>
        <w:tc>
          <w:tcPr>
            <w:tcW w:w="1703" w:type="dxa"/>
            <w:tcBorders>
              <w:top w:val="nil"/>
              <w:left w:val="nil"/>
              <w:bottom w:val="nil"/>
              <w:right w:val="nil"/>
            </w:tcBorders>
            <w:shd w:val="clear" w:color="auto" w:fill="auto"/>
            <w:noWrap/>
            <w:vAlign w:val="bottom"/>
            <w:hideMark/>
          </w:tcPr>
          <w:p w14:paraId="53A38EA7"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560</w:t>
            </w:r>
          </w:p>
        </w:tc>
        <w:tc>
          <w:tcPr>
            <w:tcW w:w="1629" w:type="dxa"/>
            <w:tcBorders>
              <w:top w:val="nil"/>
              <w:left w:val="nil"/>
              <w:bottom w:val="nil"/>
              <w:right w:val="single" w:sz="4" w:space="0" w:color="auto"/>
            </w:tcBorders>
            <w:shd w:val="clear" w:color="auto" w:fill="auto"/>
            <w:noWrap/>
            <w:vAlign w:val="bottom"/>
            <w:hideMark/>
          </w:tcPr>
          <w:p w14:paraId="44A4899D"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0.7521</w:t>
            </w:r>
          </w:p>
        </w:tc>
        <w:tc>
          <w:tcPr>
            <w:tcW w:w="1521" w:type="dxa"/>
            <w:tcBorders>
              <w:top w:val="nil"/>
              <w:left w:val="single" w:sz="4" w:space="0" w:color="auto"/>
              <w:bottom w:val="nil"/>
              <w:right w:val="nil"/>
            </w:tcBorders>
            <w:shd w:val="clear" w:color="auto" w:fill="auto"/>
            <w:noWrap/>
            <w:vAlign w:val="bottom"/>
            <w:hideMark/>
          </w:tcPr>
          <w:p w14:paraId="774029EB" w14:textId="77777777" w:rsidR="007F2783" w:rsidRPr="003272B7" w:rsidRDefault="007F2783" w:rsidP="00241031">
            <w:pPr>
              <w:spacing w:after="0"/>
              <w:rPr>
                <w:rFonts w:eastAsia="Times New Roman" w:cs="Times New Roman"/>
                <w:b/>
                <w:color w:val="000000"/>
                <w:sz w:val="20"/>
                <w:szCs w:val="18"/>
              </w:rPr>
            </w:pPr>
            <w:r w:rsidRPr="003272B7">
              <w:rPr>
                <w:rFonts w:eastAsia="Times New Roman" w:cs="Times New Roman"/>
                <w:b/>
                <w:color w:val="000000"/>
                <w:sz w:val="20"/>
                <w:szCs w:val="18"/>
              </w:rPr>
              <w:t>0%</w:t>
            </w:r>
          </w:p>
        </w:tc>
        <w:tc>
          <w:tcPr>
            <w:tcW w:w="1612" w:type="dxa"/>
            <w:tcBorders>
              <w:top w:val="nil"/>
              <w:left w:val="nil"/>
              <w:bottom w:val="nil"/>
              <w:right w:val="nil"/>
            </w:tcBorders>
            <w:shd w:val="clear" w:color="auto" w:fill="auto"/>
            <w:noWrap/>
            <w:vAlign w:val="bottom"/>
            <w:hideMark/>
          </w:tcPr>
          <w:p w14:paraId="73950D0F" w14:textId="77777777" w:rsidR="007F2783" w:rsidRPr="003272B7" w:rsidRDefault="007F2783" w:rsidP="00241031">
            <w:pPr>
              <w:spacing w:after="0"/>
              <w:rPr>
                <w:rFonts w:eastAsia="Times New Roman" w:cs="Times New Roman"/>
                <w:b/>
                <w:color w:val="000000"/>
                <w:sz w:val="20"/>
                <w:szCs w:val="18"/>
              </w:rPr>
            </w:pPr>
            <w:r w:rsidRPr="003272B7">
              <w:rPr>
                <w:rFonts w:eastAsia="Times New Roman" w:cs="Times New Roman"/>
                <w:b/>
                <w:color w:val="000000"/>
                <w:sz w:val="20"/>
                <w:szCs w:val="18"/>
              </w:rPr>
              <w:t>0.7119</w:t>
            </w:r>
          </w:p>
        </w:tc>
      </w:tr>
      <w:tr w:rsidR="007F2783" w:rsidRPr="003272B7" w14:paraId="19D2BA00" w14:textId="77777777" w:rsidTr="006342BC">
        <w:trPr>
          <w:trHeight w:val="318"/>
          <w:jc w:val="center"/>
        </w:trPr>
        <w:tc>
          <w:tcPr>
            <w:tcW w:w="1703" w:type="dxa"/>
            <w:tcBorders>
              <w:top w:val="nil"/>
              <w:left w:val="nil"/>
              <w:bottom w:val="nil"/>
              <w:right w:val="nil"/>
            </w:tcBorders>
            <w:shd w:val="clear" w:color="auto" w:fill="auto"/>
            <w:noWrap/>
            <w:vAlign w:val="bottom"/>
            <w:hideMark/>
          </w:tcPr>
          <w:p w14:paraId="31BDE400"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570</w:t>
            </w:r>
          </w:p>
        </w:tc>
        <w:tc>
          <w:tcPr>
            <w:tcW w:w="1629" w:type="dxa"/>
            <w:tcBorders>
              <w:top w:val="nil"/>
              <w:left w:val="nil"/>
              <w:bottom w:val="nil"/>
              <w:right w:val="single" w:sz="4" w:space="0" w:color="auto"/>
            </w:tcBorders>
            <w:shd w:val="clear" w:color="auto" w:fill="auto"/>
            <w:noWrap/>
            <w:vAlign w:val="bottom"/>
            <w:hideMark/>
          </w:tcPr>
          <w:p w14:paraId="5CE0A85E"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0.7329</w:t>
            </w:r>
          </w:p>
        </w:tc>
        <w:tc>
          <w:tcPr>
            <w:tcW w:w="1521" w:type="dxa"/>
            <w:tcBorders>
              <w:top w:val="nil"/>
              <w:left w:val="single" w:sz="4" w:space="0" w:color="auto"/>
              <w:bottom w:val="nil"/>
              <w:right w:val="nil"/>
            </w:tcBorders>
            <w:shd w:val="clear" w:color="auto" w:fill="auto"/>
            <w:noWrap/>
            <w:vAlign w:val="bottom"/>
            <w:hideMark/>
          </w:tcPr>
          <w:p w14:paraId="31A80C38"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5%</w:t>
            </w:r>
          </w:p>
        </w:tc>
        <w:tc>
          <w:tcPr>
            <w:tcW w:w="1612" w:type="dxa"/>
            <w:tcBorders>
              <w:top w:val="nil"/>
              <w:left w:val="nil"/>
              <w:bottom w:val="nil"/>
              <w:right w:val="nil"/>
            </w:tcBorders>
            <w:shd w:val="clear" w:color="auto" w:fill="auto"/>
            <w:noWrap/>
            <w:vAlign w:val="bottom"/>
            <w:hideMark/>
          </w:tcPr>
          <w:p w14:paraId="16E993AB"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0.6763</w:t>
            </w:r>
          </w:p>
        </w:tc>
      </w:tr>
      <w:tr w:rsidR="007F2783" w:rsidRPr="003272B7" w14:paraId="7046F965" w14:textId="77777777" w:rsidTr="006342BC">
        <w:trPr>
          <w:trHeight w:val="318"/>
          <w:jc w:val="center"/>
        </w:trPr>
        <w:tc>
          <w:tcPr>
            <w:tcW w:w="1703" w:type="dxa"/>
            <w:tcBorders>
              <w:top w:val="nil"/>
              <w:left w:val="nil"/>
              <w:bottom w:val="nil"/>
              <w:right w:val="nil"/>
            </w:tcBorders>
            <w:shd w:val="clear" w:color="auto" w:fill="auto"/>
            <w:noWrap/>
            <w:vAlign w:val="bottom"/>
            <w:hideMark/>
          </w:tcPr>
          <w:p w14:paraId="4436524A"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575</w:t>
            </w:r>
          </w:p>
        </w:tc>
        <w:tc>
          <w:tcPr>
            <w:tcW w:w="1629" w:type="dxa"/>
            <w:tcBorders>
              <w:top w:val="nil"/>
              <w:left w:val="nil"/>
              <w:bottom w:val="nil"/>
              <w:right w:val="single" w:sz="4" w:space="0" w:color="auto"/>
            </w:tcBorders>
            <w:shd w:val="clear" w:color="auto" w:fill="auto"/>
            <w:noWrap/>
            <w:vAlign w:val="bottom"/>
            <w:hideMark/>
          </w:tcPr>
          <w:p w14:paraId="72FFB4E0"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0.7227</w:t>
            </w:r>
          </w:p>
        </w:tc>
        <w:tc>
          <w:tcPr>
            <w:tcW w:w="1521" w:type="dxa"/>
            <w:tcBorders>
              <w:top w:val="nil"/>
              <w:left w:val="single" w:sz="4" w:space="0" w:color="auto"/>
              <w:bottom w:val="nil"/>
              <w:right w:val="nil"/>
            </w:tcBorders>
            <w:shd w:val="clear" w:color="auto" w:fill="auto"/>
            <w:noWrap/>
            <w:vAlign w:val="bottom"/>
            <w:hideMark/>
          </w:tcPr>
          <w:p w14:paraId="56CAE6F7"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10%</w:t>
            </w:r>
          </w:p>
        </w:tc>
        <w:tc>
          <w:tcPr>
            <w:tcW w:w="1612" w:type="dxa"/>
            <w:tcBorders>
              <w:top w:val="nil"/>
              <w:left w:val="nil"/>
              <w:bottom w:val="nil"/>
              <w:right w:val="nil"/>
            </w:tcBorders>
            <w:shd w:val="clear" w:color="auto" w:fill="auto"/>
            <w:noWrap/>
            <w:vAlign w:val="bottom"/>
            <w:hideMark/>
          </w:tcPr>
          <w:p w14:paraId="410B79A8"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0.6407</w:t>
            </w:r>
          </w:p>
        </w:tc>
      </w:tr>
      <w:tr w:rsidR="007F2783" w:rsidRPr="003272B7" w14:paraId="5D03E081" w14:textId="77777777" w:rsidTr="006342BC">
        <w:trPr>
          <w:trHeight w:val="318"/>
          <w:jc w:val="center"/>
        </w:trPr>
        <w:tc>
          <w:tcPr>
            <w:tcW w:w="1703" w:type="dxa"/>
            <w:tcBorders>
              <w:top w:val="nil"/>
              <w:left w:val="nil"/>
              <w:bottom w:val="nil"/>
              <w:right w:val="nil"/>
            </w:tcBorders>
            <w:shd w:val="clear" w:color="auto" w:fill="auto"/>
            <w:noWrap/>
            <w:vAlign w:val="bottom"/>
            <w:hideMark/>
          </w:tcPr>
          <w:p w14:paraId="6DDA8FF3" w14:textId="77777777" w:rsidR="007F2783" w:rsidRPr="003272B7" w:rsidRDefault="007F2783" w:rsidP="00241031">
            <w:pPr>
              <w:spacing w:after="0"/>
              <w:rPr>
                <w:rFonts w:eastAsia="Times New Roman" w:cs="Times New Roman"/>
                <w:b/>
                <w:color w:val="000000"/>
                <w:sz w:val="20"/>
                <w:szCs w:val="18"/>
              </w:rPr>
            </w:pPr>
            <w:r w:rsidRPr="003272B7">
              <w:rPr>
                <w:rFonts w:eastAsia="Times New Roman" w:cs="Times New Roman"/>
                <w:b/>
                <w:color w:val="000000"/>
                <w:sz w:val="20"/>
                <w:szCs w:val="18"/>
              </w:rPr>
              <w:t>580</w:t>
            </w:r>
          </w:p>
        </w:tc>
        <w:tc>
          <w:tcPr>
            <w:tcW w:w="1629" w:type="dxa"/>
            <w:tcBorders>
              <w:top w:val="nil"/>
              <w:left w:val="nil"/>
              <w:bottom w:val="nil"/>
              <w:right w:val="single" w:sz="4" w:space="0" w:color="auto"/>
            </w:tcBorders>
            <w:shd w:val="clear" w:color="auto" w:fill="auto"/>
            <w:noWrap/>
            <w:vAlign w:val="bottom"/>
            <w:hideMark/>
          </w:tcPr>
          <w:p w14:paraId="74D14BA5" w14:textId="77777777" w:rsidR="007F2783" w:rsidRPr="003272B7" w:rsidRDefault="007F2783" w:rsidP="00241031">
            <w:pPr>
              <w:spacing w:after="0"/>
              <w:rPr>
                <w:rFonts w:eastAsia="Times New Roman" w:cs="Times New Roman"/>
                <w:b/>
                <w:color w:val="000000"/>
                <w:sz w:val="20"/>
                <w:szCs w:val="18"/>
              </w:rPr>
            </w:pPr>
            <w:r w:rsidRPr="003272B7">
              <w:rPr>
                <w:rFonts w:eastAsia="Times New Roman" w:cs="Times New Roman"/>
                <w:b/>
                <w:color w:val="000000"/>
                <w:sz w:val="20"/>
                <w:szCs w:val="18"/>
              </w:rPr>
              <w:t>0.7119</w:t>
            </w:r>
          </w:p>
        </w:tc>
        <w:tc>
          <w:tcPr>
            <w:tcW w:w="1521" w:type="dxa"/>
            <w:tcBorders>
              <w:top w:val="nil"/>
              <w:left w:val="single" w:sz="4" w:space="0" w:color="auto"/>
              <w:bottom w:val="nil"/>
              <w:right w:val="nil"/>
            </w:tcBorders>
            <w:shd w:val="clear" w:color="auto" w:fill="auto"/>
            <w:noWrap/>
            <w:vAlign w:val="bottom"/>
            <w:hideMark/>
          </w:tcPr>
          <w:p w14:paraId="1C4FE836"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20%</w:t>
            </w:r>
          </w:p>
        </w:tc>
        <w:tc>
          <w:tcPr>
            <w:tcW w:w="1612" w:type="dxa"/>
            <w:tcBorders>
              <w:top w:val="nil"/>
              <w:left w:val="nil"/>
              <w:bottom w:val="nil"/>
              <w:right w:val="nil"/>
            </w:tcBorders>
            <w:shd w:val="clear" w:color="auto" w:fill="auto"/>
            <w:noWrap/>
            <w:vAlign w:val="bottom"/>
            <w:hideMark/>
          </w:tcPr>
          <w:p w14:paraId="408C2F6B"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0.5695</w:t>
            </w:r>
          </w:p>
        </w:tc>
      </w:tr>
      <w:tr w:rsidR="007F2783" w:rsidRPr="003272B7" w14:paraId="6DACF3C1" w14:textId="77777777" w:rsidTr="006342BC">
        <w:trPr>
          <w:trHeight w:val="318"/>
          <w:jc w:val="center"/>
        </w:trPr>
        <w:tc>
          <w:tcPr>
            <w:tcW w:w="1703" w:type="dxa"/>
            <w:tcBorders>
              <w:top w:val="nil"/>
              <w:left w:val="nil"/>
              <w:bottom w:val="nil"/>
              <w:right w:val="nil"/>
            </w:tcBorders>
            <w:shd w:val="clear" w:color="auto" w:fill="auto"/>
            <w:noWrap/>
            <w:vAlign w:val="bottom"/>
            <w:hideMark/>
          </w:tcPr>
          <w:p w14:paraId="78C89D63"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585</w:t>
            </w:r>
          </w:p>
        </w:tc>
        <w:tc>
          <w:tcPr>
            <w:tcW w:w="1629" w:type="dxa"/>
            <w:tcBorders>
              <w:top w:val="nil"/>
              <w:left w:val="nil"/>
              <w:bottom w:val="nil"/>
              <w:right w:val="single" w:sz="4" w:space="0" w:color="auto"/>
            </w:tcBorders>
            <w:shd w:val="clear" w:color="auto" w:fill="auto"/>
            <w:noWrap/>
            <w:vAlign w:val="bottom"/>
            <w:hideMark/>
          </w:tcPr>
          <w:p w14:paraId="434AC7B7"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0.7005</w:t>
            </w:r>
          </w:p>
        </w:tc>
        <w:tc>
          <w:tcPr>
            <w:tcW w:w="1521" w:type="dxa"/>
            <w:tcBorders>
              <w:top w:val="nil"/>
              <w:left w:val="single" w:sz="4" w:space="0" w:color="auto"/>
              <w:bottom w:val="nil"/>
              <w:right w:val="nil"/>
            </w:tcBorders>
            <w:shd w:val="clear" w:color="auto" w:fill="auto"/>
            <w:noWrap/>
            <w:vAlign w:val="bottom"/>
            <w:hideMark/>
          </w:tcPr>
          <w:p w14:paraId="26DC8EEC"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40%</w:t>
            </w:r>
          </w:p>
        </w:tc>
        <w:tc>
          <w:tcPr>
            <w:tcW w:w="1612" w:type="dxa"/>
            <w:tcBorders>
              <w:top w:val="nil"/>
              <w:left w:val="nil"/>
              <w:bottom w:val="nil"/>
              <w:right w:val="nil"/>
            </w:tcBorders>
            <w:shd w:val="clear" w:color="auto" w:fill="auto"/>
            <w:noWrap/>
            <w:vAlign w:val="bottom"/>
            <w:hideMark/>
          </w:tcPr>
          <w:p w14:paraId="7663CC99"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0.4271</w:t>
            </w:r>
          </w:p>
        </w:tc>
      </w:tr>
      <w:tr w:rsidR="007F2783" w:rsidRPr="003272B7" w14:paraId="0DD7F12B" w14:textId="77777777" w:rsidTr="006342BC">
        <w:trPr>
          <w:trHeight w:val="318"/>
          <w:jc w:val="center"/>
        </w:trPr>
        <w:tc>
          <w:tcPr>
            <w:tcW w:w="1703" w:type="dxa"/>
            <w:tcBorders>
              <w:top w:val="nil"/>
              <w:left w:val="nil"/>
              <w:bottom w:val="nil"/>
              <w:right w:val="nil"/>
            </w:tcBorders>
            <w:shd w:val="clear" w:color="auto" w:fill="auto"/>
            <w:noWrap/>
            <w:vAlign w:val="bottom"/>
            <w:hideMark/>
          </w:tcPr>
          <w:p w14:paraId="1F101BCA"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590</w:t>
            </w:r>
          </w:p>
        </w:tc>
        <w:tc>
          <w:tcPr>
            <w:tcW w:w="1629" w:type="dxa"/>
            <w:tcBorders>
              <w:top w:val="nil"/>
              <w:left w:val="nil"/>
              <w:bottom w:val="nil"/>
              <w:right w:val="single" w:sz="4" w:space="0" w:color="auto"/>
            </w:tcBorders>
            <w:shd w:val="clear" w:color="auto" w:fill="auto"/>
            <w:noWrap/>
            <w:vAlign w:val="bottom"/>
            <w:hideMark/>
          </w:tcPr>
          <w:p w14:paraId="4806E4C8"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0.6883</w:t>
            </w:r>
          </w:p>
        </w:tc>
        <w:tc>
          <w:tcPr>
            <w:tcW w:w="1521" w:type="dxa"/>
            <w:tcBorders>
              <w:top w:val="nil"/>
              <w:left w:val="single" w:sz="4" w:space="0" w:color="auto"/>
              <w:bottom w:val="nil"/>
              <w:right w:val="nil"/>
            </w:tcBorders>
            <w:shd w:val="clear" w:color="auto" w:fill="auto"/>
            <w:noWrap/>
            <w:vAlign w:val="bottom"/>
            <w:hideMark/>
          </w:tcPr>
          <w:p w14:paraId="4B83A2AC"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60%</w:t>
            </w:r>
          </w:p>
        </w:tc>
        <w:tc>
          <w:tcPr>
            <w:tcW w:w="1612" w:type="dxa"/>
            <w:tcBorders>
              <w:top w:val="nil"/>
              <w:left w:val="nil"/>
              <w:bottom w:val="nil"/>
              <w:right w:val="nil"/>
            </w:tcBorders>
            <w:shd w:val="clear" w:color="auto" w:fill="auto"/>
            <w:noWrap/>
            <w:vAlign w:val="bottom"/>
            <w:hideMark/>
          </w:tcPr>
          <w:p w14:paraId="14048E68"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0.2848</w:t>
            </w:r>
          </w:p>
        </w:tc>
      </w:tr>
      <w:tr w:rsidR="007F2783" w:rsidRPr="003272B7" w14:paraId="4E7E93E5" w14:textId="77777777" w:rsidTr="006342BC">
        <w:trPr>
          <w:trHeight w:val="318"/>
          <w:jc w:val="center"/>
        </w:trPr>
        <w:tc>
          <w:tcPr>
            <w:tcW w:w="1703" w:type="dxa"/>
            <w:tcBorders>
              <w:top w:val="nil"/>
              <w:left w:val="nil"/>
              <w:bottom w:val="single" w:sz="4" w:space="0" w:color="auto"/>
              <w:right w:val="nil"/>
            </w:tcBorders>
            <w:shd w:val="clear" w:color="auto" w:fill="auto"/>
            <w:noWrap/>
            <w:vAlign w:val="bottom"/>
            <w:hideMark/>
          </w:tcPr>
          <w:p w14:paraId="304BB9BE"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600</w:t>
            </w:r>
          </w:p>
        </w:tc>
        <w:tc>
          <w:tcPr>
            <w:tcW w:w="1629" w:type="dxa"/>
            <w:tcBorders>
              <w:top w:val="nil"/>
              <w:left w:val="nil"/>
              <w:bottom w:val="single" w:sz="4" w:space="0" w:color="auto"/>
              <w:right w:val="single" w:sz="4" w:space="0" w:color="auto"/>
            </w:tcBorders>
            <w:shd w:val="clear" w:color="auto" w:fill="auto"/>
            <w:noWrap/>
            <w:vAlign w:val="bottom"/>
            <w:hideMark/>
          </w:tcPr>
          <w:p w14:paraId="64216D90"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0.6612</w:t>
            </w:r>
          </w:p>
        </w:tc>
        <w:tc>
          <w:tcPr>
            <w:tcW w:w="1521" w:type="dxa"/>
            <w:tcBorders>
              <w:top w:val="nil"/>
              <w:left w:val="single" w:sz="4" w:space="0" w:color="auto"/>
              <w:bottom w:val="single" w:sz="4" w:space="0" w:color="auto"/>
              <w:right w:val="nil"/>
            </w:tcBorders>
            <w:shd w:val="clear" w:color="auto" w:fill="auto"/>
            <w:noWrap/>
            <w:vAlign w:val="bottom"/>
            <w:hideMark/>
          </w:tcPr>
          <w:p w14:paraId="71750859"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80%</w:t>
            </w:r>
          </w:p>
        </w:tc>
        <w:tc>
          <w:tcPr>
            <w:tcW w:w="1612" w:type="dxa"/>
            <w:tcBorders>
              <w:top w:val="nil"/>
              <w:left w:val="nil"/>
              <w:bottom w:val="single" w:sz="4" w:space="0" w:color="auto"/>
              <w:right w:val="nil"/>
            </w:tcBorders>
            <w:shd w:val="clear" w:color="auto" w:fill="auto"/>
            <w:noWrap/>
            <w:vAlign w:val="bottom"/>
            <w:hideMark/>
          </w:tcPr>
          <w:p w14:paraId="31CE32C6" w14:textId="77777777" w:rsidR="007F2783" w:rsidRPr="003272B7" w:rsidRDefault="007F2783" w:rsidP="00241031">
            <w:pPr>
              <w:spacing w:after="0"/>
              <w:rPr>
                <w:rFonts w:eastAsia="Times New Roman" w:cs="Times New Roman"/>
                <w:color w:val="000000"/>
                <w:sz w:val="20"/>
                <w:szCs w:val="18"/>
              </w:rPr>
            </w:pPr>
            <w:r w:rsidRPr="003272B7">
              <w:rPr>
                <w:rFonts w:eastAsia="Times New Roman" w:cs="Times New Roman"/>
                <w:color w:val="000000"/>
                <w:sz w:val="20"/>
                <w:szCs w:val="18"/>
              </w:rPr>
              <w:t>0.1424</w:t>
            </w:r>
          </w:p>
        </w:tc>
      </w:tr>
      <w:tr w:rsidR="007F2783" w:rsidRPr="003272B7" w14:paraId="3DBA2039" w14:textId="77777777" w:rsidTr="006342BC">
        <w:trPr>
          <w:trHeight w:val="318"/>
          <w:jc w:val="center"/>
        </w:trPr>
        <w:tc>
          <w:tcPr>
            <w:tcW w:w="6465" w:type="dxa"/>
            <w:gridSpan w:val="4"/>
            <w:tcBorders>
              <w:top w:val="single" w:sz="4" w:space="0" w:color="auto"/>
              <w:left w:val="nil"/>
              <w:right w:val="nil"/>
            </w:tcBorders>
            <w:shd w:val="clear" w:color="auto" w:fill="auto"/>
            <w:noWrap/>
            <w:vAlign w:val="bottom"/>
          </w:tcPr>
          <w:p w14:paraId="68FC9A58" w14:textId="77777777" w:rsidR="007F2783" w:rsidRPr="003272B7" w:rsidRDefault="007F2783" w:rsidP="0091793B">
            <w:pPr>
              <w:spacing w:after="0" w:line="360" w:lineRule="auto"/>
              <w:rPr>
                <w:rFonts w:eastAsia="Times New Roman" w:cs="Times New Roman"/>
                <w:i/>
                <w:color w:val="000000"/>
                <w:sz w:val="18"/>
                <w:szCs w:val="18"/>
                <w:highlight w:val="yellow"/>
              </w:rPr>
            </w:pPr>
            <w:r w:rsidRPr="003272B7">
              <w:rPr>
                <w:rFonts w:eastAsia="Times New Roman" w:cs="Times New Roman"/>
                <w:i/>
                <w:color w:val="000000"/>
                <w:sz w:val="18"/>
                <w:szCs w:val="18"/>
              </w:rPr>
              <w:t>Note:</w:t>
            </w:r>
            <w:r w:rsidRPr="003272B7">
              <w:rPr>
                <w:rFonts w:eastAsia="Times New Roman" w:cs="Times New Roman"/>
                <w:color w:val="000000"/>
                <w:sz w:val="18"/>
                <w:szCs w:val="18"/>
              </w:rPr>
              <w:t xml:space="preserve"> Nominal conditions are in bold.</w:t>
            </w:r>
          </w:p>
        </w:tc>
      </w:tr>
    </w:tbl>
    <w:p w14:paraId="38340907" w14:textId="77777777" w:rsidR="00B25C95" w:rsidRDefault="00B25C95" w:rsidP="0091793B">
      <w:pPr>
        <w:spacing w:line="360" w:lineRule="auto"/>
        <w:jc w:val="both"/>
        <w:rPr>
          <w:rFonts w:cs="Times New Roman"/>
          <w:szCs w:val="24"/>
        </w:rPr>
      </w:pPr>
    </w:p>
    <w:p w14:paraId="2529534F" w14:textId="77777777" w:rsidR="00A41304" w:rsidRPr="000808D8" w:rsidRDefault="00A41304" w:rsidP="0091793B">
      <w:pPr>
        <w:spacing w:line="360" w:lineRule="auto"/>
        <w:jc w:val="both"/>
        <w:rPr>
          <w:rFonts w:cs="Times New Roman"/>
          <w:szCs w:val="24"/>
        </w:rPr>
      </w:pPr>
    </w:p>
    <w:p w14:paraId="3F4B1C2C" w14:textId="77777777" w:rsidR="007F2783" w:rsidRPr="003272B7" w:rsidRDefault="00B25C95" w:rsidP="00241031">
      <w:pPr>
        <w:spacing w:line="360" w:lineRule="auto"/>
        <w:rPr>
          <w:rFonts w:eastAsia="Times New Roman" w:cs="Times New Roman"/>
          <w:b/>
          <w:snapToGrid w:val="0"/>
          <w:szCs w:val="24"/>
        </w:rPr>
      </w:pPr>
      <w:bookmarkStart w:id="50" w:name="_Toc416993437"/>
      <w:r>
        <w:t xml:space="preserve">Table </w:t>
      </w:r>
      <w:fldSimple w:instr=" SEQ Table \* ROMAN ">
        <w:r w:rsidR="00EC7A3E">
          <w:rPr>
            <w:noProof/>
          </w:rPr>
          <w:t>XIV</w:t>
        </w:r>
      </w:fldSimple>
      <w:r>
        <w:t xml:space="preserve">. </w:t>
      </w:r>
      <w:r w:rsidRPr="008B4158">
        <w:t xml:space="preserve"> Moderator Temperature Coefficient Map </w:t>
      </w:r>
      <w:proofErr w:type="gramStart"/>
      <w:r w:rsidRPr="008B4158">
        <w:t>Throughout</w:t>
      </w:r>
      <w:proofErr w:type="gramEnd"/>
      <w:r w:rsidRPr="008B4158">
        <w:t xml:space="preserve"> Depletion (pcm </w:t>
      </w:r>
      <w:r w:rsidRPr="008B4158">
        <w:rPr>
          <w:rFonts w:ascii="Cambria Math" w:hAnsi="Cambria Math" w:cs="Cambria Math"/>
        </w:rPr>
        <w:t>𝛥</w:t>
      </w:r>
      <w:r w:rsidRPr="008B4158">
        <w:t>ρ/°F) with an 18° F Change in Coolant Temperature</w:t>
      </w:r>
      <w:bookmarkEnd w:id="50"/>
    </w:p>
    <w:tbl>
      <w:tblPr>
        <w:tblW w:w="4608" w:type="dxa"/>
        <w:jc w:val="center"/>
        <w:tblInd w:w="386" w:type="dxa"/>
        <w:tblLook w:val="04A0" w:firstRow="1" w:lastRow="0" w:firstColumn="1" w:lastColumn="0" w:noHBand="0" w:noVBand="1"/>
      </w:tblPr>
      <w:tblGrid>
        <w:gridCol w:w="1152"/>
        <w:gridCol w:w="1152"/>
        <w:gridCol w:w="1152"/>
        <w:gridCol w:w="1152"/>
      </w:tblGrid>
      <w:tr w:rsidR="007F2783" w:rsidRPr="003272B7" w14:paraId="1F5408BA" w14:textId="77777777" w:rsidTr="006342BC">
        <w:trPr>
          <w:trHeight w:val="432"/>
          <w:jc w:val="center"/>
        </w:trPr>
        <w:tc>
          <w:tcPr>
            <w:tcW w:w="1152" w:type="dxa"/>
            <w:tcBorders>
              <w:top w:val="single" w:sz="4" w:space="0" w:color="auto"/>
              <w:left w:val="nil"/>
              <w:bottom w:val="nil"/>
            </w:tcBorders>
            <w:shd w:val="clear" w:color="auto" w:fill="F2F2F2" w:themeFill="background1" w:themeFillShade="F2"/>
            <w:noWrap/>
            <w:vAlign w:val="center"/>
            <w:hideMark/>
          </w:tcPr>
          <w:p w14:paraId="3F849A87" w14:textId="77777777" w:rsidR="007F2783" w:rsidRPr="003272B7" w:rsidRDefault="007F2783" w:rsidP="00241031">
            <w:pPr>
              <w:spacing w:after="0"/>
              <w:rPr>
                <w:rFonts w:eastAsia="Times New Roman" w:cs="Times New Roman"/>
                <w:color w:val="000000"/>
                <w:sz w:val="20"/>
                <w:szCs w:val="18"/>
              </w:rPr>
            </w:pPr>
          </w:p>
        </w:tc>
        <w:tc>
          <w:tcPr>
            <w:tcW w:w="1152" w:type="dxa"/>
            <w:tcBorders>
              <w:top w:val="single" w:sz="4" w:space="0" w:color="auto"/>
            </w:tcBorders>
            <w:shd w:val="clear" w:color="auto" w:fill="F2F2F2" w:themeFill="background1" w:themeFillShade="F2"/>
            <w:noWrap/>
            <w:vAlign w:val="center"/>
            <w:hideMark/>
          </w:tcPr>
          <w:p w14:paraId="5D28FF03" w14:textId="77777777" w:rsidR="007F2783" w:rsidRPr="003272B7" w:rsidRDefault="00373287" w:rsidP="00241031">
            <w:pPr>
              <w:spacing w:after="0"/>
              <w:rPr>
                <w:rFonts w:eastAsia="Times New Roman" w:cs="Times New Roman"/>
                <w:b/>
                <w:bCs/>
                <w:color w:val="000000"/>
                <w:sz w:val="20"/>
                <w:szCs w:val="18"/>
              </w:rPr>
            </w:pPr>
            <w:r>
              <w:rPr>
                <w:rFonts w:eastAsia="Times New Roman" w:cs="Times New Roman"/>
                <w:b/>
                <w:bCs/>
                <w:color w:val="000000"/>
                <w:sz w:val="20"/>
                <w:szCs w:val="18"/>
              </w:rPr>
              <w:t>BOL</w:t>
            </w:r>
          </w:p>
        </w:tc>
        <w:tc>
          <w:tcPr>
            <w:tcW w:w="1152" w:type="dxa"/>
            <w:tcBorders>
              <w:top w:val="single" w:sz="4" w:space="0" w:color="auto"/>
            </w:tcBorders>
            <w:shd w:val="clear" w:color="auto" w:fill="F2F2F2" w:themeFill="background1" w:themeFillShade="F2"/>
            <w:noWrap/>
            <w:vAlign w:val="center"/>
            <w:hideMark/>
          </w:tcPr>
          <w:p w14:paraId="08CC0B5B" w14:textId="77777777" w:rsidR="007F2783" w:rsidRPr="003272B7" w:rsidRDefault="00373287" w:rsidP="00241031">
            <w:pPr>
              <w:spacing w:after="0"/>
              <w:rPr>
                <w:rFonts w:eastAsia="Times New Roman" w:cs="Times New Roman"/>
                <w:b/>
                <w:bCs/>
                <w:color w:val="000000"/>
                <w:sz w:val="20"/>
                <w:szCs w:val="18"/>
              </w:rPr>
            </w:pPr>
            <w:r>
              <w:rPr>
                <w:rFonts w:eastAsia="Times New Roman" w:cs="Times New Roman"/>
                <w:b/>
                <w:bCs/>
                <w:color w:val="000000"/>
                <w:sz w:val="20"/>
                <w:szCs w:val="18"/>
              </w:rPr>
              <w:t>MOL</w:t>
            </w:r>
          </w:p>
        </w:tc>
        <w:tc>
          <w:tcPr>
            <w:tcW w:w="1152" w:type="dxa"/>
            <w:tcBorders>
              <w:top w:val="single" w:sz="4" w:space="0" w:color="auto"/>
            </w:tcBorders>
            <w:shd w:val="clear" w:color="auto" w:fill="F2F2F2" w:themeFill="background1" w:themeFillShade="F2"/>
            <w:noWrap/>
            <w:vAlign w:val="center"/>
            <w:hideMark/>
          </w:tcPr>
          <w:p w14:paraId="16DC5FCD" w14:textId="77777777" w:rsidR="007F2783" w:rsidRPr="003272B7" w:rsidRDefault="00373287" w:rsidP="00241031">
            <w:pPr>
              <w:spacing w:after="0"/>
              <w:rPr>
                <w:rFonts w:eastAsia="Times New Roman" w:cs="Times New Roman"/>
                <w:b/>
                <w:bCs/>
                <w:color w:val="000000"/>
                <w:sz w:val="20"/>
                <w:szCs w:val="18"/>
              </w:rPr>
            </w:pPr>
            <w:r>
              <w:rPr>
                <w:rFonts w:eastAsia="Times New Roman" w:cs="Times New Roman"/>
                <w:b/>
                <w:bCs/>
                <w:color w:val="000000"/>
                <w:sz w:val="20"/>
                <w:szCs w:val="18"/>
              </w:rPr>
              <w:t>EOL</w:t>
            </w:r>
          </w:p>
        </w:tc>
      </w:tr>
      <w:tr w:rsidR="007F2783" w:rsidRPr="003272B7" w14:paraId="5564F1AD" w14:textId="77777777" w:rsidTr="006342BC">
        <w:trPr>
          <w:trHeight w:val="288"/>
          <w:jc w:val="center"/>
        </w:trPr>
        <w:tc>
          <w:tcPr>
            <w:tcW w:w="1152" w:type="dxa"/>
            <w:tcBorders>
              <w:top w:val="single" w:sz="4" w:space="0" w:color="auto"/>
              <w:right w:val="nil"/>
            </w:tcBorders>
            <w:shd w:val="clear" w:color="auto" w:fill="auto"/>
            <w:noWrap/>
            <w:vAlign w:val="center"/>
            <w:hideMark/>
          </w:tcPr>
          <w:p w14:paraId="75DF8575" w14:textId="77777777" w:rsidR="007F2783" w:rsidRPr="003272B7" w:rsidRDefault="00F4572D" w:rsidP="00241031">
            <w:pPr>
              <w:spacing w:after="0"/>
              <w:rPr>
                <w:rFonts w:eastAsia="Times New Roman" w:cs="Times New Roman"/>
                <w:b/>
                <w:bCs/>
                <w:sz w:val="20"/>
                <w:szCs w:val="18"/>
              </w:rPr>
            </w:pPr>
            <w:r>
              <w:rPr>
                <w:rFonts w:eastAsia="Times New Roman" w:cs="Times New Roman"/>
                <w:b/>
                <w:bCs/>
                <w:sz w:val="20"/>
                <w:szCs w:val="18"/>
              </w:rPr>
              <w:t>Zircaloy</w:t>
            </w:r>
          </w:p>
        </w:tc>
        <w:tc>
          <w:tcPr>
            <w:tcW w:w="1152" w:type="dxa"/>
            <w:tcBorders>
              <w:top w:val="single" w:sz="4" w:space="0" w:color="auto"/>
              <w:left w:val="nil"/>
              <w:bottom w:val="nil"/>
              <w:right w:val="nil"/>
            </w:tcBorders>
            <w:shd w:val="clear" w:color="000000" w:fill="FFFFFF"/>
            <w:noWrap/>
            <w:vAlign w:val="center"/>
            <w:hideMark/>
          </w:tcPr>
          <w:p w14:paraId="1B0FDB0F"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-14.8</w:t>
            </w:r>
          </w:p>
        </w:tc>
        <w:tc>
          <w:tcPr>
            <w:tcW w:w="1152" w:type="dxa"/>
            <w:tcBorders>
              <w:top w:val="single" w:sz="4" w:space="0" w:color="auto"/>
              <w:left w:val="nil"/>
              <w:bottom w:val="nil"/>
              <w:right w:val="nil"/>
            </w:tcBorders>
            <w:shd w:val="clear" w:color="000000" w:fill="FFFFFF"/>
            <w:noWrap/>
            <w:vAlign w:val="center"/>
            <w:hideMark/>
          </w:tcPr>
          <w:p w14:paraId="4A53842C"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-25.8</w:t>
            </w:r>
          </w:p>
        </w:tc>
        <w:tc>
          <w:tcPr>
            <w:tcW w:w="1152" w:type="dxa"/>
            <w:tcBorders>
              <w:top w:val="single" w:sz="4" w:space="0" w:color="auto"/>
              <w:left w:val="nil"/>
              <w:bottom w:val="nil"/>
              <w:right w:val="nil"/>
            </w:tcBorders>
            <w:shd w:val="clear" w:color="000000" w:fill="FFFFFF"/>
            <w:noWrap/>
            <w:vAlign w:val="center"/>
            <w:hideMark/>
          </w:tcPr>
          <w:p w14:paraId="01026EE5"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-34.5</w:t>
            </w:r>
          </w:p>
        </w:tc>
      </w:tr>
      <w:tr w:rsidR="007F2783" w:rsidRPr="003272B7" w14:paraId="67D42B90" w14:textId="77777777" w:rsidTr="006342BC">
        <w:trPr>
          <w:trHeight w:val="288"/>
          <w:jc w:val="center"/>
        </w:trPr>
        <w:tc>
          <w:tcPr>
            <w:tcW w:w="1152" w:type="dxa"/>
            <w:tcBorders>
              <w:top w:val="nil"/>
              <w:right w:val="nil"/>
            </w:tcBorders>
            <w:shd w:val="clear" w:color="auto" w:fill="auto"/>
            <w:noWrap/>
            <w:vAlign w:val="center"/>
            <w:hideMark/>
          </w:tcPr>
          <w:p w14:paraId="1C985351" w14:textId="77777777" w:rsidR="007F2783" w:rsidRPr="003272B7" w:rsidRDefault="007F2783" w:rsidP="00241031">
            <w:pPr>
              <w:spacing w:after="0"/>
              <w:rPr>
                <w:rFonts w:eastAsia="Times New Roman" w:cs="Times New Roman"/>
                <w:b/>
                <w:bCs/>
                <w:sz w:val="20"/>
                <w:szCs w:val="18"/>
              </w:rPr>
            </w:pPr>
            <w:r w:rsidRPr="003272B7">
              <w:rPr>
                <w:rFonts w:eastAsia="Times New Roman" w:cs="Times New Roman"/>
                <w:b/>
                <w:bCs/>
                <w:sz w:val="20"/>
                <w:szCs w:val="18"/>
              </w:rPr>
              <w:t>310SS</w:t>
            </w:r>
          </w:p>
        </w:tc>
        <w:tc>
          <w:tcPr>
            <w:tcW w:w="1152" w:type="dxa"/>
            <w:tcBorders>
              <w:top w:val="nil"/>
              <w:left w:val="nil"/>
              <w:bottom w:val="nil"/>
              <w:right w:val="nil"/>
            </w:tcBorders>
            <w:shd w:val="clear" w:color="000000" w:fill="FFFFFF"/>
            <w:noWrap/>
            <w:vAlign w:val="center"/>
            <w:hideMark/>
          </w:tcPr>
          <w:p w14:paraId="1AC104B9"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-16.9</w:t>
            </w:r>
          </w:p>
        </w:tc>
        <w:tc>
          <w:tcPr>
            <w:tcW w:w="1152" w:type="dxa"/>
            <w:tcBorders>
              <w:top w:val="nil"/>
              <w:left w:val="nil"/>
              <w:bottom w:val="nil"/>
              <w:right w:val="nil"/>
            </w:tcBorders>
            <w:shd w:val="clear" w:color="000000" w:fill="FFFFFF"/>
            <w:noWrap/>
            <w:vAlign w:val="center"/>
            <w:hideMark/>
          </w:tcPr>
          <w:p w14:paraId="79DEECD1"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-25.9</w:t>
            </w:r>
          </w:p>
        </w:tc>
        <w:tc>
          <w:tcPr>
            <w:tcW w:w="1152" w:type="dxa"/>
            <w:tcBorders>
              <w:top w:val="nil"/>
              <w:left w:val="nil"/>
              <w:bottom w:val="nil"/>
              <w:right w:val="nil"/>
            </w:tcBorders>
            <w:shd w:val="clear" w:color="000000" w:fill="FFFFFF"/>
            <w:noWrap/>
            <w:vAlign w:val="center"/>
            <w:hideMark/>
          </w:tcPr>
          <w:p w14:paraId="7830164B"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-34.4</w:t>
            </w:r>
          </w:p>
        </w:tc>
      </w:tr>
      <w:tr w:rsidR="007F2783" w:rsidRPr="003272B7" w14:paraId="059AE1AD" w14:textId="77777777" w:rsidTr="006342BC">
        <w:trPr>
          <w:trHeight w:val="288"/>
          <w:jc w:val="center"/>
        </w:trPr>
        <w:tc>
          <w:tcPr>
            <w:tcW w:w="1152" w:type="dxa"/>
            <w:tcBorders>
              <w:top w:val="nil"/>
              <w:right w:val="nil"/>
            </w:tcBorders>
            <w:shd w:val="clear" w:color="auto" w:fill="auto"/>
            <w:noWrap/>
            <w:vAlign w:val="center"/>
            <w:hideMark/>
          </w:tcPr>
          <w:p w14:paraId="519817F1" w14:textId="77777777" w:rsidR="007F2783" w:rsidRPr="003272B7" w:rsidRDefault="007F2783" w:rsidP="00241031">
            <w:pPr>
              <w:spacing w:after="0"/>
              <w:rPr>
                <w:rFonts w:eastAsia="Times New Roman" w:cs="Times New Roman"/>
                <w:b/>
                <w:bCs/>
                <w:sz w:val="20"/>
                <w:szCs w:val="18"/>
              </w:rPr>
            </w:pPr>
            <w:r w:rsidRPr="003272B7">
              <w:rPr>
                <w:rFonts w:eastAsia="Times New Roman" w:cs="Times New Roman"/>
                <w:b/>
                <w:bCs/>
                <w:sz w:val="20"/>
                <w:szCs w:val="18"/>
              </w:rPr>
              <w:t>FeCrAl</w:t>
            </w:r>
          </w:p>
        </w:tc>
        <w:tc>
          <w:tcPr>
            <w:tcW w:w="1152" w:type="dxa"/>
            <w:tcBorders>
              <w:top w:val="nil"/>
              <w:left w:val="nil"/>
              <w:bottom w:val="nil"/>
              <w:right w:val="nil"/>
            </w:tcBorders>
            <w:shd w:val="clear" w:color="000000" w:fill="FFFFFF"/>
            <w:noWrap/>
            <w:vAlign w:val="center"/>
            <w:hideMark/>
          </w:tcPr>
          <w:p w14:paraId="52DB5037"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-16.5</w:t>
            </w:r>
          </w:p>
        </w:tc>
        <w:tc>
          <w:tcPr>
            <w:tcW w:w="1152" w:type="dxa"/>
            <w:tcBorders>
              <w:top w:val="nil"/>
              <w:left w:val="nil"/>
              <w:bottom w:val="nil"/>
              <w:right w:val="nil"/>
            </w:tcBorders>
            <w:shd w:val="clear" w:color="000000" w:fill="FFFFFF"/>
            <w:noWrap/>
            <w:vAlign w:val="center"/>
            <w:hideMark/>
          </w:tcPr>
          <w:p w14:paraId="42A13BC0"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-26.1</w:t>
            </w:r>
          </w:p>
        </w:tc>
        <w:tc>
          <w:tcPr>
            <w:tcW w:w="1152" w:type="dxa"/>
            <w:tcBorders>
              <w:top w:val="nil"/>
              <w:left w:val="nil"/>
              <w:bottom w:val="nil"/>
              <w:right w:val="nil"/>
            </w:tcBorders>
            <w:shd w:val="clear" w:color="000000" w:fill="FFFFFF"/>
            <w:noWrap/>
            <w:vAlign w:val="center"/>
            <w:hideMark/>
          </w:tcPr>
          <w:p w14:paraId="3E7E1290"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-34.5</w:t>
            </w:r>
          </w:p>
        </w:tc>
      </w:tr>
      <w:tr w:rsidR="007F2783" w:rsidRPr="003272B7" w14:paraId="15BBED2F" w14:textId="77777777" w:rsidTr="006342BC">
        <w:trPr>
          <w:trHeight w:val="288"/>
          <w:jc w:val="center"/>
        </w:trPr>
        <w:tc>
          <w:tcPr>
            <w:tcW w:w="1152" w:type="dxa"/>
            <w:tcBorders>
              <w:top w:val="nil"/>
              <w:bottom w:val="single" w:sz="4" w:space="0" w:color="auto"/>
              <w:right w:val="nil"/>
            </w:tcBorders>
            <w:shd w:val="clear" w:color="auto" w:fill="auto"/>
            <w:noWrap/>
            <w:vAlign w:val="center"/>
            <w:hideMark/>
          </w:tcPr>
          <w:p w14:paraId="21D068A4" w14:textId="77777777" w:rsidR="007F2783" w:rsidRPr="003272B7" w:rsidRDefault="007F2783" w:rsidP="00241031">
            <w:pPr>
              <w:spacing w:after="0"/>
              <w:rPr>
                <w:rFonts w:eastAsia="Times New Roman" w:cs="Times New Roman"/>
                <w:b/>
                <w:bCs/>
                <w:sz w:val="20"/>
                <w:szCs w:val="18"/>
              </w:rPr>
            </w:pPr>
            <w:r w:rsidRPr="003272B7">
              <w:rPr>
                <w:rFonts w:eastAsia="Times New Roman" w:cs="Times New Roman"/>
                <w:b/>
                <w:bCs/>
                <w:sz w:val="20"/>
                <w:szCs w:val="18"/>
              </w:rPr>
              <w:t>SiC</w:t>
            </w:r>
          </w:p>
        </w:tc>
        <w:tc>
          <w:tcPr>
            <w:tcW w:w="1152" w:type="dxa"/>
            <w:tcBorders>
              <w:top w:val="nil"/>
              <w:left w:val="nil"/>
              <w:bottom w:val="single" w:sz="4" w:space="0" w:color="auto"/>
              <w:right w:val="nil"/>
            </w:tcBorders>
            <w:shd w:val="clear" w:color="000000" w:fill="FFFFFF"/>
            <w:noWrap/>
            <w:vAlign w:val="center"/>
            <w:hideMark/>
          </w:tcPr>
          <w:p w14:paraId="534B174C"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-14.4</w:t>
            </w:r>
          </w:p>
        </w:tc>
        <w:tc>
          <w:tcPr>
            <w:tcW w:w="1152" w:type="dxa"/>
            <w:tcBorders>
              <w:top w:val="nil"/>
              <w:left w:val="nil"/>
              <w:bottom w:val="single" w:sz="4" w:space="0" w:color="auto"/>
              <w:right w:val="nil"/>
            </w:tcBorders>
            <w:shd w:val="clear" w:color="000000" w:fill="FFFFFF"/>
            <w:noWrap/>
            <w:vAlign w:val="center"/>
            <w:hideMark/>
          </w:tcPr>
          <w:p w14:paraId="02C98F89"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-25.5</w:t>
            </w:r>
          </w:p>
        </w:tc>
        <w:tc>
          <w:tcPr>
            <w:tcW w:w="1152" w:type="dxa"/>
            <w:tcBorders>
              <w:top w:val="nil"/>
              <w:left w:val="nil"/>
              <w:bottom w:val="single" w:sz="4" w:space="0" w:color="auto"/>
              <w:right w:val="nil"/>
            </w:tcBorders>
            <w:shd w:val="clear" w:color="000000" w:fill="FFFFFF"/>
            <w:noWrap/>
            <w:vAlign w:val="center"/>
            <w:hideMark/>
          </w:tcPr>
          <w:p w14:paraId="099434D8" w14:textId="77777777" w:rsidR="007F2783" w:rsidRPr="003272B7" w:rsidRDefault="007F2783" w:rsidP="00241031">
            <w:pPr>
              <w:spacing w:after="0"/>
              <w:rPr>
                <w:rFonts w:eastAsia="Times New Roman" w:cs="Times New Roman"/>
                <w:sz w:val="20"/>
                <w:szCs w:val="18"/>
              </w:rPr>
            </w:pPr>
            <w:r w:rsidRPr="003272B7">
              <w:rPr>
                <w:rFonts w:eastAsia="Times New Roman" w:cs="Times New Roman"/>
                <w:sz w:val="20"/>
                <w:szCs w:val="18"/>
              </w:rPr>
              <w:t>-34.1</w:t>
            </w:r>
          </w:p>
        </w:tc>
      </w:tr>
    </w:tbl>
    <w:p w14:paraId="6586DCB5" w14:textId="77777777" w:rsidR="001B315B" w:rsidRDefault="001B315B" w:rsidP="0091793B">
      <w:pPr>
        <w:spacing w:line="360" w:lineRule="auto"/>
        <w:jc w:val="both"/>
        <w:rPr>
          <w:rFonts w:cs="Times New Roman"/>
          <w:szCs w:val="24"/>
        </w:rPr>
      </w:pPr>
    </w:p>
    <w:p w14:paraId="01CE0900" w14:textId="77777777" w:rsidR="00241031" w:rsidRDefault="00241031" w:rsidP="0091793B">
      <w:pPr>
        <w:spacing w:line="360" w:lineRule="auto"/>
        <w:jc w:val="both"/>
        <w:rPr>
          <w:rFonts w:cs="Times New Roman"/>
          <w:szCs w:val="24"/>
        </w:rPr>
      </w:pPr>
    </w:p>
    <w:p w14:paraId="583BFCBF" w14:textId="77777777" w:rsidR="007F2783" w:rsidRPr="003272B7" w:rsidRDefault="007F2783" w:rsidP="0091793B">
      <w:pPr>
        <w:spacing w:line="360" w:lineRule="auto"/>
        <w:jc w:val="both"/>
        <w:rPr>
          <w:rFonts w:cs="Times New Roman"/>
          <w:szCs w:val="24"/>
        </w:rPr>
      </w:pPr>
      <w:r w:rsidRPr="003272B7">
        <w:rPr>
          <w:rFonts w:cs="Times New Roman"/>
          <w:szCs w:val="24"/>
        </w:rPr>
        <w:t xml:space="preserve">These results show a negative MTC for each cladding material for a range of fuel burnups. As the fuel is depleted, less fissile material is present in the system, making reactivity more sensitive to changes in the moderator temperature and thus number density of water molecules. If a traditional boron letdown were to be simulated per cycle, the MTC at BOL would be less negative because of the additional boron in the moderator. Conversely, the MTC at EOL would be more negative because of the near zero boron concentration in the system. The analysis initially was done at a constant boron level (630 ppm) to compare each cladding material relatively at a range of fuel burnups. Because the limiting case for MTC is when the boron </w:t>
      </w:r>
      <w:r w:rsidRPr="003272B7">
        <w:rPr>
          <w:rFonts w:cs="Times New Roman"/>
          <w:szCs w:val="24"/>
        </w:rPr>
        <w:lastRenderedPageBreak/>
        <w:t>concentration is highest during the cycle, the BOL coefficient was calculated for each case with 1,300 ppm boron, which is representative of BOL boron conditions for a modern PWR. As expected, MTC for each alternate cladding material was slightly more positive with additio</w:t>
      </w:r>
      <w:r w:rsidR="006E3142">
        <w:rPr>
          <w:rFonts w:cs="Times New Roman"/>
          <w:szCs w:val="24"/>
        </w:rPr>
        <w:t xml:space="preserve">nal boron. Consistent to Table </w:t>
      </w:r>
      <w:r w:rsidRPr="003272B7">
        <w:rPr>
          <w:rFonts w:cs="Times New Roman"/>
          <w:szCs w:val="24"/>
        </w:rPr>
        <w:t>X</w:t>
      </w:r>
      <w:r w:rsidR="00F32DE9">
        <w:rPr>
          <w:rFonts w:cs="Times New Roman"/>
          <w:szCs w:val="24"/>
        </w:rPr>
        <w:t>IV</w:t>
      </w:r>
      <w:r w:rsidRPr="003272B7">
        <w:rPr>
          <w:rFonts w:cs="Times New Roman"/>
          <w:szCs w:val="24"/>
        </w:rPr>
        <w:t xml:space="preserve">, SiC and </w:t>
      </w:r>
      <w:r w:rsidR="00F4572D">
        <w:rPr>
          <w:rFonts w:cs="Times New Roman"/>
          <w:szCs w:val="24"/>
        </w:rPr>
        <w:t>Zircaloy</w:t>
      </w:r>
      <w:r w:rsidRPr="003272B7">
        <w:rPr>
          <w:rFonts w:cs="Times New Roman"/>
          <w:szCs w:val="24"/>
        </w:rPr>
        <w:t xml:space="preserve"> produced the least negative MTC values at -9.4 and -8.8 pcm/°F, respectively, while 310SS and FeCrAl were slightly more negative at -12.2 a</w:t>
      </w:r>
      <w:r w:rsidR="000808D8">
        <w:rPr>
          <w:rFonts w:cs="Times New Roman"/>
          <w:szCs w:val="24"/>
        </w:rPr>
        <w:t xml:space="preserve">nd -11.6 pcm/°F, respectively. </w:t>
      </w:r>
    </w:p>
    <w:p w14:paraId="105C0AA0" w14:textId="77777777" w:rsidR="007F2783" w:rsidRPr="00DF6D6B" w:rsidRDefault="00442FCA" w:rsidP="0091793B">
      <w:pPr>
        <w:spacing w:line="360" w:lineRule="auto"/>
        <w:jc w:val="both"/>
        <w:rPr>
          <w:rFonts w:cs="Times New Roman"/>
        </w:rPr>
      </w:pPr>
      <w:r w:rsidRPr="00442FCA">
        <w:rPr>
          <w:rFonts w:cs="Times New Roman"/>
        </w:rPr>
        <w:t>In analyzing the void coefficient, the change in k-infinity upon the onset of superheated steam in the coolant was analyzed for each clad material. A steady decrease in k-infinity was found when the void fraction in the system coolant was increased. The minimal variance</w:t>
      </w:r>
      <w:r>
        <w:rPr>
          <w:rFonts w:cs="Times New Roman"/>
        </w:rPr>
        <w:t xml:space="preserve"> that was found</w:t>
      </w:r>
      <w:r w:rsidRPr="00442FCA">
        <w:rPr>
          <w:rFonts w:cs="Times New Roman"/>
        </w:rPr>
        <w:t xml:space="preserve"> among all four cases, including the Zircaloy base model, indicates that each cladding material will maintain operational standards similar to the other materials.</w:t>
      </w:r>
    </w:p>
    <w:p w14:paraId="3610616F" w14:textId="77777777" w:rsidR="00442FCA" w:rsidRDefault="00442FCA" w:rsidP="0091793B">
      <w:pPr>
        <w:spacing w:line="360" w:lineRule="auto"/>
        <w:jc w:val="both"/>
        <w:rPr>
          <w:rFonts w:cs="Times New Roman"/>
          <w:szCs w:val="24"/>
        </w:rPr>
      </w:pPr>
    </w:p>
    <w:p w14:paraId="2D76B9D7" w14:textId="77777777" w:rsidR="00E662B3" w:rsidRPr="00C94F60" w:rsidRDefault="007F2783" w:rsidP="0091793B">
      <w:pPr>
        <w:spacing w:line="360" w:lineRule="auto"/>
        <w:jc w:val="both"/>
        <w:rPr>
          <w:rFonts w:cs="Times New Roman"/>
          <w:b/>
          <w:sz w:val="28"/>
          <w:szCs w:val="24"/>
        </w:rPr>
      </w:pPr>
      <w:proofErr w:type="gramStart"/>
      <w:r w:rsidRPr="00C94F60">
        <w:rPr>
          <w:rFonts w:cs="Times New Roman"/>
          <w:b/>
          <w:sz w:val="28"/>
          <w:szCs w:val="24"/>
        </w:rPr>
        <w:t>V.</w:t>
      </w:r>
      <w:r w:rsidR="008860C4">
        <w:rPr>
          <w:rFonts w:cs="Times New Roman"/>
          <w:b/>
          <w:sz w:val="28"/>
          <w:szCs w:val="24"/>
        </w:rPr>
        <w:t>E</w:t>
      </w:r>
      <w:r w:rsidRPr="00C94F60">
        <w:rPr>
          <w:rFonts w:cs="Times New Roman"/>
          <w:b/>
          <w:sz w:val="28"/>
          <w:szCs w:val="24"/>
        </w:rPr>
        <w:t>.</w:t>
      </w:r>
      <w:proofErr w:type="gramEnd"/>
      <w:r w:rsidRPr="00C94F60">
        <w:rPr>
          <w:rFonts w:cs="Times New Roman"/>
          <w:b/>
          <w:sz w:val="28"/>
          <w:szCs w:val="24"/>
        </w:rPr>
        <w:t xml:space="preserve">  </w:t>
      </w:r>
      <w:r w:rsidRPr="00C94F60">
        <w:rPr>
          <w:rFonts w:cs="Times New Roman"/>
          <w:b/>
          <w:sz w:val="28"/>
          <w:szCs w:val="24"/>
        </w:rPr>
        <w:tab/>
      </w:r>
      <w:r w:rsidRPr="00C94F60">
        <w:rPr>
          <w:rFonts w:cs="Times New Roman"/>
          <w:b/>
          <w:sz w:val="28"/>
          <w:szCs w:val="24"/>
        </w:rPr>
        <w:tab/>
      </w:r>
      <w:r w:rsidR="00C94F60" w:rsidRPr="00C94F60">
        <w:rPr>
          <w:rFonts w:cs="Times New Roman"/>
          <w:b/>
          <w:sz w:val="28"/>
          <w:szCs w:val="24"/>
        </w:rPr>
        <w:t>FCM Lattice Power Peaking Calculations</w:t>
      </w:r>
    </w:p>
    <w:p w14:paraId="3EC430C4" w14:textId="77777777" w:rsidR="008D0155" w:rsidRPr="00013BA1" w:rsidRDefault="002F6460" w:rsidP="00241031">
      <w:pPr>
        <w:spacing w:line="360" w:lineRule="auto"/>
        <w:jc w:val="both"/>
      </w:pPr>
      <w:r w:rsidRPr="00013BA1">
        <w:t xml:space="preserve">An important part of determining the suitability of a nuclear fuel design is the ability to obtain acceptably low fuel-rod power peaking. If individual pins from an array are more reactive than the others, hot spot locations can arise, which reduces the design margin to thermal limits. Although unrealistic, a completely flat profile across the lattice would be ideal for control of the reactor. </w:t>
      </w:r>
      <w:r w:rsidR="008D0155">
        <w:t xml:space="preserve">Using the RPT method to model the FCM fuel, relative pin powers were plotted in a quarter </w:t>
      </w:r>
      <w:proofErr w:type="gramStart"/>
      <w:r w:rsidR="008D0155">
        <w:t>lattice</w:t>
      </w:r>
      <w:proofErr w:type="gramEnd"/>
      <w:r w:rsidR="008D0155">
        <w:t xml:space="preserve">. A maximum peaking value of 1.043 was recorded for the FCM design, representing </w:t>
      </w:r>
      <w:r w:rsidRPr="00013BA1">
        <w:t>excellent power sharing acros</w:t>
      </w:r>
      <w:r w:rsidR="008D0155">
        <w:t>s the FCM assembly compared to the</w:t>
      </w:r>
      <w:r w:rsidRPr="00013BA1">
        <w:t xml:space="preserve"> standard UO</w:t>
      </w:r>
      <w:r w:rsidRPr="00013BA1">
        <w:rPr>
          <w:vertAlign w:val="subscript"/>
        </w:rPr>
        <w:t>2</w:t>
      </w:r>
      <w:r w:rsidRPr="00013BA1">
        <w:t xml:space="preserve"> </w:t>
      </w:r>
      <w:r w:rsidR="008D0155">
        <w:t>with a maximum peaking rod of</w:t>
      </w:r>
      <w:r w:rsidRPr="00013BA1">
        <w:t xml:space="preserve"> 1.055.</w:t>
      </w:r>
    </w:p>
    <w:p w14:paraId="078FA9DF" w14:textId="77777777" w:rsidR="002F6460" w:rsidRDefault="002F6460" w:rsidP="00241031">
      <w:pPr>
        <w:spacing w:line="360" w:lineRule="auto"/>
        <w:jc w:val="both"/>
      </w:pPr>
      <w:r w:rsidRPr="00013BA1">
        <w:t xml:space="preserve">Similarly to the pin peaking in a fuel lattice, maintaining relatively equal power sharing from lattice to lattice is also crucial in the operation of an LWR. After depleting a quarter </w:t>
      </w:r>
      <w:proofErr w:type="gramStart"/>
      <w:r w:rsidRPr="00013BA1">
        <w:t>lattice</w:t>
      </w:r>
      <w:proofErr w:type="gramEnd"/>
      <w:r w:rsidRPr="00013BA1">
        <w:t xml:space="preserve"> for one cycle, the isotopics can be inserted into a new input file as a once-burned lattice. Combining a once-burned and a fresh-feed lattice into one checkerboard-type color-set is a useful way to determine how power is distributed in a given cycle. Once again, a flatter distribution between lattices is desirable; however, it is not expected that a depleted once-burned lattice would </w:t>
      </w:r>
      <w:r w:rsidRPr="00013BA1">
        <w:lastRenderedPageBreak/>
        <w:t>produce the same power-sharing fact</w:t>
      </w:r>
      <w:r w:rsidR="00D551CA">
        <w:t xml:space="preserve">ors as a feed lattice. Figures </w:t>
      </w:r>
      <w:r w:rsidR="00563708">
        <w:t>34</w:t>
      </w:r>
      <w:r w:rsidR="00D551CA">
        <w:t xml:space="preserve"> and </w:t>
      </w:r>
      <w:r w:rsidR="00563708">
        <w:t>35</w:t>
      </w:r>
      <w:r w:rsidRPr="00013BA1">
        <w:t xml:space="preserve"> represent power-sharing color-sets for UN FCM fuel and a standard PWR UO</w:t>
      </w:r>
      <w:r w:rsidRPr="00013BA1">
        <w:rPr>
          <w:vertAlign w:val="subscript"/>
        </w:rPr>
        <w:t>2</w:t>
      </w:r>
      <w:r w:rsidRPr="00013BA1">
        <w:t xml:space="preserve"> fuel, respectiv</w:t>
      </w:r>
      <w:r w:rsidR="00373287">
        <w:t>ely, at BOC</w:t>
      </w:r>
      <w:r w:rsidRPr="00013BA1">
        <w:t>.</w:t>
      </w:r>
    </w:p>
    <w:p w14:paraId="4EFA2DC4" w14:textId="77777777" w:rsidR="00A41304" w:rsidRDefault="00A41304" w:rsidP="00A41304">
      <w:pPr>
        <w:spacing w:line="360" w:lineRule="auto"/>
        <w:jc w:val="both"/>
        <w:rPr>
          <w:rFonts w:cs="Times New Roman"/>
          <w:szCs w:val="24"/>
        </w:rPr>
      </w:pPr>
      <w:r w:rsidRPr="00013BA1">
        <w:rPr>
          <w:rFonts w:cs="Times New Roman"/>
          <w:szCs w:val="24"/>
        </w:rPr>
        <w:t>Because the FCM fuel contains higher enriched uranium with less overall uranium mass, the fuel tends to deplete more rapidly, which results in a larger deviation of pin peaking between the first, second, and third cycles than in typical UO</w:t>
      </w:r>
      <w:r w:rsidRPr="00013BA1">
        <w:rPr>
          <w:rFonts w:cs="Times New Roman"/>
          <w:szCs w:val="24"/>
          <w:vertAlign w:val="subscript"/>
        </w:rPr>
        <w:t>2</w:t>
      </w:r>
      <w:r w:rsidRPr="00013BA1">
        <w:rPr>
          <w:rFonts w:cs="Times New Roman"/>
          <w:szCs w:val="24"/>
        </w:rPr>
        <w:t xml:space="preserve"> fuel. As</w:t>
      </w:r>
      <w:r>
        <w:rPr>
          <w:rFonts w:cs="Times New Roman"/>
          <w:szCs w:val="24"/>
        </w:rPr>
        <w:t xml:space="preserve"> shown initially by Figure 26</w:t>
      </w:r>
      <w:r w:rsidRPr="00013BA1">
        <w:rPr>
          <w:rFonts w:cs="Times New Roman"/>
          <w:szCs w:val="24"/>
        </w:rPr>
        <w:t>, the FCM fuel designs maintain higher levels of reactivity early in life and much lower near end of life (EOL). This is opposed to the flatter and steadier 4.5% enriched</w:t>
      </w:r>
      <w:r>
        <w:rPr>
          <w:rFonts w:cs="Times New Roman"/>
          <w:szCs w:val="24"/>
        </w:rPr>
        <w:t xml:space="preserve"> PWR pellet geometry. In Figs. 21 and 22</w:t>
      </w:r>
      <w:r w:rsidRPr="00013BA1">
        <w:rPr>
          <w:rFonts w:cs="Times New Roman"/>
          <w:szCs w:val="24"/>
        </w:rPr>
        <w:t>, the standard UO</w:t>
      </w:r>
      <w:r w:rsidRPr="00013BA1">
        <w:rPr>
          <w:rFonts w:cs="Times New Roman"/>
          <w:szCs w:val="24"/>
          <w:vertAlign w:val="subscript"/>
        </w:rPr>
        <w:t>2</w:t>
      </w:r>
      <w:r w:rsidRPr="00013BA1">
        <w:rPr>
          <w:rFonts w:cs="Times New Roman"/>
          <w:szCs w:val="24"/>
        </w:rPr>
        <w:t xml:space="preserve"> fuel maintains a flatter power-sharing distribution over the lattice than the FCM lattice. Although the PWR lattice shows a visibly flatter profile than the FCM</w:t>
      </w:r>
      <w:r>
        <w:rPr>
          <w:rFonts w:cs="Times New Roman"/>
          <w:szCs w:val="24"/>
        </w:rPr>
        <w:t xml:space="preserve"> fuel near the center of Figs. 21 and 22</w:t>
      </w:r>
      <w:r w:rsidRPr="00013BA1">
        <w:rPr>
          <w:rFonts w:cs="Times New Roman"/>
          <w:szCs w:val="24"/>
        </w:rPr>
        <w:t>, the average PWR cells across the fresh-feed and once-burned lattice are similar to those of the FCM color-set. By weighting the pins in both batches, it was found that the FCM fuel averages 1.134 and 0.866 for the fresh and once-burned lattices, respectively, as opposed to the standard PWR pellet fuel averages of 1.109 and 0.891, respectively. As the 500-EFPD cycle continues, the PWR and FCM distributions both converge toward unity at EOC. However, the weighted average across the fresh-feed quarter lattice after depleting the color-set for one cycle is 1.148 for the FCM lattice, remaining slightly higher than the UO</w:t>
      </w:r>
      <w:r w:rsidRPr="00013BA1">
        <w:rPr>
          <w:rFonts w:cs="Times New Roman"/>
          <w:szCs w:val="24"/>
          <w:vertAlign w:val="subscript"/>
        </w:rPr>
        <w:t>2</w:t>
      </w:r>
      <w:r w:rsidRPr="00013BA1">
        <w:rPr>
          <w:rFonts w:cs="Times New Roman"/>
          <w:szCs w:val="24"/>
        </w:rPr>
        <w:t xml:space="preserve"> average at 1.081. </w:t>
      </w:r>
    </w:p>
    <w:p w14:paraId="37BC5448" w14:textId="77777777" w:rsidR="00A41304" w:rsidRPr="00013BA1" w:rsidRDefault="00A41304" w:rsidP="00241031">
      <w:pPr>
        <w:spacing w:line="360" w:lineRule="auto"/>
        <w:jc w:val="both"/>
      </w:pPr>
    </w:p>
    <w:p w14:paraId="2D747B3F" w14:textId="77777777" w:rsidR="009E4E51" w:rsidRPr="00013BA1" w:rsidRDefault="002F6460" w:rsidP="00241031">
      <w:pPr>
        <w:spacing w:after="120" w:line="360" w:lineRule="auto"/>
        <w:contextualSpacing/>
        <w:rPr>
          <w:rFonts w:cs="Times New Roman"/>
          <w:b/>
          <w:szCs w:val="24"/>
        </w:rPr>
      </w:pPr>
      <w:r w:rsidRPr="00013BA1">
        <w:rPr>
          <w:rFonts w:cs="Times New Roman"/>
          <w:b/>
          <w:noProof/>
          <w:szCs w:val="24"/>
        </w:rPr>
        <w:lastRenderedPageBreak/>
        <w:drawing>
          <wp:inline distT="0" distB="0" distL="0" distR="0" wp14:anchorId="166CDEB7" wp14:editId="69A8CB0D">
            <wp:extent cx="4682896" cy="3420094"/>
            <wp:effectExtent l="0" t="0" r="3810"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4685820" cy="3422229"/>
                    </a:xfrm>
                    <a:prstGeom prst="rect">
                      <a:avLst/>
                    </a:prstGeom>
                    <a:noFill/>
                    <a:ln>
                      <a:noFill/>
                    </a:ln>
                  </pic:spPr>
                </pic:pic>
              </a:graphicData>
            </a:graphic>
          </wp:inline>
        </w:drawing>
      </w:r>
    </w:p>
    <w:p w14:paraId="68A8F24E" w14:textId="0FECFFE3" w:rsidR="002F6460" w:rsidRPr="00013BA1" w:rsidRDefault="009E4E51" w:rsidP="0091793B">
      <w:pPr>
        <w:spacing w:line="360" w:lineRule="auto"/>
        <w:rPr>
          <w:rFonts w:cs="Times New Roman"/>
          <w:szCs w:val="24"/>
        </w:rPr>
      </w:pPr>
      <w:bookmarkStart w:id="51" w:name="_Toc416993473"/>
      <w:r>
        <w:t xml:space="preserve">Figure </w:t>
      </w:r>
      <w:fldSimple w:instr=" SEQ Figure \* ARABIC ">
        <w:r w:rsidR="00F3244B">
          <w:rPr>
            <w:noProof/>
          </w:rPr>
          <w:t>34</w:t>
        </w:r>
      </w:fldSimple>
      <w:r>
        <w:t xml:space="preserve">: </w:t>
      </w:r>
      <w:r w:rsidRPr="00C94228">
        <w:t xml:space="preserve">Uranium mononitride </w:t>
      </w:r>
      <w:r w:rsidR="00255C7D">
        <w:t>FCM</w:t>
      </w:r>
      <w:r w:rsidRPr="00C94228">
        <w:t xml:space="preserve"> fuel power-sharing color-set</w:t>
      </w:r>
      <w:bookmarkEnd w:id="51"/>
    </w:p>
    <w:p w14:paraId="3464930C" w14:textId="77777777" w:rsidR="002F6460" w:rsidRPr="00013BA1" w:rsidRDefault="002F6460" w:rsidP="0091793B">
      <w:pPr>
        <w:spacing w:line="360" w:lineRule="auto"/>
        <w:contextualSpacing/>
        <w:rPr>
          <w:rFonts w:cs="Times New Roman"/>
          <w:szCs w:val="24"/>
        </w:rPr>
      </w:pPr>
    </w:p>
    <w:p w14:paraId="1169FEBE" w14:textId="77777777" w:rsidR="009E4E51" w:rsidRPr="00013BA1" w:rsidRDefault="002F6460" w:rsidP="00241031">
      <w:pPr>
        <w:spacing w:line="360" w:lineRule="auto"/>
        <w:contextualSpacing/>
        <w:rPr>
          <w:rFonts w:cs="Times New Roman"/>
          <w:szCs w:val="24"/>
        </w:rPr>
      </w:pPr>
      <w:r w:rsidRPr="00013BA1">
        <w:rPr>
          <w:rFonts w:cs="Times New Roman"/>
          <w:noProof/>
          <w:szCs w:val="24"/>
        </w:rPr>
        <w:drawing>
          <wp:inline distT="0" distB="0" distL="0" distR="0" wp14:anchorId="0B8290E3" wp14:editId="2AFCFBCE">
            <wp:extent cx="4678878" cy="3409649"/>
            <wp:effectExtent l="0" t="0" r="7620" b="635"/>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4694810" cy="3421259"/>
                    </a:xfrm>
                    <a:prstGeom prst="rect">
                      <a:avLst/>
                    </a:prstGeom>
                    <a:noFill/>
                    <a:ln>
                      <a:noFill/>
                    </a:ln>
                  </pic:spPr>
                </pic:pic>
              </a:graphicData>
            </a:graphic>
          </wp:inline>
        </w:drawing>
      </w:r>
    </w:p>
    <w:p w14:paraId="2A5E6829" w14:textId="1C4B4D9B" w:rsidR="002F6460" w:rsidRPr="00013BA1" w:rsidRDefault="009E4E51" w:rsidP="0091793B">
      <w:pPr>
        <w:spacing w:line="360" w:lineRule="auto"/>
        <w:rPr>
          <w:rFonts w:cs="Times New Roman"/>
          <w:szCs w:val="24"/>
        </w:rPr>
      </w:pPr>
      <w:bookmarkStart w:id="52" w:name="_Toc416993474"/>
      <w:r>
        <w:t xml:space="preserve">Figure </w:t>
      </w:r>
      <w:fldSimple w:instr=" SEQ Figure \* ARABIC ">
        <w:r w:rsidR="00F3244B">
          <w:rPr>
            <w:noProof/>
          </w:rPr>
          <w:t>35</w:t>
        </w:r>
      </w:fldSimple>
      <w:r>
        <w:t xml:space="preserve">: </w:t>
      </w:r>
      <w:r w:rsidRPr="008D5C2C">
        <w:t xml:space="preserve">Standard </w:t>
      </w:r>
      <w:r w:rsidR="00373287">
        <w:t>PWR</w:t>
      </w:r>
      <w:r w:rsidRPr="008D5C2C">
        <w:t xml:space="preserve"> UO2 pellet-based fuel power-sharing color-set</w:t>
      </w:r>
      <w:bookmarkEnd w:id="52"/>
    </w:p>
    <w:p w14:paraId="4F2139AA" w14:textId="77777777" w:rsidR="004867A9" w:rsidRDefault="00FD129F" w:rsidP="0091793B">
      <w:pPr>
        <w:spacing w:line="360" w:lineRule="auto"/>
        <w:jc w:val="both"/>
        <w:rPr>
          <w:rFonts w:cs="Times New Roman"/>
          <w:b/>
          <w:sz w:val="32"/>
          <w:szCs w:val="32"/>
        </w:rPr>
      </w:pPr>
      <w:r w:rsidRPr="00FD129F">
        <w:rPr>
          <w:rFonts w:cs="Times New Roman"/>
          <w:b/>
          <w:sz w:val="32"/>
          <w:szCs w:val="32"/>
        </w:rPr>
        <w:lastRenderedPageBreak/>
        <w:t xml:space="preserve">VI. </w:t>
      </w:r>
      <w:r w:rsidRPr="00FD129F">
        <w:rPr>
          <w:rFonts w:cs="Times New Roman"/>
          <w:b/>
          <w:sz w:val="32"/>
          <w:szCs w:val="32"/>
        </w:rPr>
        <w:tab/>
      </w:r>
      <w:r w:rsidRPr="00FD129F">
        <w:rPr>
          <w:rFonts w:cs="Times New Roman"/>
          <w:b/>
          <w:sz w:val="32"/>
          <w:szCs w:val="32"/>
        </w:rPr>
        <w:tab/>
        <w:t>BWR RESULTS</w:t>
      </w:r>
    </w:p>
    <w:p w14:paraId="48ADFF75" w14:textId="77777777" w:rsidR="00760441" w:rsidRDefault="004867A9" w:rsidP="0091793B">
      <w:pPr>
        <w:spacing w:line="360" w:lineRule="auto"/>
        <w:jc w:val="both"/>
        <w:rPr>
          <w:rFonts w:cs="Times New Roman"/>
          <w:szCs w:val="24"/>
        </w:rPr>
      </w:pPr>
      <w:r>
        <w:rPr>
          <w:rFonts w:cs="Times New Roman"/>
          <w:szCs w:val="24"/>
        </w:rPr>
        <w:t xml:space="preserve">The following section presents the neutronic, thermal hydraulic and fuel performance results for alternate cladding material in a BWR environment. Lattice physics </w:t>
      </w:r>
      <w:r w:rsidR="00760441">
        <w:rPr>
          <w:rFonts w:cs="Times New Roman"/>
          <w:szCs w:val="24"/>
        </w:rPr>
        <w:t>results will</w:t>
      </w:r>
      <w:r>
        <w:rPr>
          <w:rFonts w:cs="Times New Roman"/>
          <w:szCs w:val="24"/>
        </w:rPr>
        <w:t xml:space="preserve"> demonstrat</w:t>
      </w:r>
      <w:r w:rsidR="00760441">
        <w:rPr>
          <w:rFonts w:cs="Times New Roman"/>
          <w:szCs w:val="24"/>
        </w:rPr>
        <w:t>e</w:t>
      </w:r>
      <w:r>
        <w:rPr>
          <w:rFonts w:cs="Times New Roman"/>
          <w:szCs w:val="24"/>
        </w:rPr>
        <w:t xml:space="preserve"> the initial </w:t>
      </w:r>
      <w:r w:rsidR="00760441">
        <w:rPr>
          <w:rFonts w:cs="Times New Roman"/>
          <w:szCs w:val="24"/>
        </w:rPr>
        <w:t xml:space="preserve">reactivity penalty/advantages when replacing the Zircaloy cladding and </w:t>
      </w:r>
      <w:r w:rsidR="00F155F8" w:rsidRPr="00F155F8">
        <w:rPr>
          <w:rFonts w:cs="Times New Roman"/>
          <w:szCs w:val="24"/>
        </w:rPr>
        <w:t>channel box</w:t>
      </w:r>
      <w:r w:rsidR="00760441">
        <w:rPr>
          <w:rFonts w:cs="Times New Roman"/>
          <w:szCs w:val="24"/>
        </w:rPr>
        <w:t xml:space="preserve"> with FeCrAl and SiC. </w:t>
      </w:r>
      <w:r>
        <w:rPr>
          <w:rFonts w:cs="Times New Roman"/>
          <w:szCs w:val="24"/>
        </w:rPr>
        <w:t>2D p</w:t>
      </w:r>
      <w:r w:rsidR="00760441">
        <w:rPr>
          <w:rFonts w:cs="Times New Roman"/>
          <w:szCs w:val="24"/>
        </w:rPr>
        <w:t>arametric evaluations will determine the</w:t>
      </w:r>
      <w:r>
        <w:rPr>
          <w:rFonts w:cs="Times New Roman"/>
          <w:szCs w:val="24"/>
        </w:rPr>
        <w:t xml:space="preserve"> geometric and enrichment requirement</w:t>
      </w:r>
      <w:r w:rsidR="00760441">
        <w:rPr>
          <w:rFonts w:cs="Times New Roman"/>
          <w:szCs w:val="24"/>
        </w:rPr>
        <w:t>s of the FeCrAl bundles to meet an 18-month cycle length</w:t>
      </w:r>
      <w:r>
        <w:rPr>
          <w:rFonts w:cs="Times New Roman"/>
          <w:szCs w:val="24"/>
        </w:rPr>
        <w:t xml:space="preserve">. 3D full-core models verifying the lattice physics results </w:t>
      </w:r>
      <w:r w:rsidR="00760441">
        <w:rPr>
          <w:rFonts w:cs="Times New Roman"/>
          <w:szCs w:val="24"/>
        </w:rPr>
        <w:t xml:space="preserve">and </w:t>
      </w:r>
      <w:r>
        <w:rPr>
          <w:rFonts w:cs="Times New Roman"/>
          <w:szCs w:val="24"/>
        </w:rPr>
        <w:t>an optimization of the assembly LP and CB patterns for both the FeCrAl and Zircaloy cores</w:t>
      </w:r>
      <w:r w:rsidR="00760441">
        <w:rPr>
          <w:rFonts w:cs="Times New Roman"/>
          <w:szCs w:val="24"/>
        </w:rPr>
        <w:t xml:space="preserve"> will be completed</w:t>
      </w:r>
      <w:r>
        <w:rPr>
          <w:rFonts w:cs="Times New Roman"/>
          <w:szCs w:val="24"/>
        </w:rPr>
        <w:t>. Lastly, fuel performance of the FeCrAl cladding will be analyzed in order to determine whether the material can withstand th</w:t>
      </w:r>
      <w:r w:rsidR="00760441">
        <w:rPr>
          <w:rFonts w:cs="Times New Roman"/>
          <w:szCs w:val="24"/>
        </w:rPr>
        <w:t>e harsh core conditions</w:t>
      </w:r>
      <w:r>
        <w:rPr>
          <w:rFonts w:cs="Times New Roman"/>
          <w:szCs w:val="24"/>
        </w:rPr>
        <w:t xml:space="preserve"> similarly to that of Zircaloy. </w:t>
      </w:r>
    </w:p>
    <w:p w14:paraId="70782F22" w14:textId="77777777" w:rsidR="00C274C9" w:rsidRDefault="00C274C9" w:rsidP="0091793B">
      <w:pPr>
        <w:spacing w:line="360" w:lineRule="auto"/>
        <w:jc w:val="both"/>
        <w:rPr>
          <w:rFonts w:cs="Times New Roman"/>
          <w:b/>
          <w:sz w:val="32"/>
          <w:szCs w:val="32"/>
        </w:rPr>
      </w:pPr>
    </w:p>
    <w:p w14:paraId="562DF708" w14:textId="32B6C304" w:rsidR="00C30E84" w:rsidRPr="00760441" w:rsidRDefault="00FD129F" w:rsidP="0091793B">
      <w:pPr>
        <w:spacing w:line="360" w:lineRule="auto"/>
        <w:jc w:val="both"/>
        <w:rPr>
          <w:rFonts w:cs="Times New Roman"/>
          <w:b/>
          <w:sz w:val="32"/>
          <w:szCs w:val="32"/>
        </w:rPr>
      </w:pPr>
      <w:r>
        <w:rPr>
          <w:rFonts w:cs="Times New Roman"/>
          <w:b/>
          <w:sz w:val="28"/>
          <w:szCs w:val="24"/>
        </w:rPr>
        <w:t>VI.A</w:t>
      </w:r>
      <w:r w:rsidR="005815D6" w:rsidRPr="005815D6">
        <w:rPr>
          <w:rFonts w:cs="Times New Roman"/>
          <w:b/>
          <w:sz w:val="28"/>
          <w:szCs w:val="24"/>
        </w:rPr>
        <w:t xml:space="preserve">. </w:t>
      </w:r>
      <w:r w:rsidR="001D553C">
        <w:rPr>
          <w:rFonts w:cs="Times New Roman"/>
          <w:b/>
          <w:sz w:val="28"/>
          <w:szCs w:val="24"/>
        </w:rPr>
        <w:tab/>
      </w:r>
      <w:r w:rsidR="005815D6">
        <w:rPr>
          <w:rFonts w:cs="Times New Roman"/>
          <w:b/>
          <w:sz w:val="28"/>
          <w:szCs w:val="24"/>
        </w:rPr>
        <w:t xml:space="preserve">Preliminary </w:t>
      </w:r>
      <w:r w:rsidR="005815D6" w:rsidRPr="005815D6">
        <w:rPr>
          <w:rFonts w:cs="Times New Roman"/>
          <w:b/>
          <w:sz w:val="28"/>
          <w:szCs w:val="24"/>
        </w:rPr>
        <w:t>BWR Lattice Physics Results</w:t>
      </w:r>
    </w:p>
    <w:p w14:paraId="3C6ACB58" w14:textId="77777777" w:rsidR="005815D6" w:rsidRPr="005815D6" w:rsidRDefault="005815D6" w:rsidP="0091793B">
      <w:pPr>
        <w:keepNext/>
        <w:keepLines/>
        <w:spacing w:line="360" w:lineRule="auto"/>
        <w:jc w:val="both"/>
        <w:rPr>
          <w:rFonts w:cs="Times New Roman"/>
          <w:szCs w:val="24"/>
        </w:rPr>
      </w:pPr>
      <w:r w:rsidRPr="005815D6">
        <w:rPr>
          <w:rFonts w:cs="Times New Roman"/>
          <w:szCs w:val="24"/>
        </w:rPr>
        <w:t xml:space="preserve">Preliminary depletion calculations were performed using a representative </w:t>
      </w:r>
      <w:r>
        <w:rPr>
          <w:rFonts w:cs="Times New Roman"/>
          <w:szCs w:val="24"/>
        </w:rPr>
        <w:t xml:space="preserve">BWR </w:t>
      </w:r>
      <w:r w:rsidRPr="005815D6">
        <w:rPr>
          <w:rFonts w:cs="Times New Roman"/>
          <w:szCs w:val="24"/>
        </w:rPr>
        <w:t xml:space="preserve">lattice model of </w:t>
      </w:r>
      <w:r w:rsidR="00A37442">
        <w:rPr>
          <w:rFonts w:cs="Times New Roman"/>
          <w:szCs w:val="24"/>
        </w:rPr>
        <w:t xml:space="preserve">the </w:t>
      </w:r>
      <w:r w:rsidR="00DC0A3C">
        <w:rPr>
          <w:rFonts w:cs="Times New Roman"/>
          <w:szCs w:val="24"/>
        </w:rPr>
        <w:t>10 × 10</w:t>
      </w:r>
      <w:r w:rsidRPr="005815D6">
        <w:rPr>
          <w:rFonts w:cs="Times New Roman"/>
          <w:szCs w:val="24"/>
        </w:rPr>
        <w:t xml:space="preserve"> fuel assembly with a 40% void fraction (bottom half of the bundle).</w:t>
      </w:r>
      <w:r w:rsidR="00A37442">
        <w:rPr>
          <w:rFonts w:cs="Times New Roman"/>
          <w:szCs w:val="24"/>
        </w:rPr>
        <w:t xml:space="preserve"> A</w:t>
      </w:r>
      <w:r w:rsidRPr="005815D6">
        <w:rPr>
          <w:rFonts w:cs="Times New Roman"/>
          <w:szCs w:val="24"/>
        </w:rPr>
        <w:t xml:space="preserve"> base case </w:t>
      </w:r>
      <w:r w:rsidR="00A37442">
        <w:rPr>
          <w:rFonts w:cs="Times New Roman"/>
          <w:szCs w:val="24"/>
        </w:rPr>
        <w:t xml:space="preserve">lattice </w:t>
      </w:r>
      <w:r w:rsidRPr="005815D6">
        <w:rPr>
          <w:rFonts w:cs="Times New Roman"/>
          <w:szCs w:val="24"/>
        </w:rPr>
        <w:t xml:space="preserve">model was run </w:t>
      </w:r>
      <w:r w:rsidR="006F1175">
        <w:rPr>
          <w:rFonts w:cs="Times New Roman"/>
          <w:szCs w:val="24"/>
        </w:rPr>
        <w:t xml:space="preserve">in SCALE/TRITON </w:t>
      </w:r>
      <w:r w:rsidRPr="005815D6">
        <w:rPr>
          <w:rFonts w:cs="Times New Roman"/>
          <w:szCs w:val="24"/>
        </w:rPr>
        <w:t xml:space="preserve">with the cladding and </w:t>
      </w:r>
      <w:r w:rsidR="00F155F8" w:rsidRPr="00F155F8">
        <w:rPr>
          <w:rFonts w:cs="Times New Roman"/>
          <w:szCs w:val="24"/>
        </w:rPr>
        <w:t>channel box</w:t>
      </w:r>
      <w:r w:rsidRPr="005815D6">
        <w:rPr>
          <w:rFonts w:cs="Times New Roman"/>
          <w:szCs w:val="24"/>
        </w:rPr>
        <w:t xml:space="preserve"> modeled as Zircaloy. Next, the cladding and </w:t>
      </w:r>
      <w:r w:rsidR="00F155F8" w:rsidRPr="00F155F8">
        <w:rPr>
          <w:rFonts w:cs="Times New Roman"/>
          <w:szCs w:val="24"/>
        </w:rPr>
        <w:t>channel box</w:t>
      </w:r>
      <w:r w:rsidRPr="005815D6">
        <w:rPr>
          <w:rFonts w:cs="Times New Roman"/>
          <w:szCs w:val="24"/>
        </w:rPr>
        <w:t xml:space="preserve"> were replaced with candidate alternate materials (SiC and FeCrAl) and the neutronic penalty/advantage associated with each material was plotted a</w:t>
      </w:r>
      <w:r w:rsidR="005813C2">
        <w:rPr>
          <w:rFonts w:cs="Times New Roman"/>
          <w:szCs w:val="24"/>
        </w:rPr>
        <w:t>s a function of EFPD in Figure 36</w:t>
      </w:r>
      <w:r w:rsidRPr="005815D6">
        <w:rPr>
          <w:rFonts w:cs="Times New Roman"/>
          <w:szCs w:val="24"/>
        </w:rPr>
        <w:t>. The gadolinium concentration in the gadolinia (Gd</w:t>
      </w:r>
      <w:r w:rsidRPr="005815D6">
        <w:rPr>
          <w:rFonts w:cs="Times New Roman"/>
          <w:szCs w:val="24"/>
          <w:vertAlign w:val="subscript"/>
        </w:rPr>
        <w:t>2</w:t>
      </w:r>
      <w:r w:rsidRPr="005815D6">
        <w:rPr>
          <w:rFonts w:cs="Times New Roman"/>
          <w:szCs w:val="24"/>
        </w:rPr>
        <w:t>O</w:t>
      </w:r>
      <w:r w:rsidRPr="005815D6">
        <w:rPr>
          <w:rFonts w:cs="Times New Roman"/>
          <w:szCs w:val="24"/>
          <w:vertAlign w:val="subscript"/>
        </w:rPr>
        <w:t>3</w:t>
      </w:r>
      <w:r w:rsidRPr="005815D6">
        <w:rPr>
          <w:rFonts w:cs="Times New Roman"/>
          <w:szCs w:val="24"/>
        </w:rPr>
        <w:t xml:space="preserve">)-containing pins found in the lattice is shown on the right ordinate. </w:t>
      </w:r>
    </w:p>
    <w:p w14:paraId="300D4DA3" w14:textId="37EB0F79" w:rsidR="00A41304" w:rsidRPr="005815D6" w:rsidRDefault="00A41304" w:rsidP="00A41304">
      <w:pPr>
        <w:spacing w:line="360" w:lineRule="auto"/>
        <w:jc w:val="both"/>
        <w:rPr>
          <w:rFonts w:cs="Times New Roman"/>
        </w:rPr>
      </w:pPr>
      <w:r>
        <w:rPr>
          <w:rFonts w:cs="Times New Roman"/>
          <w:szCs w:val="24"/>
        </w:rPr>
        <w:t xml:space="preserve">Much as in the PWR analysis </w:t>
      </w:r>
      <w:r>
        <w:rPr>
          <w:rFonts w:cs="Times New Roman"/>
          <w:szCs w:val="24"/>
        </w:rPr>
        <w:fldChar w:fldCharType="begin"/>
      </w:r>
      <w:r>
        <w:rPr>
          <w:rFonts w:cs="Times New Roman"/>
          <w:szCs w:val="24"/>
        </w:rPr>
        <w:instrText xml:space="preserve"> ADDIN EN.CITE &lt;EndNote&gt;&lt;Cite&gt;&lt;Author&gt;George&lt;/Author&gt;&lt;Year&gt;2015&lt;/Year&gt;&lt;RecNum&gt;90&lt;/RecNum&gt;&lt;DisplayText&gt;[17]&lt;/DisplayText&gt;&lt;record&gt;&lt;rec-number&gt;90&lt;/rec-number&gt;&lt;foreign-keys&gt;&lt;key app="EN" db-id="trfxzx057wwv0qe0vz1vttttwf0522tvtwpt" timestamp="1422294244"&gt;90&lt;/key&gt;&lt;/foreign-keys&gt;&lt;ref-type name="Journal Article"&gt;17&lt;/ref-type&gt;&lt;contributors&gt;&lt;authors&gt;&lt;author&gt;George, Nathan Michael&lt;/author&gt;&lt;author&gt;Terrani, Kurt&lt;/author&gt;&lt;author&gt;Powers, Jeff&lt;/author&gt;&lt;author&gt;Worrall, Andrew&lt;/author&gt;&lt;author&gt;Maldonado, Ivan&lt;/author&gt;&lt;/authors&gt;&lt;/contributors&gt;&lt;titles&gt;&lt;title&gt;Neutronic analysis of candidate accident-tolerant cladding concepts in pressurized water reactors&lt;/title&gt;&lt;secondary-title&gt;Annals of Nuclear Energy&lt;/secondary-title&gt;&lt;/titles&gt;&lt;periodical&gt;&lt;full-title&gt;Annals of Nuclear Energy&lt;/full-title&gt;&lt;/periodical&gt;&lt;pages&gt;703-712&lt;/pages&gt;&lt;volume&gt;75&lt;/volume&gt;&lt;dates&gt;&lt;year&gt;2015&lt;/year&gt;&lt;/dates&gt;&lt;isbn&gt;0306-4549&lt;/isbn&gt;&lt;urls&gt;&lt;/urls&gt;&lt;/record&gt;&lt;/Cite&gt;&lt;/EndNote&gt;</w:instrText>
      </w:r>
      <w:r>
        <w:rPr>
          <w:rFonts w:cs="Times New Roman"/>
          <w:szCs w:val="24"/>
        </w:rPr>
        <w:fldChar w:fldCharType="separate"/>
      </w:r>
      <w:r>
        <w:rPr>
          <w:rFonts w:cs="Times New Roman"/>
          <w:noProof/>
          <w:szCs w:val="24"/>
        </w:rPr>
        <w:t>[</w:t>
      </w:r>
      <w:hyperlink w:anchor="_ENREF_17" w:tooltip="George, 2015 #90" w:history="1">
        <w:r w:rsidR="00DF20CB">
          <w:rPr>
            <w:rFonts w:cs="Times New Roman"/>
            <w:noProof/>
            <w:szCs w:val="24"/>
          </w:rPr>
          <w:t>17</w:t>
        </w:r>
      </w:hyperlink>
      <w:r>
        <w:rPr>
          <w:rFonts w:cs="Times New Roman"/>
          <w:noProof/>
          <w:szCs w:val="24"/>
        </w:rPr>
        <w:t>]</w:t>
      </w:r>
      <w:r>
        <w:rPr>
          <w:rFonts w:cs="Times New Roman"/>
          <w:szCs w:val="24"/>
        </w:rPr>
        <w:fldChar w:fldCharType="end"/>
      </w:r>
      <w:r w:rsidRPr="005815D6">
        <w:rPr>
          <w:rFonts w:cs="Times New Roman"/>
          <w:szCs w:val="24"/>
        </w:rPr>
        <w:t>, FeCrAl produced a heavy neutronic penalty compared with Zircaloy due to</w:t>
      </w:r>
      <w:r>
        <w:rPr>
          <w:rFonts w:cs="Times New Roman"/>
          <w:szCs w:val="24"/>
        </w:rPr>
        <w:t xml:space="preserve"> increased neutron absorption. In fact, t</w:t>
      </w:r>
      <w:r w:rsidRPr="005815D6">
        <w:rPr>
          <w:rFonts w:cs="Times New Roman"/>
          <w:szCs w:val="24"/>
        </w:rPr>
        <w:t xml:space="preserve">he penalty was greater than that recorded in the PWR pin cell calculations owing to the addition of the FeCrAl </w:t>
      </w:r>
      <w:r w:rsidRPr="00F155F8">
        <w:rPr>
          <w:rFonts w:cs="Times New Roman"/>
          <w:szCs w:val="24"/>
        </w:rPr>
        <w:t>channel box</w:t>
      </w:r>
      <w:r w:rsidRPr="005815D6">
        <w:rPr>
          <w:rFonts w:cs="Times New Roman"/>
          <w:szCs w:val="24"/>
        </w:rPr>
        <w:t>. A slight increase in reactivity was found when all Zircaloy was replaced with the SiC/SiC composite, which matched PWR results.</w:t>
      </w:r>
    </w:p>
    <w:p w14:paraId="6807B5D9" w14:textId="77777777" w:rsidR="005815D6" w:rsidRPr="005815D6" w:rsidRDefault="005815D6" w:rsidP="0091793B">
      <w:pPr>
        <w:spacing w:line="360" w:lineRule="auto"/>
        <w:jc w:val="both"/>
        <w:rPr>
          <w:rFonts w:cs="Times New Roman"/>
        </w:rPr>
      </w:pPr>
    </w:p>
    <w:p w14:paraId="0AD83F98" w14:textId="77777777" w:rsidR="005815D6" w:rsidRPr="005815D6" w:rsidRDefault="005815D6" w:rsidP="0091793B">
      <w:pPr>
        <w:spacing w:before="120" w:line="360" w:lineRule="auto"/>
        <w:rPr>
          <w:rFonts w:cs="Times New Roman"/>
        </w:rPr>
      </w:pPr>
      <w:r w:rsidRPr="005815D6">
        <w:rPr>
          <w:rFonts w:cs="Times New Roman"/>
          <w:noProof/>
        </w:rPr>
        <w:lastRenderedPageBreak/>
        <w:drawing>
          <wp:inline distT="0" distB="0" distL="0" distR="0" wp14:anchorId="4654CF2C" wp14:editId="3E9CB3CF">
            <wp:extent cx="4012442" cy="2879678"/>
            <wp:effectExtent l="0" t="0" r="26670" b="16510"/>
            <wp:docPr id="7196" name="Chart 7196"/>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250C6411" w14:textId="1221735F" w:rsidR="005815D6" w:rsidRDefault="009E4E51" w:rsidP="0091793B">
      <w:pPr>
        <w:spacing w:line="360" w:lineRule="auto"/>
      </w:pPr>
      <w:bookmarkStart w:id="53" w:name="_Toc416993475"/>
      <w:r>
        <w:t xml:space="preserve">Figure </w:t>
      </w:r>
      <w:fldSimple w:instr=" SEQ Figure \* ARABIC ">
        <w:r w:rsidR="00F3244B">
          <w:rPr>
            <w:noProof/>
          </w:rPr>
          <w:t>36</w:t>
        </w:r>
      </w:fldSimple>
      <w:r>
        <w:t xml:space="preserve">: </w:t>
      </w:r>
      <w:r w:rsidRPr="00394561">
        <w:t xml:space="preserve">Δk-infinity from Zircaloy-4 cladding and </w:t>
      </w:r>
      <w:r w:rsidR="00F155F8" w:rsidRPr="00F155F8">
        <w:t>channel box</w:t>
      </w:r>
      <w:r w:rsidR="001C5508">
        <w:t xml:space="preserve"> for FeCrAl and SiC</w:t>
      </w:r>
      <w:bookmarkEnd w:id="53"/>
    </w:p>
    <w:p w14:paraId="67679C57" w14:textId="77777777" w:rsidR="00FE5317" w:rsidRPr="005815D6" w:rsidRDefault="00FE5317" w:rsidP="0091793B">
      <w:pPr>
        <w:spacing w:line="360" w:lineRule="auto"/>
        <w:rPr>
          <w:rFonts w:cs="Times New Roman"/>
        </w:rPr>
      </w:pPr>
    </w:p>
    <w:p w14:paraId="62AAC14F" w14:textId="77777777" w:rsidR="005815D6" w:rsidRDefault="005815D6" w:rsidP="0091793B">
      <w:pPr>
        <w:spacing w:line="360" w:lineRule="auto"/>
        <w:jc w:val="both"/>
        <w:rPr>
          <w:rFonts w:cs="Times New Roman"/>
          <w:szCs w:val="24"/>
        </w:rPr>
      </w:pPr>
      <w:r w:rsidRPr="005815D6">
        <w:rPr>
          <w:rFonts w:cs="Times New Roman"/>
          <w:szCs w:val="24"/>
        </w:rPr>
        <w:t>Used to suppress reactivity early in life, the gad</w:t>
      </w:r>
      <w:r w:rsidR="00A37442">
        <w:rPr>
          <w:rFonts w:cs="Times New Roman"/>
          <w:szCs w:val="24"/>
        </w:rPr>
        <w:t>olinia pins burn out at about 15</w:t>
      </w:r>
      <w:r w:rsidRPr="005815D6">
        <w:rPr>
          <w:rFonts w:cs="Times New Roman"/>
          <w:szCs w:val="24"/>
        </w:rPr>
        <w:t xml:space="preserve"> GWd/MTU, thus causing the downward slope in the FeCrAl curve to end at approximately 700 EFPD. The gadolinia pins minimize the early penalty of FeCrAl because thermal neutron absorption in gadolinia remains roughly constant regardless of the cladding material used. After the gadolinia burns out, a more profound effect on the neutron inventory surfaces for FeCrAl. </w:t>
      </w:r>
    </w:p>
    <w:p w14:paraId="4BC6ED62" w14:textId="77777777" w:rsidR="004E7981" w:rsidRDefault="006F1175" w:rsidP="0091793B">
      <w:pPr>
        <w:spacing w:line="360" w:lineRule="auto"/>
        <w:jc w:val="both"/>
        <w:rPr>
          <w:rFonts w:cs="Times New Roman"/>
          <w:szCs w:val="24"/>
        </w:rPr>
      </w:pPr>
      <w:r>
        <w:rPr>
          <w:rFonts w:cs="Times New Roman"/>
          <w:szCs w:val="24"/>
        </w:rPr>
        <w:t>A brief analysis was done comparing the reactivit</w:t>
      </w:r>
      <w:r w:rsidR="00A37442">
        <w:rPr>
          <w:rFonts w:cs="Times New Roman"/>
          <w:szCs w:val="24"/>
        </w:rPr>
        <w:t xml:space="preserve">y penalty of the </w:t>
      </w:r>
      <w:r w:rsidR="00F155F8" w:rsidRPr="00F155F8">
        <w:rPr>
          <w:rFonts w:cs="Times New Roman"/>
          <w:szCs w:val="24"/>
        </w:rPr>
        <w:t>channel box</w:t>
      </w:r>
      <w:r w:rsidR="00A37442">
        <w:rPr>
          <w:rFonts w:cs="Times New Roman"/>
          <w:szCs w:val="24"/>
        </w:rPr>
        <w:t xml:space="preserve"> versus</w:t>
      </w:r>
      <w:r>
        <w:rPr>
          <w:rFonts w:cs="Times New Roman"/>
          <w:szCs w:val="24"/>
        </w:rPr>
        <w:t xml:space="preserve"> the cladding. Focusing on FeCrAl as the alternate cladding material, </w:t>
      </w:r>
      <w:r w:rsidR="00A37442">
        <w:rPr>
          <w:rFonts w:cs="Times New Roman"/>
          <w:szCs w:val="24"/>
        </w:rPr>
        <w:t xml:space="preserve">Figure </w:t>
      </w:r>
      <w:r w:rsidR="005813C2">
        <w:rPr>
          <w:rFonts w:cs="Times New Roman"/>
          <w:szCs w:val="24"/>
        </w:rPr>
        <w:t>37</w:t>
      </w:r>
      <w:r>
        <w:rPr>
          <w:rFonts w:cs="Times New Roman"/>
          <w:szCs w:val="24"/>
        </w:rPr>
        <w:t xml:space="preserve"> </w:t>
      </w:r>
      <w:r w:rsidR="000F356B">
        <w:rPr>
          <w:rFonts w:cs="Times New Roman"/>
          <w:szCs w:val="24"/>
        </w:rPr>
        <w:t>shows</w:t>
      </w:r>
      <w:r w:rsidR="000F356B" w:rsidRPr="00FD2EFD">
        <w:rPr>
          <w:rFonts w:cs="Times New Roman"/>
          <w:szCs w:val="24"/>
        </w:rPr>
        <w:t xml:space="preserve"> Δk-infinity (%) </w:t>
      </w:r>
      <w:r w:rsidR="000F356B">
        <w:rPr>
          <w:rFonts w:cs="Times New Roman"/>
          <w:szCs w:val="24"/>
        </w:rPr>
        <w:t xml:space="preserve">for three cases to understand the relative contributions of cladding and </w:t>
      </w:r>
      <w:r w:rsidR="00F155F8" w:rsidRPr="00F155F8">
        <w:rPr>
          <w:rFonts w:cs="Times New Roman"/>
          <w:szCs w:val="24"/>
        </w:rPr>
        <w:t>channel box</w:t>
      </w:r>
      <w:r w:rsidR="000F356B">
        <w:rPr>
          <w:rFonts w:cs="Times New Roman"/>
          <w:szCs w:val="24"/>
        </w:rPr>
        <w:t xml:space="preserve"> to the combined reactivity penalty</w:t>
      </w:r>
      <w:r w:rsidR="000F356B" w:rsidRPr="00FD2EFD">
        <w:rPr>
          <w:rFonts w:cs="Times New Roman"/>
          <w:szCs w:val="24"/>
        </w:rPr>
        <w:t xml:space="preserve">: 1) </w:t>
      </w:r>
      <w:r w:rsidR="000F356B">
        <w:rPr>
          <w:rFonts w:cs="Times New Roman"/>
          <w:szCs w:val="24"/>
        </w:rPr>
        <w:t xml:space="preserve">FeCrAl </w:t>
      </w:r>
      <w:r w:rsidR="00F155F8" w:rsidRPr="00F155F8">
        <w:rPr>
          <w:rFonts w:cs="Times New Roman"/>
          <w:szCs w:val="24"/>
        </w:rPr>
        <w:t>channel box</w:t>
      </w:r>
      <w:r w:rsidR="000F356B" w:rsidRPr="00FD2EFD">
        <w:rPr>
          <w:rFonts w:cs="Times New Roman"/>
          <w:szCs w:val="24"/>
        </w:rPr>
        <w:t xml:space="preserve"> and </w:t>
      </w:r>
      <w:r w:rsidR="000F356B">
        <w:rPr>
          <w:rFonts w:cs="Times New Roman"/>
          <w:szCs w:val="24"/>
        </w:rPr>
        <w:t xml:space="preserve">Zircaloy </w:t>
      </w:r>
      <w:r w:rsidR="000F356B" w:rsidRPr="00FD2EFD">
        <w:rPr>
          <w:rFonts w:cs="Times New Roman"/>
          <w:szCs w:val="24"/>
        </w:rPr>
        <w:t xml:space="preserve">cladding, 2) </w:t>
      </w:r>
      <w:r w:rsidR="000F356B">
        <w:rPr>
          <w:rFonts w:cs="Times New Roman"/>
          <w:szCs w:val="24"/>
        </w:rPr>
        <w:t xml:space="preserve">FeCrAl </w:t>
      </w:r>
      <w:r w:rsidR="000F356B" w:rsidRPr="00FD2EFD">
        <w:rPr>
          <w:rFonts w:cs="Times New Roman"/>
          <w:szCs w:val="24"/>
        </w:rPr>
        <w:t xml:space="preserve">cladding and </w:t>
      </w:r>
      <w:r w:rsidR="000F356B">
        <w:rPr>
          <w:rFonts w:cs="Times New Roman"/>
          <w:szCs w:val="24"/>
        </w:rPr>
        <w:t xml:space="preserve">Zircaloy </w:t>
      </w:r>
      <w:r w:rsidR="00F155F8" w:rsidRPr="00F155F8">
        <w:rPr>
          <w:rFonts w:cs="Times New Roman"/>
          <w:szCs w:val="24"/>
        </w:rPr>
        <w:t>channel box</w:t>
      </w:r>
      <w:r w:rsidR="000F356B">
        <w:rPr>
          <w:rFonts w:cs="Times New Roman"/>
          <w:szCs w:val="24"/>
        </w:rPr>
        <w:t xml:space="preserve">, and 3) FeCrAl cladding and </w:t>
      </w:r>
      <w:r w:rsidR="00F155F8" w:rsidRPr="00F155F8">
        <w:rPr>
          <w:rFonts w:cs="Times New Roman"/>
          <w:szCs w:val="24"/>
        </w:rPr>
        <w:t>channel box</w:t>
      </w:r>
      <w:r w:rsidR="000F356B" w:rsidRPr="00FD2EFD">
        <w:rPr>
          <w:rFonts w:cs="Times New Roman"/>
          <w:szCs w:val="24"/>
        </w:rPr>
        <w:t xml:space="preserve">. </w:t>
      </w:r>
    </w:p>
    <w:p w14:paraId="40ACE8E4" w14:textId="77777777" w:rsidR="00AA38FB" w:rsidRDefault="00AA38FB" w:rsidP="00AA38FB">
      <w:pPr>
        <w:spacing w:line="360" w:lineRule="auto"/>
        <w:jc w:val="both"/>
        <w:rPr>
          <w:rFonts w:cs="Times New Roman"/>
          <w:szCs w:val="24"/>
        </w:rPr>
      </w:pPr>
      <w:r>
        <w:rPr>
          <w:rFonts w:cs="Times New Roman"/>
          <w:szCs w:val="24"/>
        </w:rPr>
        <w:t xml:space="preserve">As shown in Figure 37, the summation of the Δk penalty from the </w:t>
      </w:r>
      <w:r w:rsidRPr="00F155F8">
        <w:rPr>
          <w:rFonts w:cs="Times New Roman"/>
          <w:szCs w:val="24"/>
        </w:rPr>
        <w:t>channel box</w:t>
      </w:r>
      <w:r>
        <w:rPr>
          <w:rFonts w:cs="Times New Roman"/>
          <w:szCs w:val="24"/>
        </w:rPr>
        <w:t xml:space="preserve"> and cladding as individual elements is equivalent to the penalty of both elements consisting of FeCrAl. In addition, the reactivity penalty when replacing just the </w:t>
      </w:r>
      <w:r w:rsidRPr="00F155F8">
        <w:rPr>
          <w:rFonts w:cs="Times New Roman"/>
          <w:szCs w:val="24"/>
        </w:rPr>
        <w:t>channel box</w:t>
      </w:r>
      <w:r>
        <w:rPr>
          <w:rFonts w:cs="Times New Roman"/>
          <w:szCs w:val="24"/>
        </w:rPr>
        <w:t xml:space="preserve"> is larger within the first 15 GWd/MTU when gadolinium is burning out. This is intuitive to the previous analysis in that the </w:t>
      </w:r>
      <w:r>
        <w:rPr>
          <w:rFonts w:cs="Times New Roman"/>
          <w:szCs w:val="24"/>
        </w:rPr>
        <w:lastRenderedPageBreak/>
        <w:t xml:space="preserve">penalty from FeCrAl is minimized in the presence of a higher absorbing material, especially when in closer proximity to the fuel regions, as is the cladding. Thus the penalty is not affected by gadolinium to the same degree when only the </w:t>
      </w:r>
      <w:r w:rsidRPr="00F155F8">
        <w:rPr>
          <w:rFonts w:cs="Times New Roman"/>
          <w:szCs w:val="24"/>
        </w:rPr>
        <w:t>channel box</w:t>
      </w:r>
      <w:r>
        <w:rPr>
          <w:rFonts w:cs="Times New Roman"/>
          <w:szCs w:val="24"/>
        </w:rPr>
        <w:t xml:space="preserve"> is replaced with FeCrAl. </w:t>
      </w:r>
    </w:p>
    <w:p w14:paraId="298DA1D8" w14:textId="77777777" w:rsidR="00CF7692" w:rsidRDefault="00CF7692" w:rsidP="0091793B">
      <w:pPr>
        <w:spacing w:line="360" w:lineRule="auto"/>
        <w:jc w:val="both"/>
        <w:rPr>
          <w:rFonts w:cs="Times New Roman"/>
          <w:szCs w:val="24"/>
        </w:rPr>
      </w:pPr>
    </w:p>
    <w:p w14:paraId="39869BC2" w14:textId="77777777" w:rsidR="006F1175" w:rsidRPr="005815D6" w:rsidRDefault="006F1175" w:rsidP="0091793B">
      <w:pPr>
        <w:spacing w:line="360" w:lineRule="auto"/>
        <w:rPr>
          <w:rFonts w:cs="Times New Roman"/>
        </w:rPr>
      </w:pPr>
      <w:r>
        <w:rPr>
          <w:noProof/>
        </w:rPr>
        <w:drawing>
          <wp:inline distT="0" distB="0" distL="0" distR="0" wp14:anchorId="1CAAEA76" wp14:editId="63F177AC">
            <wp:extent cx="3886200" cy="2828925"/>
            <wp:effectExtent l="0" t="0" r="19050" b="9525"/>
            <wp:docPr id="33" name="Chart 33"/>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7C123578" w14:textId="77777777" w:rsidR="005815D6" w:rsidRDefault="00932EB1" w:rsidP="0091793B">
      <w:pPr>
        <w:spacing w:line="360" w:lineRule="auto"/>
      </w:pPr>
      <w:bookmarkStart w:id="54" w:name="_Toc416993476"/>
      <w:r>
        <w:t xml:space="preserve">Figure </w:t>
      </w:r>
      <w:fldSimple w:instr=" SEQ Figure \* ARABIC ">
        <w:r w:rsidR="00F3244B">
          <w:rPr>
            <w:noProof/>
          </w:rPr>
          <w:t>37</w:t>
        </w:r>
      </w:fldSimple>
      <w:r>
        <w:t xml:space="preserve">: </w:t>
      </w:r>
      <w:r w:rsidRPr="006855AF">
        <w:t>FeCrAl reactivity penalty of individual fuel elements</w:t>
      </w:r>
      <w:bookmarkEnd w:id="54"/>
    </w:p>
    <w:p w14:paraId="619A2E2F" w14:textId="77777777" w:rsidR="00CF7692" w:rsidRDefault="00CF7692" w:rsidP="0091793B">
      <w:pPr>
        <w:spacing w:line="360" w:lineRule="auto"/>
        <w:rPr>
          <w:rFonts w:cs="Times New Roman"/>
          <w:szCs w:val="24"/>
        </w:rPr>
      </w:pPr>
    </w:p>
    <w:p w14:paraId="2F623C5E" w14:textId="5E5258A5" w:rsidR="00A656FE" w:rsidRDefault="00B3794F" w:rsidP="0091793B">
      <w:pPr>
        <w:spacing w:line="360" w:lineRule="auto"/>
        <w:jc w:val="both"/>
        <w:rPr>
          <w:rFonts w:cs="Times New Roman"/>
          <w:szCs w:val="24"/>
        </w:rPr>
      </w:pPr>
      <w:r>
        <w:rPr>
          <w:rFonts w:cs="Times New Roman"/>
          <w:szCs w:val="24"/>
        </w:rPr>
        <w:t>In the PWR study, the spectral hardening effect from the austenitic and fer</w:t>
      </w:r>
      <w:r w:rsidR="00C24CF0">
        <w:rPr>
          <w:rFonts w:cs="Times New Roman"/>
          <w:szCs w:val="24"/>
        </w:rPr>
        <w:t>r</w:t>
      </w:r>
      <w:r>
        <w:rPr>
          <w:rFonts w:cs="Times New Roman"/>
          <w:szCs w:val="24"/>
        </w:rPr>
        <w:t xml:space="preserve">itic materials played a major role in plutonium production near EOL. </w:t>
      </w:r>
      <w:r w:rsidR="00EE1F79">
        <w:rPr>
          <w:rFonts w:cs="Times New Roman"/>
          <w:szCs w:val="24"/>
        </w:rPr>
        <w:t>In Figure 37, the reduction in the Δk penalty as the depletion sequence nears EOL is evidence of this for BWRs as well. T</w:t>
      </w:r>
      <w:r>
        <w:rPr>
          <w:rFonts w:cs="Times New Roman"/>
          <w:szCs w:val="24"/>
        </w:rPr>
        <w:t>he ad</w:t>
      </w:r>
      <w:r w:rsidR="00EE1F79">
        <w:rPr>
          <w:rFonts w:cs="Times New Roman"/>
          <w:szCs w:val="24"/>
        </w:rPr>
        <w:t xml:space="preserve">dition of the </w:t>
      </w:r>
      <w:r w:rsidR="00F155F8" w:rsidRPr="00F155F8">
        <w:rPr>
          <w:rFonts w:cs="Times New Roman"/>
          <w:szCs w:val="24"/>
        </w:rPr>
        <w:t>channel box</w:t>
      </w:r>
      <w:r w:rsidR="00EE1F79">
        <w:rPr>
          <w:rFonts w:cs="Times New Roman"/>
          <w:szCs w:val="24"/>
        </w:rPr>
        <w:t xml:space="preserve"> </w:t>
      </w:r>
      <w:r>
        <w:rPr>
          <w:rFonts w:cs="Times New Roman"/>
          <w:szCs w:val="24"/>
        </w:rPr>
        <w:t>lead</w:t>
      </w:r>
      <w:r w:rsidR="00EE1F79">
        <w:rPr>
          <w:rFonts w:cs="Times New Roman"/>
          <w:szCs w:val="24"/>
        </w:rPr>
        <w:t>s</w:t>
      </w:r>
      <w:r>
        <w:rPr>
          <w:rFonts w:cs="Times New Roman"/>
          <w:szCs w:val="24"/>
        </w:rPr>
        <w:t xml:space="preserve"> to an even harder neutron spectrum. Figure </w:t>
      </w:r>
      <w:r w:rsidR="00EE1F79">
        <w:rPr>
          <w:rFonts w:cs="Times New Roman"/>
          <w:szCs w:val="24"/>
        </w:rPr>
        <w:t>38</w:t>
      </w:r>
      <w:r>
        <w:rPr>
          <w:rFonts w:cs="Times New Roman"/>
          <w:szCs w:val="24"/>
        </w:rPr>
        <w:t xml:space="preserve"> plots the normalized neutron flux per unit lethargy a</w:t>
      </w:r>
      <w:r w:rsidR="00A656FE">
        <w:rPr>
          <w:rFonts w:cs="Times New Roman"/>
          <w:szCs w:val="24"/>
        </w:rPr>
        <w:t xml:space="preserve">s a function of neutron energy for the Zircaloy </w:t>
      </w:r>
      <w:r w:rsidR="00C13A66">
        <w:rPr>
          <w:rFonts w:cs="Times New Roman"/>
          <w:szCs w:val="24"/>
        </w:rPr>
        <w:t>base case</w:t>
      </w:r>
      <w:r w:rsidR="00A656FE">
        <w:rPr>
          <w:rFonts w:cs="Times New Roman"/>
          <w:szCs w:val="24"/>
        </w:rPr>
        <w:t xml:space="preserve"> and the FeCrAl-loaded models. </w:t>
      </w:r>
    </w:p>
    <w:p w14:paraId="4E09FA85" w14:textId="2DCBE406" w:rsidR="00AA38FB" w:rsidRDefault="00AA38FB" w:rsidP="00AA38FB">
      <w:pPr>
        <w:spacing w:line="360" w:lineRule="auto"/>
        <w:jc w:val="both"/>
        <w:rPr>
          <w:rFonts w:cs="Times New Roman"/>
          <w:szCs w:val="24"/>
        </w:rPr>
      </w:pPr>
      <w:r>
        <w:rPr>
          <w:rFonts w:cs="Times New Roman"/>
          <w:szCs w:val="24"/>
        </w:rPr>
        <w:t xml:space="preserve">The following data was taken from a CASMO simulation containing a 40-group energy structure. Because this fidelity is not as high as the PWR results containing 238 groups, the plot is slightly coarser. However the hardening of the neutron spectrum is clearly shown with the Zircaloy thermal spectrum peak significantly higher than that of the FeCrAl model. This spectral </w:t>
      </w:r>
      <w:r>
        <w:rPr>
          <w:rFonts w:cs="Times New Roman"/>
          <w:szCs w:val="24"/>
        </w:rPr>
        <w:lastRenderedPageBreak/>
        <w:t xml:space="preserve">shift leading to the production of plutonium is evident with Figure 37 displaying the reactivity penalty. As plutonium is bred more at EOL, the Δk-infinity penalty from FeCrAl is slightly minimized. </w:t>
      </w:r>
    </w:p>
    <w:p w14:paraId="4DB51500" w14:textId="77777777" w:rsidR="00C274C9" w:rsidRDefault="00C274C9" w:rsidP="0091793B">
      <w:pPr>
        <w:spacing w:line="360" w:lineRule="auto"/>
        <w:jc w:val="both"/>
        <w:rPr>
          <w:rFonts w:cs="Times New Roman"/>
          <w:szCs w:val="24"/>
        </w:rPr>
      </w:pPr>
    </w:p>
    <w:p w14:paraId="66B2B431" w14:textId="77777777" w:rsidR="00B3794F" w:rsidRDefault="00B3794F" w:rsidP="0091793B">
      <w:pPr>
        <w:spacing w:line="360" w:lineRule="auto"/>
        <w:rPr>
          <w:rFonts w:cs="Times New Roman"/>
          <w:szCs w:val="24"/>
        </w:rPr>
      </w:pPr>
      <w:r w:rsidRPr="00B3794F">
        <w:rPr>
          <w:rFonts w:cs="Times New Roman"/>
          <w:noProof/>
          <w:szCs w:val="24"/>
        </w:rPr>
        <w:drawing>
          <wp:inline distT="0" distB="0" distL="0" distR="0" wp14:anchorId="4188F446" wp14:editId="3E1005C2">
            <wp:extent cx="5320145" cy="3503221"/>
            <wp:effectExtent l="0" t="0" r="13970" b="21590"/>
            <wp:docPr id="34" name="Chart 34"/>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70B7B807" w14:textId="2853B710" w:rsidR="00B3794F" w:rsidRDefault="00932EB1" w:rsidP="0091793B">
      <w:pPr>
        <w:spacing w:line="360" w:lineRule="auto"/>
      </w:pPr>
      <w:bookmarkStart w:id="55" w:name="_Toc416993477"/>
      <w:r>
        <w:t xml:space="preserve">Figure </w:t>
      </w:r>
      <w:fldSimple w:instr=" SEQ Figure \* ARABIC ">
        <w:r w:rsidR="00F3244B">
          <w:rPr>
            <w:noProof/>
          </w:rPr>
          <w:t>38</w:t>
        </w:r>
      </w:fldSimple>
      <w:r>
        <w:t xml:space="preserve">: </w:t>
      </w:r>
      <w:r w:rsidRPr="008A36EF">
        <w:t>Neutron flux spectrum as a function of energy</w:t>
      </w:r>
      <w:bookmarkEnd w:id="55"/>
    </w:p>
    <w:p w14:paraId="36F37F30" w14:textId="77777777" w:rsidR="00C274C9" w:rsidRDefault="00C274C9" w:rsidP="0091793B">
      <w:pPr>
        <w:spacing w:line="360" w:lineRule="auto"/>
        <w:rPr>
          <w:rFonts w:cs="Times New Roman"/>
          <w:szCs w:val="24"/>
        </w:rPr>
      </w:pPr>
    </w:p>
    <w:p w14:paraId="710EFA87" w14:textId="77777777" w:rsidR="002051D4" w:rsidRDefault="002051D4" w:rsidP="0091793B">
      <w:pPr>
        <w:spacing w:line="360" w:lineRule="auto"/>
        <w:jc w:val="both"/>
        <w:rPr>
          <w:rFonts w:cs="Times New Roman"/>
          <w:szCs w:val="24"/>
        </w:rPr>
      </w:pPr>
    </w:p>
    <w:p w14:paraId="35543418" w14:textId="260AE464" w:rsidR="005815D6" w:rsidRPr="005815D6" w:rsidRDefault="005815D6" w:rsidP="0091793B">
      <w:pPr>
        <w:spacing w:line="360" w:lineRule="auto"/>
        <w:jc w:val="both"/>
        <w:rPr>
          <w:rFonts w:cs="Times New Roman"/>
          <w:b/>
          <w:sz w:val="28"/>
          <w:szCs w:val="24"/>
        </w:rPr>
      </w:pPr>
      <w:r w:rsidRPr="005815D6">
        <w:rPr>
          <w:rFonts w:cs="Times New Roman"/>
          <w:b/>
          <w:sz w:val="28"/>
          <w:szCs w:val="24"/>
        </w:rPr>
        <w:t>V</w:t>
      </w:r>
      <w:r w:rsidR="00FD129F">
        <w:rPr>
          <w:rFonts w:cs="Times New Roman"/>
          <w:b/>
          <w:sz w:val="28"/>
          <w:szCs w:val="24"/>
        </w:rPr>
        <w:t>I</w:t>
      </w:r>
      <w:r w:rsidRPr="005815D6">
        <w:rPr>
          <w:rFonts w:cs="Times New Roman"/>
          <w:b/>
          <w:sz w:val="28"/>
          <w:szCs w:val="24"/>
        </w:rPr>
        <w:t>.</w:t>
      </w:r>
      <w:r w:rsidR="00FD129F">
        <w:rPr>
          <w:rFonts w:cs="Times New Roman"/>
          <w:b/>
          <w:sz w:val="28"/>
          <w:szCs w:val="24"/>
        </w:rPr>
        <w:t>B</w:t>
      </w:r>
      <w:r w:rsidRPr="005815D6">
        <w:rPr>
          <w:rFonts w:cs="Times New Roman"/>
          <w:b/>
          <w:sz w:val="28"/>
          <w:szCs w:val="24"/>
        </w:rPr>
        <w:t xml:space="preserve">. </w:t>
      </w:r>
      <w:r w:rsidR="001D553C">
        <w:rPr>
          <w:rFonts w:cs="Times New Roman"/>
          <w:b/>
          <w:sz w:val="28"/>
          <w:szCs w:val="24"/>
        </w:rPr>
        <w:tab/>
      </w:r>
      <w:r w:rsidR="001D553C">
        <w:rPr>
          <w:rFonts w:cs="Times New Roman"/>
          <w:b/>
          <w:sz w:val="28"/>
          <w:szCs w:val="24"/>
        </w:rPr>
        <w:tab/>
      </w:r>
      <w:r w:rsidR="00FD129F">
        <w:rPr>
          <w:rFonts w:cs="Times New Roman"/>
          <w:b/>
          <w:sz w:val="28"/>
          <w:szCs w:val="24"/>
        </w:rPr>
        <w:t>Two-Dimensional Parametric Study</w:t>
      </w:r>
    </w:p>
    <w:p w14:paraId="7A5F4386" w14:textId="77777777" w:rsidR="000808D8" w:rsidRDefault="00A24B93" w:rsidP="0091793B">
      <w:pPr>
        <w:spacing w:line="360" w:lineRule="auto"/>
        <w:jc w:val="both"/>
        <w:rPr>
          <w:rFonts w:cs="Times New Roman"/>
          <w:szCs w:val="24"/>
        </w:rPr>
      </w:pPr>
      <w:r>
        <w:rPr>
          <w:rFonts w:cs="Times New Roman"/>
          <w:szCs w:val="24"/>
        </w:rPr>
        <w:t>As shown in</w:t>
      </w:r>
      <w:r w:rsidR="00812D95">
        <w:rPr>
          <w:rFonts w:cs="Times New Roman"/>
          <w:szCs w:val="24"/>
        </w:rPr>
        <w:t xml:space="preserve"> F</w:t>
      </w:r>
      <w:r w:rsidR="00EE1F79">
        <w:rPr>
          <w:rFonts w:cs="Times New Roman"/>
          <w:szCs w:val="24"/>
        </w:rPr>
        <w:t>igure 36</w:t>
      </w:r>
      <w:r>
        <w:rPr>
          <w:rFonts w:cs="Times New Roman"/>
          <w:szCs w:val="24"/>
        </w:rPr>
        <w:t xml:space="preserve">, reactivity lifetime requirements are exceeded when replacing the Zircaloy cladding and </w:t>
      </w:r>
      <w:r w:rsidR="00F155F8" w:rsidRPr="00F155F8">
        <w:rPr>
          <w:rFonts w:cs="Times New Roman"/>
          <w:szCs w:val="24"/>
        </w:rPr>
        <w:t>channel box</w:t>
      </w:r>
      <w:r>
        <w:rPr>
          <w:rFonts w:cs="Times New Roman"/>
          <w:szCs w:val="24"/>
        </w:rPr>
        <w:t xml:space="preserve"> with SiC. This is due to the low thermal absorption properties exhibited in the material. Therefore, the subsequent parametric study focused on meeting FeCrAl material in BWR assembly. In order to attempt to meet cycle length requirements of standard </w:t>
      </w:r>
      <w:r>
        <w:rPr>
          <w:rFonts w:cs="Times New Roman"/>
          <w:szCs w:val="24"/>
        </w:rPr>
        <w:lastRenderedPageBreak/>
        <w:t xml:space="preserve">Zircaloy bundles, </w:t>
      </w:r>
      <w:r w:rsidR="00CB65D8">
        <w:rPr>
          <w:rFonts w:cs="Times New Roman"/>
          <w:szCs w:val="24"/>
          <w:vertAlign w:val="superscript"/>
        </w:rPr>
        <w:t>235</w:t>
      </w:r>
      <w:r w:rsidR="00CB65D8">
        <w:rPr>
          <w:rFonts w:cs="Times New Roman"/>
          <w:szCs w:val="24"/>
        </w:rPr>
        <w:t xml:space="preserve">U </w:t>
      </w:r>
      <w:r>
        <w:rPr>
          <w:rFonts w:cs="Times New Roman"/>
          <w:szCs w:val="24"/>
        </w:rPr>
        <w:t xml:space="preserve">enrichment </w:t>
      </w:r>
      <w:r w:rsidR="00A37442">
        <w:rPr>
          <w:rFonts w:cs="Times New Roman"/>
          <w:szCs w:val="24"/>
        </w:rPr>
        <w:t>and the pellet diameter were</w:t>
      </w:r>
      <w:r>
        <w:rPr>
          <w:rFonts w:cs="Times New Roman"/>
          <w:szCs w:val="24"/>
        </w:rPr>
        <w:t xml:space="preserve"> increased </w:t>
      </w:r>
      <w:r w:rsidR="00A37442">
        <w:rPr>
          <w:rFonts w:cs="Times New Roman"/>
          <w:szCs w:val="24"/>
        </w:rPr>
        <w:t>while t</w:t>
      </w:r>
      <w:r>
        <w:rPr>
          <w:rFonts w:cs="Times New Roman"/>
          <w:szCs w:val="24"/>
        </w:rPr>
        <w:t>he thickness of the FeCrAl cladding/</w:t>
      </w:r>
      <w:r w:rsidR="00F155F8" w:rsidRPr="00F155F8">
        <w:rPr>
          <w:rFonts w:cs="Times New Roman"/>
          <w:szCs w:val="24"/>
        </w:rPr>
        <w:t>channel box</w:t>
      </w:r>
      <w:r>
        <w:rPr>
          <w:rFonts w:cs="Times New Roman"/>
          <w:szCs w:val="24"/>
        </w:rPr>
        <w:t xml:space="preserve"> was decreased. </w:t>
      </w:r>
    </w:p>
    <w:p w14:paraId="33AE5E79" w14:textId="77777777" w:rsidR="00EB0038" w:rsidRDefault="004C701E" w:rsidP="0091793B">
      <w:pPr>
        <w:spacing w:line="360" w:lineRule="auto"/>
        <w:jc w:val="both"/>
        <w:rPr>
          <w:rFonts w:eastAsiaTheme="minorEastAsia" w:cs="Times New Roman"/>
          <w:szCs w:val="24"/>
        </w:rPr>
      </w:pPr>
      <w:r>
        <w:rPr>
          <w:rFonts w:cs="Times New Roman"/>
          <w:szCs w:val="24"/>
        </w:rPr>
        <w:t xml:space="preserve">After </w:t>
      </w:r>
      <w:r w:rsidR="002A0C6E">
        <w:rPr>
          <w:rFonts w:cs="Times New Roman"/>
          <w:szCs w:val="24"/>
        </w:rPr>
        <w:t>a</w:t>
      </w:r>
      <w:r>
        <w:rPr>
          <w:rFonts w:cs="Times New Roman"/>
          <w:szCs w:val="24"/>
        </w:rPr>
        <w:t xml:space="preserve"> perturbation was made to the</w:t>
      </w:r>
      <w:r w:rsidR="002A0C6E">
        <w:rPr>
          <w:rFonts w:cs="Times New Roman"/>
          <w:szCs w:val="24"/>
        </w:rPr>
        <w:t xml:space="preserve"> FeCrAl bundle</w:t>
      </w:r>
      <w:r>
        <w:rPr>
          <w:rFonts w:cs="Times New Roman"/>
          <w:szCs w:val="24"/>
        </w:rPr>
        <w:t xml:space="preserve"> design, </w:t>
      </w:r>
      <w:r w:rsidR="002A0C6E">
        <w:rPr>
          <w:rFonts w:cs="Times New Roman"/>
          <w:szCs w:val="24"/>
        </w:rPr>
        <w:t xml:space="preserve">the model was re-run in CASMO to </w:t>
      </w:r>
      <w:r w:rsidR="002A0C6E" w:rsidRPr="00343544">
        <w:rPr>
          <w:rFonts w:cs="Times New Roman"/>
          <w:szCs w:val="24"/>
        </w:rPr>
        <w:t xml:space="preserve">determine a k-infinity value at the desired </w:t>
      </w:r>
      <w:r w:rsidR="00497109" w:rsidRPr="00343544">
        <w:rPr>
          <w:rFonts w:cs="Times New Roman"/>
          <w:szCs w:val="24"/>
        </w:rPr>
        <w:t>EFPD</w:t>
      </w:r>
      <w:r w:rsidR="002A0C6E" w:rsidRPr="00343544">
        <w:rPr>
          <w:rFonts w:cs="Times New Roman"/>
          <w:szCs w:val="24"/>
        </w:rPr>
        <w:t xml:space="preserve">. </w:t>
      </w:r>
      <w:proofErr w:type="gramStart"/>
      <w:r w:rsidR="002A0C6E" w:rsidRPr="00343544">
        <w:rPr>
          <w:rFonts w:cs="Times New Roman"/>
          <w:szCs w:val="24"/>
        </w:rPr>
        <w:t>Using</w:t>
      </w:r>
      <w:r w:rsidR="00483233">
        <w:rPr>
          <w:rFonts w:cs="Times New Roman"/>
          <w:szCs w:val="24"/>
        </w:rPr>
        <w:t xml:space="preserve"> the methodology in section IV.B</w:t>
      </w:r>
      <w:r w:rsidR="002A0C6E" w:rsidRPr="00343544">
        <w:rPr>
          <w:rFonts w:cs="Times New Roman"/>
          <w:szCs w:val="24"/>
        </w:rPr>
        <w:t>.</w:t>
      </w:r>
      <w:proofErr w:type="gramEnd"/>
      <w:r w:rsidR="002A0C6E" w:rsidRPr="00343544">
        <w:rPr>
          <w:rFonts w:cs="Times New Roman"/>
          <w:szCs w:val="24"/>
        </w:rPr>
        <w:t xml:space="preserve"> </w:t>
      </w:r>
      <w:proofErr w:type="gramStart"/>
      <w:r w:rsidR="002A0C6E" w:rsidRPr="00343544">
        <w:rPr>
          <w:rFonts w:cs="Times New Roman"/>
          <w:szCs w:val="24"/>
        </w:rPr>
        <w:t>and</w:t>
      </w:r>
      <w:proofErr w:type="gramEnd"/>
      <w:r w:rsidR="002A0C6E" w:rsidRPr="00343544">
        <w:rPr>
          <w:rFonts w:cs="Times New Roman"/>
          <w:szCs w:val="24"/>
        </w:rPr>
        <w:t xml:space="preserve"> </w:t>
      </w:r>
      <w:r w:rsidR="00483233">
        <w:rPr>
          <w:rFonts w:eastAsiaTheme="minorEastAsia" w:cs="Times New Roman"/>
          <w:szCs w:val="24"/>
        </w:rPr>
        <w:t>equation 4</w:t>
      </w:r>
      <w:r w:rsidR="00343544" w:rsidRPr="00343544">
        <w:rPr>
          <w:rFonts w:eastAsiaTheme="minorEastAsia" w:cs="Times New Roman"/>
          <w:szCs w:val="24"/>
        </w:rPr>
        <w:t>.1</w:t>
      </w:r>
      <w:r w:rsidR="002A0C6E" w:rsidRPr="00343544">
        <w:rPr>
          <w:rFonts w:eastAsiaTheme="minorEastAsia" w:cs="Times New Roman"/>
          <w:szCs w:val="24"/>
        </w:rPr>
        <w:t xml:space="preserve">, a new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sidR="00786082" w:rsidRPr="00343544">
        <w:rPr>
          <w:rFonts w:eastAsiaTheme="minorEastAsia" w:cs="Times New Roman"/>
          <w:szCs w:val="24"/>
        </w:rPr>
        <w:t xml:space="preserve"> </w:t>
      </w:r>
      <w:r w:rsidR="002A0C6E" w:rsidRPr="00343544">
        <w:rPr>
          <w:rFonts w:eastAsiaTheme="minorEastAsia" w:cs="Times New Roman"/>
          <w:szCs w:val="24"/>
        </w:rPr>
        <w:t xml:space="preserve">could then be calculated.  </w:t>
      </w:r>
      <w:r w:rsidR="00EB0038" w:rsidRPr="00343544">
        <w:rPr>
          <w:rFonts w:eastAsiaTheme="minorEastAsia" w:cs="Times New Roman"/>
          <w:szCs w:val="24"/>
        </w:rPr>
        <w:t>As</w:t>
      </w:r>
      <w:r w:rsidR="002A0C6E" w:rsidRPr="00343544">
        <w:rPr>
          <w:rFonts w:eastAsiaTheme="minorEastAsia" w:cs="Times New Roman"/>
          <w:szCs w:val="24"/>
        </w:rPr>
        <w:t xml:space="preserve"> aforementioned in </w:t>
      </w:r>
      <w:r w:rsidR="00EB0038" w:rsidRPr="00343544">
        <w:rPr>
          <w:rFonts w:eastAsiaTheme="minorEastAsia" w:cs="Times New Roman"/>
          <w:szCs w:val="24"/>
        </w:rPr>
        <w:t>the methodology section</w:t>
      </w:r>
      <w:r w:rsidR="002A0C6E" w:rsidRPr="00343544">
        <w:rPr>
          <w:rFonts w:eastAsiaTheme="minorEastAsia" w:cs="Times New Roman"/>
          <w:szCs w:val="24"/>
        </w:rPr>
        <w:t xml:space="preserve">, a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sidR="00786082" w:rsidRPr="00343544">
        <w:rPr>
          <w:rFonts w:eastAsiaTheme="minorEastAsia" w:cs="Times New Roman"/>
          <w:szCs w:val="24"/>
        </w:rPr>
        <w:t xml:space="preserve"> </w:t>
      </w:r>
      <w:r w:rsidR="002A0C6E" w:rsidRPr="00343544">
        <w:rPr>
          <w:rFonts w:eastAsiaTheme="minorEastAsia" w:cs="Times New Roman"/>
          <w:szCs w:val="24"/>
        </w:rPr>
        <w:t xml:space="preserve">value </w:t>
      </w:r>
      <w:r w:rsidR="002A0C6E" w:rsidRPr="002A0C6E">
        <w:rPr>
          <w:rFonts w:eastAsiaTheme="minorEastAsia" w:cs="Times New Roman"/>
          <w:szCs w:val="24"/>
        </w:rPr>
        <w:t xml:space="preserve">equal to or above 0.000 would be expected </w:t>
      </w:r>
      <w:r w:rsidR="002A0C6E">
        <w:rPr>
          <w:rFonts w:eastAsiaTheme="minorEastAsia" w:cs="Times New Roman"/>
          <w:szCs w:val="24"/>
        </w:rPr>
        <w:t xml:space="preserve">to meet lifetime requirements of the </w:t>
      </w:r>
      <w:r w:rsidR="00C13A66">
        <w:rPr>
          <w:rFonts w:eastAsiaTheme="minorEastAsia" w:cs="Times New Roman"/>
          <w:szCs w:val="24"/>
        </w:rPr>
        <w:t>base case</w:t>
      </w:r>
      <w:r w:rsidR="002A0C6E">
        <w:rPr>
          <w:rFonts w:eastAsiaTheme="minorEastAsia" w:cs="Times New Roman"/>
          <w:szCs w:val="24"/>
        </w:rPr>
        <w:t xml:space="preserve"> Zircaloy bundle.</w:t>
      </w:r>
      <w:r w:rsidR="00EB0038">
        <w:rPr>
          <w:rFonts w:eastAsiaTheme="minorEastAsia" w:cs="Times New Roman"/>
          <w:szCs w:val="24"/>
        </w:rPr>
        <w:t xml:space="preserve"> </w:t>
      </w:r>
    </w:p>
    <w:p w14:paraId="436B05EC" w14:textId="77777777" w:rsidR="007B0082" w:rsidRDefault="00EB0038" w:rsidP="0091793B">
      <w:pPr>
        <w:spacing w:line="360" w:lineRule="auto"/>
        <w:jc w:val="both"/>
        <w:rPr>
          <w:rFonts w:eastAsiaTheme="minorEastAsia" w:cs="Times New Roman"/>
          <w:szCs w:val="24"/>
        </w:rPr>
      </w:pPr>
      <w:r>
        <w:rPr>
          <w:rFonts w:eastAsiaTheme="minorEastAsia" w:cs="Times New Roman"/>
          <w:szCs w:val="24"/>
        </w:rPr>
        <w:t xml:space="preserve">Initially, the three lattices used in the model (PSZ, DOM and VAN) zones were run with the standard average weighted enrichment of 4.11% and a thinner cladding and </w:t>
      </w:r>
      <w:r w:rsidR="00F155F8" w:rsidRPr="00F155F8">
        <w:rPr>
          <w:rFonts w:eastAsiaTheme="minorEastAsia" w:cs="Times New Roman"/>
          <w:szCs w:val="24"/>
        </w:rPr>
        <w:t>channel box</w:t>
      </w:r>
      <w:r w:rsidR="00EE1F79">
        <w:rPr>
          <w:rFonts w:eastAsiaTheme="minorEastAsia" w:cs="Times New Roman"/>
          <w:szCs w:val="24"/>
        </w:rPr>
        <w:t>. The top plot on Figure 39</w:t>
      </w:r>
      <w:r>
        <w:rPr>
          <w:rFonts w:eastAsiaTheme="minorEastAsia" w:cs="Times New Roman"/>
          <w:szCs w:val="24"/>
        </w:rPr>
        <w:t xml:space="preserve"> shows a larger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sidR="008144A6">
        <w:rPr>
          <w:rFonts w:eastAsiaTheme="minorEastAsia" w:cs="Times New Roman"/>
          <w:szCs w:val="24"/>
        </w:rPr>
        <w:t xml:space="preserve"> </w:t>
      </w:r>
      <w:r>
        <w:rPr>
          <w:rFonts w:eastAsiaTheme="minorEastAsia" w:cs="Times New Roman"/>
          <w:szCs w:val="24"/>
        </w:rPr>
        <w:t xml:space="preserve">is calculated the thinner the cladding is. It should be noted that the </w:t>
      </w:r>
      <w:r w:rsidR="00F155F8" w:rsidRPr="00F155F8">
        <w:rPr>
          <w:rFonts w:eastAsiaTheme="minorEastAsia" w:cs="Times New Roman"/>
          <w:szCs w:val="24"/>
        </w:rPr>
        <w:t>channel box</w:t>
      </w:r>
      <w:r>
        <w:rPr>
          <w:rFonts w:eastAsiaTheme="minorEastAsia" w:cs="Times New Roman"/>
          <w:szCs w:val="24"/>
        </w:rPr>
        <w:t xml:space="preserve"> was thinned in proportion to the thinning of the cladding. The </w:t>
      </w:r>
      <w:r w:rsidR="00C13A66">
        <w:rPr>
          <w:rFonts w:eastAsiaTheme="minorEastAsia" w:cs="Times New Roman"/>
          <w:szCs w:val="24"/>
        </w:rPr>
        <w:t>base case</w:t>
      </w:r>
      <w:r>
        <w:rPr>
          <w:rFonts w:eastAsiaTheme="minorEastAsia" w:cs="Times New Roman"/>
          <w:szCs w:val="24"/>
        </w:rPr>
        <w:t xml:space="preserve"> cladding and </w:t>
      </w:r>
      <w:r w:rsidR="00F155F8" w:rsidRPr="00F155F8">
        <w:rPr>
          <w:rFonts w:eastAsiaTheme="minorEastAsia" w:cs="Times New Roman"/>
          <w:szCs w:val="24"/>
        </w:rPr>
        <w:t>channel box</w:t>
      </w:r>
      <w:r>
        <w:rPr>
          <w:rFonts w:eastAsiaTheme="minorEastAsia" w:cs="Times New Roman"/>
          <w:szCs w:val="24"/>
        </w:rPr>
        <w:t xml:space="preserve"> thicknesses are 600 μm and 1600 μm, respectively.  Therefore when a reduction of 75% cladding thickness was simulated (150 μm)</w:t>
      </w:r>
      <w:proofErr w:type="gramStart"/>
      <w:r>
        <w:rPr>
          <w:rFonts w:eastAsiaTheme="minorEastAsia" w:cs="Times New Roman"/>
          <w:szCs w:val="24"/>
        </w:rPr>
        <w:t>,</w:t>
      </w:r>
      <w:proofErr w:type="gramEnd"/>
      <w:r>
        <w:rPr>
          <w:rFonts w:eastAsiaTheme="minorEastAsia" w:cs="Times New Roman"/>
          <w:szCs w:val="24"/>
        </w:rPr>
        <w:t xml:space="preserve"> the </w:t>
      </w:r>
      <w:r w:rsidR="00F155F8" w:rsidRPr="00F155F8">
        <w:rPr>
          <w:rFonts w:eastAsiaTheme="minorEastAsia" w:cs="Times New Roman"/>
          <w:szCs w:val="24"/>
        </w:rPr>
        <w:t>channel box</w:t>
      </w:r>
      <w:r>
        <w:rPr>
          <w:rFonts w:eastAsiaTheme="minorEastAsia" w:cs="Times New Roman"/>
          <w:szCs w:val="24"/>
        </w:rPr>
        <w:t xml:space="preserve"> was subsequently thinned to 400 μm.  </w:t>
      </w:r>
      <w:r w:rsidR="007B0082">
        <w:rPr>
          <w:rFonts w:eastAsiaTheme="minorEastAsia" w:cs="Times New Roman"/>
          <w:szCs w:val="24"/>
        </w:rPr>
        <w:t>Alternative</w:t>
      </w:r>
      <w:r w:rsidR="00812D95">
        <w:rPr>
          <w:rFonts w:eastAsiaTheme="minorEastAsia" w:cs="Times New Roman"/>
          <w:szCs w:val="24"/>
        </w:rPr>
        <w:t>ly, the bottom plot of F</w:t>
      </w:r>
      <w:r w:rsidR="007B0082">
        <w:rPr>
          <w:rFonts w:eastAsiaTheme="minorEastAsia" w:cs="Times New Roman"/>
          <w:szCs w:val="24"/>
        </w:rPr>
        <w:t xml:space="preserve">igure </w:t>
      </w:r>
      <w:r w:rsidR="00EE1F79">
        <w:rPr>
          <w:rFonts w:eastAsiaTheme="minorEastAsia" w:cs="Times New Roman"/>
          <w:szCs w:val="24"/>
        </w:rPr>
        <w:t xml:space="preserve">39 </w:t>
      </w:r>
      <w:r w:rsidR="007B0082">
        <w:rPr>
          <w:rFonts w:eastAsiaTheme="minorEastAsia" w:cs="Times New Roman"/>
          <w:szCs w:val="24"/>
        </w:rPr>
        <w:t xml:space="preserve">displays the effect on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sidR="00786082">
        <w:rPr>
          <w:rFonts w:eastAsiaTheme="minorEastAsia" w:cs="Times New Roman"/>
          <w:szCs w:val="24"/>
        </w:rPr>
        <w:t xml:space="preserve"> </w:t>
      </w:r>
      <w:r w:rsidR="007B0082">
        <w:rPr>
          <w:rFonts w:eastAsiaTheme="minorEastAsia" w:cs="Times New Roman"/>
          <w:szCs w:val="24"/>
        </w:rPr>
        <w:t xml:space="preserve">when the </w:t>
      </w:r>
      <w:r w:rsidR="00F155F8" w:rsidRPr="00F155F8">
        <w:rPr>
          <w:rFonts w:eastAsiaTheme="minorEastAsia" w:cs="Times New Roman"/>
          <w:szCs w:val="24"/>
        </w:rPr>
        <w:t>channel box</w:t>
      </w:r>
      <w:r w:rsidR="007B0082">
        <w:rPr>
          <w:rFonts w:eastAsiaTheme="minorEastAsia" w:cs="Times New Roman"/>
          <w:szCs w:val="24"/>
        </w:rPr>
        <w:t xml:space="preserve"> and cladding thickness is kept constant and the </w:t>
      </w:r>
      <w:r w:rsidR="00CB65D8">
        <w:rPr>
          <w:rFonts w:cs="Times New Roman"/>
          <w:szCs w:val="24"/>
          <w:vertAlign w:val="superscript"/>
        </w:rPr>
        <w:t>235</w:t>
      </w:r>
      <w:r w:rsidR="00CB65D8">
        <w:rPr>
          <w:rFonts w:cs="Times New Roman"/>
          <w:szCs w:val="24"/>
        </w:rPr>
        <w:t>U</w:t>
      </w:r>
      <w:r w:rsidR="00CB65D8">
        <w:rPr>
          <w:rFonts w:eastAsiaTheme="minorEastAsia" w:cs="Times New Roman"/>
          <w:szCs w:val="24"/>
        </w:rPr>
        <w:t xml:space="preserve"> </w:t>
      </w:r>
      <w:r w:rsidR="007B0082">
        <w:rPr>
          <w:rFonts w:eastAsiaTheme="minorEastAsia" w:cs="Times New Roman"/>
          <w:szCs w:val="24"/>
        </w:rPr>
        <w:t xml:space="preserve">enrichment is increased. </w:t>
      </w:r>
    </w:p>
    <w:p w14:paraId="79B93B00" w14:textId="24A44231" w:rsidR="00A41304" w:rsidRDefault="00A41304" w:rsidP="00A41304">
      <w:pPr>
        <w:spacing w:line="360" w:lineRule="auto"/>
        <w:jc w:val="both"/>
        <w:rPr>
          <w:rFonts w:eastAsiaTheme="minorEastAsia" w:cs="Times New Roman"/>
          <w:szCs w:val="24"/>
        </w:rPr>
      </w:pPr>
      <w:r>
        <w:rPr>
          <w:rFonts w:cs="Times New Roman"/>
          <w:szCs w:val="24"/>
        </w:rPr>
        <w:t xml:space="preserve">As shown in Figure 39, in order to meet BWR cycle length requirements of the Zircaloy base case at 4.11% U-235, a FeCrAl bundle would require a cladding thickness of 172 </w:t>
      </w:r>
      <w:r>
        <w:rPr>
          <w:rFonts w:eastAsiaTheme="minorEastAsia" w:cs="Times New Roman"/>
          <w:szCs w:val="24"/>
        </w:rPr>
        <w:t xml:space="preserve">μm and a </w:t>
      </w:r>
      <w:r w:rsidRPr="00F155F8">
        <w:rPr>
          <w:rFonts w:eastAsiaTheme="minorEastAsia" w:cs="Times New Roman"/>
          <w:szCs w:val="24"/>
        </w:rPr>
        <w:t>channel box</w:t>
      </w:r>
      <w:r>
        <w:rPr>
          <w:rFonts w:eastAsiaTheme="minorEastAsia" w:cs="Times New Roman"/>
          <w:szCs w:val="24"/>
        </w:rPr>
        <w:t xml:space="preserve"> thickness of 460 μm. Otherwise, an average enrichment of 6.46% U-235 would be required in each bundle if the cladding and </w:t>
      </w:r>
      <w:r w:rsidRPr="00F155F8">
        <w:rPr>
          <w:rFonts w:eastAsiaTheme="minorEastAsia" w:cs="Times New Roman"/>
          <w:szCs w:val="24"/>
        </w:rPr>
        <w:t>channel box</w:t>
      </w:r>
      <w:r>
        <w:rPr>
          <w:rFonts w:eastAsiaTheme="minorEastAsia" w:cs="Times New Roman"/>
          <w:szCs w:val="24"/>
        </w:rPr>
        <w:t xml:space="preserve"> thickness were untouched.</w:t>
      </w:r>
      <w:r>
        <w:rPr>
          <w:rFonts w:cs="Times New Roman"/>
          <w:szCs w:val="24"/>
        </w:rPr>
        <w:t xml:space="preserve"> From an economic, fuel performance and regulatory standpoint, it is clear that the</w:t>
      </w:r>
      <w:r w:rsidR="007B5623">
        <w:rPr>
          <w:rFonts w:cs="Times New Roman"/>
          <w:szCs w:val="24"/>
        </w:rPr>
        <w:t xml:space="preserve">se </w:t>
      </w:r>
      <w:r>
        <w:rPr>
          <w:rFonts w:cs="Times New Roman"/>
          <w:szCs w:val="24"/>
        </w:rPr>
        <w:t>design modifications would not be acceptable for commercialization. Therefore, numerous additional cases were run perturbing the fuel enrichment and clad/</w:t>
      </w:r>
      <w:r w:rsidRPr="00F155F8">
        <w:rPr>
          <w:rFonts w:cs="Times New Roman"/>
          <w:szCs w:val="24"/>
        </w:rPr>
        <w:t>channel box</w:t>
      </w:r>
      <w:r>
        <w:rPr>
          <w:rFonts w:cs="Times New Roman"/>
          <w:szCs w:val="24"/>
        </w:rPr>
        <w:t xml:space="preserve"> thickness simultaneously. </w:t>
      </w:r>
      <w:r>
        <w:rPr>
          <w:rFonts w:eastAsiaTheme="minorEastAsia" w:cs="Times New Roman"/>
          <w:szCs w:val="24"/>
        </w:rPr>
        <w:t xml:space="preserve">All </w:t>
      </w:r>
      <w:r>
        <w:rPr>
          <w:rFonts w:cs="Times New Roman"/>
          <w:szCs w:val="24"/>
        </w:rPr>
        <w:t xml:space="preserve">design BWR combinations equating to a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Pr>
          <w:rFonts w:eastAsiaTheme="minorEastAsia" w:cs="Times New Roman"/>
          <w:szCs w:val="24"/>
        </w:rPr>
        <w:t xml:space="preserve"> value of 0.000 (+/- 0.001)</w:t>
      </w:r>
      <w:r>
        <w:rPr>
          <w:rFonts w:cs="Times New Roman"/>
          <w:szCs w:val="24"/>
        </w:rPr>
        <w:t xml:space="preserve"> were plotted in Figure 40 so that</w:t>
      </w:r>
      <w:r>
        <w:rPr>
          <w:rFonts w:eastAsiaTheme="minorEastAsia" w:cs="Times New Roman"/>
          <w:szCs w:val="24"/>
        </w:rPr>
        <w:t xml:space="preserve"> the minimum design parameters necessary to meet cycle length requirements would be presented. </w:t>
      </w:r>
    </w:p>
    <w:p w14:paraId="18A1CEF1" w14:textId="4CC69CD1" w:rsidR="007B5623" w:rsidRDefault="007B5623" w:rsidP="007B5623">
      <w:pPr>
        <w:spacing w:line="360" w:lineRule="auto"/>
        <w:jc w:val="both"/>
        <w:rPr>
          <w:rFonts w:cs="Times New Roman"/>
          <w:szCs w:val="24"/>
        </w:rPr>
      </w:pPr>
      <w:r>
        <w:rPr>
          <w:rFonts w:cs="Times New Roman"/>
          <w:szCs w:val="24"/>
        </w:rPr>
        <w:t xml:space="preserve">Similar to Figure 31 in the PWR analysis, a linear trend is shown in Figure 40 with respect to the enrichment and geometric perturbations required of the FeCrAl design. The method states that a FeCrAl bundle with the cladding and </w:t>
      </w:r>
      <w:r w:rsidRPr="00F155F8">
        <w:rPr>
          <w:rFonts w:cs="Times New Roman"/>
          <w:szCs w:val="24"/>
        </w:rPr>
        <w:t xml:space="preserve">channel box </w:t>
      </w:r>
      <w:r>
        <w:rPr>
          <w:rFonts w:cs="Times New Roman"/>
          <w:szCs w:val="24"/>
        </w:rPr>
        <w:t xml:space="preserve">cut in half to 300 μm, an average enrichment </w:t>
      </w:r>
      <w:r>
        <w:rPr>
          <w:rFonts w:cs="Times New Roman"/>
          <w:szCs w:val="24"/>
        </w:rPr>
        <w:lastRenderedPageBreak/>
        <w:t xml:space="preserve">level of approximately 4.72% </w:t>
      </w:r>
      <w:r>
        <w:rPr>
          <w:rFonts w:cs="Times New Roman"/>
          <w:szCs w:val="24"/>
          <w:vertAlign w:val="superscript"/>
        </w:rPr>
        <w:t>235</w:t>
      </w:r>
      <w:r>
        <w:rPr>
          <w:rFonts w:cs="Times New Roman"/>
          <w:szCs w:val="24"/>
        </w:rPr>
        <w:t xml:space="preserve">U would be required. A cladding thickness at this level was deemed as a conservative lower bound, since history austenitic alloy cladding that was previously commercialized had been manufactured with a similar thickness </w:t>
      </w:r>
      <w:r>
        <w:rPr>
          <w:rFonts w:cs="Times New Roman"/>
          <w:szCs w:val="24"/>
        </w:rPr>
        <w:fldChar w:fldCharType="begin"/>
      </w:r>
      <w:r>
        <w:rPr>
          <w:rFonts w:cs="Times New Roman"/>
          <w:szCs w:val="24"/>
        </w:rPr>
        <w:instrText xml:space="preserve"> ADDIN EN.CITE &lt;EndNote&gt;&lt;Cite&gt;&lt;Author&gt;Strasser&lt;/Author&gt;&lt;Year&gt;1982&lt;/Year&gt;&lt;RecNum&gt;7&lt;/RecNum&gt;&lt;DisplayText&gt;[22]&lt;/DisplayText&gt;&lt;record&gt;&lt;rec-number&gt;7&lt;/rec-number&gt;&lt;foreign-keys&gt;&lt;key app="EN" db-id="2xr5xwvelzde2mew29sv50pv0rfe95epfwxp" timestamp="1422335366"&gt;7&lt;/key&gt;&lt;/foreign-keys&gt;&lt;ref-type name="Report"&gt;27&lt;/ref-type&gt;&lt;contributors&gt;&lt;authors&gt;&lt;author&gt;A. Strasser&lt;/author&gt;&lt;author&gt;J. Santucci&lt;/author&gt;&lt;author&gt;K. Lindquist&lt;/author&gt;&lt;author&gt;W. Yario&lt;/author&gt;&lt;author&gt;G. Stern&lt;/author&gt;&lt;author&gt;L. Goldstein&lt;/author&gt;&lt;author&gt;L. Joseph&lt;/author&gt;&lt;/authors&gt;&lt;/contributors&gt;&lt;titles&gt;&lt;title&gt;An Evaluation of Stainless Steel Cladding for Use in Current Design LWRs, NP-2642&lt;/title&gt;&lt;/titles&gt;&lt;number&gt;NP-2642&lt;/number&gt;&lt;keywords&gt;&lt;keyword&gt;Austenitic stainless steel, fuel cladding, light water reactors, stress corrosion cracking, review, pressurized water reactors, boiling water reactors, LWRs&lt;/keyword&gt;&lt;/keywords&gt;&lt;dates&gt;&lt;year&gt;1982&lt;/year&gt;&lt;/dates&gt;&lt;pub-location&gt;Palo Alto, CA&lt;/pub-location&gt;&lt;publisher&gt;Electric Power Research Institute&lt;/publisher&gt;&lt;urls&gt;&lt;/urls&gt;&lt;research-notes&gt;originally published under export control; changed to publicly available in Oct., 2008&amp;#xD;Typical fuel cladding heat fluxes are 40-140 W/cm2 (0.4-1.4 MW/m2)&lt;/research-notes&gt;&lt;/record&gt;&lt;/Cite&gt;&lt;/EndNote&gt;</w:instrText>
      </w:r>
      <w:r>
        <w:rPr>
          <w:rFonts w:cs="Times New Roman"/>
          <w:szCs w:val="24"/>
        </w:rPr>
        <w:fldChar w:fldCharType="separate"/>
      </w:r>
      <w:r>
        <w:rPr>
          <w:rFonts w:cs="Times New Roman"/>
          <w:noProof/>
          <w:szCs w:val="24"/>
        </w:rPr>
        <w:t>[</w:t>
      </w:r>
      <w:hyperlink w:anchor="_ENREF_22" w:tooltip="Strasser, 1982 #7" w:history="1">
        <w:r w:rsidR="00DF20CB">
          <w:rPr>
            <w:rFonts w:cs="Times New Roman"/>
            <w:noProof/>
            <w:szCs w:val="24"/>
          </w:rPr>
          <w:t>22</w:t>
        </w:r>
      </w:hyperlink>
      <w:r>
        <w:rPr>
          <w:rFonts w:cs="Times New Roman"/>
          <w:noProof/>
          <w:szCs w:val="24"/>
        </w:rPr>
        <w:t>]</w:t>
      </w:r>
      <w:r>
        <w:rPr>
          <w:rFonts w:cs="Times New Roman"/>
          <w:szCs w:val="24"/>
        </w:rPr>
        <w:fldChar w:fldCharType="end"/>
      </w:r>
      <w:r>
        <w:rPr>
          <w:rFonts w:cs="Times New Roman"/>
          <w:szCs w:val="24"/>
        </w:rPr>
        <w:t xml:space="preserve">. </w:t>
      </w:r>
    </w:p>
    <w:p w14:paraId="7BCF10E3" w14:textId="77777777" w:rsidR="00241031" w:rsidRPr="0091767A" w:rsidRDefault="00241031" w:rsidP="0091793B">
      <w:pPr>
        <w:spacing w:line="360" w:lineRule="auto"/>
        <w:jc w:val="both"/>
        <w:rPr>
          <w:rFonts w:eastAsiaTheme="minorEastAsia" w:cs="Times New Roman"/>
          <w:szCs w:val="24"/>
        </w:rPr>
      </w:pPr>
    </w:p>
    <w:p w14:paraId="51C7D2B8" w14:textId="77777777" w:rsidR="000808D8" w:rsidRDefault="007B0082" w:rsidP="0091793B">
      <w:pPr>
        <w:spacing w:line="360" w:lineRule="auto"/>
        <w:rPr>
          <w:rFonts w:cs="Times New Roman"/>
          <w:szCs w:val="24"/>
        </w:rPr>
      </w:pPr>
      <w:r>
        <w:rPr>
          <w:rFonts w:cs="Times New Roman"/>
          <w:noProof/>
          <w:szCs w:val="24"/>
        </w:rPr>
        <w:drawing>
          <wp:inline distT="0" distB="0" distL="0" distR="0" wp14:anchorId="07B9C5A3" wp14:editId="7CDFAFBD">
            <wp:extent cx="5188688" cy="3523254"/>
            <wp:effectExtent l="0" t="0" r="0" b="1270"/>
            <wp:docPr id="7188" name="Picture 71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5193774" cy="3526707"/>
                    </a:xfrm>
                    <a:prstGeom prst="rect">
                      <a:avLst/>
                    </a:prstGeom>
                    <a:noFill/>
                  </pic:spPr>
                </pic:pic>
              </a:graphicData>
            </a:graphic>
          </wp:inline>
        </w:drawing>
      </w:r>
      <w:r w:rsidR="0091767A">
        <w:rPr>
          <w:rFonts w:cs="Times New Roman"/>
          <w:szCs w:val="24"/>
        </w:rPr>
        <w:t xml:space="preserve"> </w:t>
      </w:r>
    </w:p>
    <w:p w14:paraId="79EBB93A" w14:textId="2EA2B974" w:rsidR="0091767A" w:rsidRDefault="00932EB1" w:rsidP="0091793B">
      <w:pPr>
        <w:spacing w:line="360" w:lineRule="auto"/>
      </w:pPr>
      <w:bookmarkStart w:id="56" w:name="_Toc416993478"/>
      <w:r>
        <w:t xml:space="preserve">Figure </w:t>
      </w:r>
      <w:fldSimple w:instr=" SEQ Figure \* ARABIC ">
        <w:r w:rsidR="00F3244B">
          <w:rPr>
            <w:noProof/>
          </w:rPr>
          <w:t>39</w:t>
        </w:r>
      </w:fldSimple>
      <w:r>
        <w:t xml:space="preserve">: </w:t>
      </w:r>
      <w:r w:rsidRPr="00D03F42">
        <w:t>EOC Reactivity Values with respect to Fuel Design Changes in FeCrAl Loaded Bundles</w:t>
      </w:r>
      <w:bookmarkEnd w:id="56"/>
    </w:p>
    <w:p w14:paraId="0AE8A048" w14:textId="77777777" w:rsidR="001D553C" w:rsidRDefault="001D553C" w:rsidP="0091793B">
      <w:pPr>
        <w:spacing w:line="360" w:lineRule="auto"/>
      </w:pPr>
    </w:p>
    <w:p w14:paraId="14E02BEA" w14:textId="43DAD0F3" w:rsidR="00133728" w:rsidRDefault="007B5623" w:rsidP="0091793B">
      <w:pPr>
        <w:spacing w:line="360" w:lineRule="auto"/>
        <w:jc w:val="both"/>
        <w:rPr>
          <w:rFonts w:cs="Times New Roman"/>
          <w:szCs w:val="24"/>
        </w:rPr>
      </w:pPr>
      <w:r>
        <w:rPr>
          <w:rFonts w:cs="Times New Roman"/>
          <w:szCs w:val="24"/>
        </w:rPr>
        <w:t xml:space="preserve">It should be noted that although this case is below the low-enriched uranium (LEU) level, this is simply and weight average of all of the pins in the array. An enrichment of 4.72% throughout the DOM region lattice would contain fuel pins as high as 5.64% near the water holes and as low as 2.3% </w:t>
      </w:r>
      <w:r>
        <w:rPr>
          <w:rFonts w:cs="Times New Roman"/>
          <w:szCs w:val="24"/>
          <w:vertAlign w:val="superscript"/>
        </w:rPr>
        <w:t>235</w:t>
      </w:r>
      <w:r>
        <w:rPr>
          <w:rFonts w:cs="Times New Roman"/>
          <w:szCs w:val="24"/>
        </w:rPr>
        <w:t xml:space="preserve">U at the corners.  Considering the advantages alternate cladding material exhibit, this may be a secondary concern if commercialized. Regardless, with some manipulation, the enrichment of the corner pins can be raised to reduce the burden of the hotter pins located closer to the center. Full-core models with pin power reconstruction would be needed in order to </w:t>
      </w:r>
      <w:r>
        <w:rPr>
          <w:rFonts w:cs="Times New Roman"/>
          <w:szCs w:val="24"/>
        </w:rPr>
        <w:lastRenderedPageBreak/>
        <w:t>determine whether manipulation of this fashion would severely compromise the limiting FΔh pins.</w:t>
      </w:r>
    </w:p>
    <w:p w14:paraId="3C8EE01B" w14:textId="77777777" w:rsidR="007B5623" w:rsidRPr="007B5623" w:rsidRDefault="007B5623" w:rsidP="0091793B">
      <w:pPr>
        <w:spacing w:line="360" w:lineRule="auto"/>
        <w:jc w:val="both"/>
        <w:rPr>
          <w:rFonts w:cs="Times New Roman"/>
          <w:szCs w:val="24"/>
        </w:rPr>
      </w:pPr>
    </w:p>
    <w:p w14:paraId="77017743" w14:textId="77777777" w:rsidR="003704E2" w:rsidRDefault="003704E2" w:rsidP="0091793B">
      <w:pPr>
        <w:spacing w:line="360" w:lineRule="auto"/>
        <w:rPr>
          <w:rFonts w:eastAsiaTheme="minorEastAsia" w:cs="Times New Roman"/>
          <w:szCs w:val="24"/>
        </w:rPr>
      </w:pPr>
      <w:r>
        <w:rPr>
          <w:rFonts w:eastAsiaTheme="minorEastAsia" w:cs="Times New Roman"/>
          <w:noProof/>
          <w:szCs w:val="24"/>
        </w:rPr>
        <w:drawing>
          <wp:inline distT="0" distB="0" distL="0" distR="0" wp14:anchorId="2C65E856" wp14:editId="5C8EFCB0">
            <wp:extent cx="4925695" cy="3633470"/>
            <wp:effectExtent l="0" t="0" r="8255" b="508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4925695" cy="3633470"/>
                    </a:xfrm>
                    <a:prstGeom prst="rect">
                      <a:avLst/>
                    </a:prstGeom>
                    <a:noFill/>
                  </pic:spPr>
                </pic:pic>
              </a:graphicData>
            </a:graphic>
          </wp:inline>
        </w:drawing>
      </w:r>
    </w:p>
    <w:p w14:paraId="0E493B94" w14:textId="33B16C69" w:rsidR="002C7D60" w:rsidRDefault="00932EB1" w:rsidP="0091793B">
      <w:pPr>
        <w:spacing w:line="360" w:lineRule="auto"/>
      </w:pPr>
      <w:bookmarkStart w:id="57" w:name="_Toc416993479"/>
      <w:r>
        <w:t xml:space="preserve">Figure </w:t>
      </w:r>
      <w:fldSimple w:instr=" SEQ Figure \* ARABIC ">
        <w:r w:rsidR="00F3244B">
          <w:rPr>
            <w:noProof/>
          </w:rPr>
          <w:t>40</w:t>
        </w:r>
      </w:fldSimple>
      <w:r>
        <w:t xml:space="preserve">: </w:t>
      </w:r>
      <w:r w:rsidRPr="000F45D0">
        <w:t xml:space="preserve">Fuel parameters required to match the </w:t>
      </w:r>
      <w:r w:rsidR="00255C7D">
        <w:t>BWR</w:t>
      </w:r>
      <w:r w:rsidRPr="000F45D0">
        <w:t xml:space="preserve"> lifetime</w:t>
      </w:r>
      <w:bookmarkEnd w:id="57"/>
    </w:p>
    <w:p w14:paraId="0C5622F3" w14:textId="77777777" w:rsidR="00A41304" w:rsidRDefault="00A41304" w:rsidP="0091793B">
      <w:pPr>
        <w:spacing w:line="360" w:lineRule="auto"/>
        <w:jc w:val="both"/>
        <w:rPr>
          <w:rFonts w:cs="Times New Roman"/>
          <w:szCs w:val="24"/>
        </w:rPr>
      </w:pPr>
    </w:p>
    <w:p w14:paraId="50383FE1" w14:textId="77777777" w:rsidR="007B5623" w:rsidRDefault="007B5623" w:rsidP="0091793B">
      <w:pPr>
        <w:spacing w:line="360" w:lineRule="auto"/>
        <w:jc w:val="both"/>
        <w:rPr>
          <w:rFonts w:cs="Times New Roman"/>
          <w:szCs w:val="24"/>
        </w:rPr>
      </w:pPr>
    </w:p>
    <w:p w14:paraId="65E136BD" w14:textId="1959965E" w:rsidR="002C7D60" w:rsidRDefault="00FD129F" w:rsidP="0091793B">
      <w:pPr>
        <w:spacing w:line="360" w:lineRule="auto"/>
        <w:jc w:val="both"/>
        <w:rPr>
          <w:rFonts w:cs="Times New Roman"/>
          <w:b/>
          <w:sz w:val="28"/>
          <w:szCs w:val="24"/>
        </w:rPr>
      </w:pPr>
      <w:r>
        <w:rPr>
          <w:rFonts w:cs="Times New Roman"/>
          <w:b/>
          <w:sz w:val="28"/>
          <w:szCs w:val="24"/>
        </w:rPr>
        <w:t>VI.C</w:t>
      </w:r>
      <w:r w:rsidR="002543C4" w:rsidRPr="002543C4">
        <w:rPr>
          <w:rFonts w:cs="Times New Roman"/>
          <w:b/>
          <w:sz w:val="28"/>
          <w:szCs w:val="24"/>
        </w:rPr>
        <w:t xml:space="preserve">. </w:t>
      </w:r>
      <w:r w:rsidR="001D553C">
        <w:rPr>
          <w:rFonts w:cs="Times New Roman"/>
          <w:b/>
          <w:sz w:val="28"/>
          <w:szCs w:val="24"/>
        </w:rPr>
        <w:tab/>
      </w:r>
      <w:r w:rsidR="002543C4" w:rsidRPr="002543C4">
        <w:rPr>
          <w:rFonts w:cs="Times New Roman"/>
          <w:b/>
          <w:sz w:val="28"/>
          <w:szCs w:val="24"/>
        </w:rPr>
        <w:t>Full-core BWR Models</w:t>
      </w:r>
    </w:p>
    <w:p w14:paraId="0BFDDDFC" w14:textId="5C616CC0" w:rsidR="00EF3E33" w:rsidRDefault="00EF3E33" w:rsidP="0091793B">
      <w:pPr>
        <w:spacing w:line="360" w:lineRule="auto"/>
        <w:jc w:val="both"/>
        <w:rPr>
          <w:rFonts w:cs="Times New Roman"/>
          <w:szCs w:val="24"/>
        </w:rPr>
      </w:pPr>
      <w:r>
        <w:rPr>
          <w:rFonts w:cs="Times New Roman"/>
          <w:szCs w:val="24"/>
        </w:rPr>
        <w:t>In order to develop and optimize a full-core model with FeCrAl bundles, a Zircaloy model was first established. A mid-size core (~2000 MW) that could maintain criticality for an 18-month cycle was selected as a representative base case. Therefore, the NESTLE full-core model was depleted for an</w:t>
      </w:r>
      <w:r w:rsidR="00125D92">
        <w:rPr>
          <w:rFonts w:cs="Times New Roman"/>
          <w:szCs w:val="24"/>
        </w:rPr>
        <w:t xml:space="preserve"> 18-month cycle. The curve in Figure 41</w:t>
      </w:r>
      <w:r>
        <w:rPr>
          <w:rFonts w:cs="Times New Roman"/>
          <w:szCs w:val="24"/>
        </w:rPr>
        <w:t xml:space="preserve"> was plotted with the </w:t>
      </w:r>
      <w:r w:rsidR="006224E8">
        <w:rPr>
          <w:rFonts w:cs="Times New Roman"/>
          <w:szCs w:val="24"/>
        </w:rPr>
        <w:t>CBs</w:t>
      </w:r>
      <w:r>
        <w:rPr>
          <w:rFonts w:cs="Times New Roman"/>
          <w:szCs w:val="24"/>
        </w:rPr>
        <w:t xml:space="preserve"> completely withdrawn (uncontrolled) so that the cycle length could be estimated once k-effective reached </w:t>
      </w:r>
      <w:r>
        <w:rPr>
          <w:rFonts w:cs="Times New Roman"/>
          <w:szCs w:val="24"/>
        </w:rPr>
        <w:lastRenderedPageBreak/>
        <w:t>unity.  Note that for this calculation an eigenvalue bias associated with NESTLE is not being assumed, but the same approach is used for Zircaloy and FeCrAl, both, for consistency.</w:t>
      </w:r>
    </w:p>
    <w:p w14:paraId="2539C08D" w14:textId="77777777" w:rsidR="00133728" w:rsidRDefault="00133728" w:rsidP="0091793B">
      <w:pPr>
        <w:spacing w:line="360" w:lineRule="auto"/>
        <w:jc w:val="both"/>
        <w:rPr>
          <w:rFonts w:cs="Times New Roman"/>
          <w:szCs w:val="24"/>
        </w:rPr>
      </w:pPr>
    </w:p>
    <w:p w14:paraId="339C96F3" w14:textId="77777777" w:rsidR="009B280A" w:rsidRPr="00133728" w:rsidRDefault="009B280A" w:rsidP="00133728">
      <w:pPr>
        <w:pStyle w:val="NoSpacing"/>
      </w:pPr>
      <w:r w:rsidRPr="00133728">
        <w:rPr>
          <w:noProof/>
        </w:rPr>
        <w:drawing>
          <wp:inline distT="0" distB="0" distL="0" distR="0" wp14:anchorId="7480D6C8" wp14:editId="0DBCB79C">
            <wp:extent cx="5547995" cy="2847340"/>
            <wp:effectExtent l="0" t="0" r="0" b="0"/>
            <wp:docPr id="7177" name="Picture 7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547995" cy="2847340"/>
                    </a:xfrm>
                    <a:prstGeom prst="rect">
                      <a:avLst/>
                    </a:prstGeom>
                    <a:noFill/>
                  </pic:spPr>
                </pic:pic>
              </a:graphicData>
            </a:graphic>
          </wp:inline>
        </w:drawing>
      </w:r>
    </w:p>
    <w:p w14:paraId="1957A4D2" w14:textId="77777777" w:rsidR="00133728" w:rsidRDefault="00932EB1" w:rsidP="00133728">
      <w:pPr>
        <w:pStyle w:val="NoSpacing"/>
        <w:spacing w:line="360" w:lineRule="auto"/>
      </w:pPr>
      <w:bookmarkStart w:id="58" w:name="_Toc416993480"/>
      <w:r w:rsidRPr="00133728">
        <w:t xml:space="preserve">Figure </w:t>
      </w:r>
      <w:fldSimple w:instr=" SEQ Figure \* ARABIC ">
        <w:r w:rsidR="00F3244B">
          <w:rPr>
            <w:noProof/>
          </w:rPr>
          <w:t>41</w:t>
        </w:r>
      </w:fldSimple>
      <w:r w:rsidRPr="00133728">
        <w:t xml:space="preserve">: Full-core Zircaloy </w:t>
      </w:r>
      <w:r w:rsidR="00C13A66" w:rsidRPr="00133728">
        <w:t>base case</w:t>
      </w:r>
      <w:r w:rsidRPr="00133728">
        <w:t xml:space="preserve"> depletion</w:t>
      </w:r>
      <w:bookmarkEnd w:id="58"/>
    </w:p>
    <w:p w14:paraId="525ADD23" w14:textId="77777777" w:rsidR="00133728" w:rsidRDefault="00133728" w:rsidP="00133728"/>
    <w:p w14:paraId="02E2612F" w14:textId="77777777" w:rsidR="0063464F" w:rsidRDefault="00345543" w:rsidP="0091793B">
      <w:pPr>
        <w:spacing w:line="360" w:lineRule="auto"/>
        <w:jc w:val="both"/>
        <w:rPr>
          <w:rFonts w:cs="Times New Roman"/>
          <w:szCs w:val="24"/>
        </w:rPr>
      </w:pPr>
      <w:r>
        <w:rPr>
          <w:rFonts w:cs="Times New Roman"/>
          <w:szCs w:val="24"/>
        </w:rPr>
        <w:t xml:space="preserve">The depletion </w:t>
      </w:r>
      <w:r w:rsidR="00EF3E33">
        <w:rPr>
          <w:rFonts w:cs="Times New Roman"/>
          <w:szCs w:val="24"/>
        </w:rPr>
        <w:t xml:space="preserve">shown in Figure </w:t>
      </w:r>
      <w:r w:rsidR="00EE1F79">
        <w:rPr>
          <w:rFonts w:cs="Times New Roman"/>
          <w:szCs w:val="24"/>
        </w:rPr>
        <w:t>41</w:t>
      </w:r>
      <w:r>
        <w:rPr>
          <w:rFonts w:cs="Times New Roman"/>
          <w:szCs w:val="24"/>
        </w:rPr>
        <w:t xml:space="preserve"> indicates that the Zircaloy full-core </w:t>
      </w:r>
      <w:r w:rsidR="00C13A66">
        <w:rPr>
          <w:rFonts w:cs="Times New Roman"/>
          <w:szCs w:val="24"/>
        </w:rPr>
        <w:t>base case</w:t>
      </w:r>
      <w:r>
        <w:rPr>
          <w:rFonts w:cs="Times New Roman"/>
          <w:szCs w:val="24"/>
        </w:rPr>
        <w:t xml:space="preserve"> model maintains criticality for a burnup of 12.8 GWd/MTU or 527 </w:t>
      </w:r>
      <w:r w:rsidR="00497109">
        <w:rPr>
          <w:rFonts w:cs="Times New Roman"/>
          <w:szCs w:val="24"/>
        </w:rPr>
        <w:t>EFPD</w:t>
      </w:r>
      <w:r>
        <w:rPr>
          <w:rFonts w:cs="Times New Roman"/>
          <w:szCs w:val="24"/>
        </w:rPr>
        <w:t xml:space="preserve">. </w:t>
      </w:r>
      <w:r w:rsidR="00EF3E33">
        <w:rPr>
          <w:rFonts w:cs="Times New Roman"/>
          <w:szCs w:val="24"/>
        </w:rPr>
        <w:t>As gadol</w:t>
      </w:r>
      <w:r w:rsidR="00043FE7">
        <w:rPr>
          <w:rFonts w:cs="Times New Roman"/>
          <w:szCs w:val="24"/>
        </w:rPr>
        <w:t>inium burns out around 280 EFPD</w:t>
      </w:r>
      <w:r w:rsidR="00EF3E33">
        <w:rPr>
          <w:rFonts w:cs="Times New Roman"/>
          <w:szCs w:val="24"/>
        </w:rPr>
        <w:t xml:space="preserve">, the k-effective curve continues to deplete with a steeper slope and increasingly linear trend toward EOC. The following table describes the depletion results and design specifications from the NESTLE neutronics model. </w:t>
      </w:r>
    </w:p>
    <w:p w14:paraId="2CF771FE" w14:textId="77777777" w:rsidR="001D553C" w:rsidRDefault="001D553C" w:rsidP="001D553C">
      <w:pPr>
        <w:spacing w:line="360" w:lineRule="auto"/>
        <w:jc w:val="both"/>
        <w:rPr>
          <w:rFonts w:cs="Times New Roman"/>
          <w:szCs w:val="24"/>
        </w:rPr>
      </w:pPr>
      <w:r>
        <w:rPr>
          <w:rFonts w:cs="Times New Roman"/>
          <w:szCs w:val="24"/>
        </w:rPr>
        <w:t xml:space="preserve">For the FeCrAl loaded design to meet reactivity lifetime requirements on a full-core level, its cycle must reach or exceed that of the base case. As stated in the previous section, the EOC reactivity method provided multiple design combination of lattice enrichment and </w:t>
      </w:r>
      <w:r w:rsidRPr="00F155F8">
        <w:rPr>
          <w:rFonts w:cs="Times New Roman"/>
          <w:szCs w:val="24"/>
        </w:rPr>
        <w:t>channel box</w:t>
      </w:r>
      <w:r>
        <w:rPr>
          <w:rFonts w:cs="Times New Roman"/>
          <w:szCs w:val="24"/>
        </w:rPr>
        <w:t xml:space="preserve">/cladding thickness. From the four FeCrAl cases in Figure 40 that met lifetime requirement, only two geometric designs were carried through to the full-core analysis: Case 1) 300 μm cladding and 800 μm </w:t>
      </w:r>
      <w:r w:rsidRPr="00F155F8">
        <w:rPr>
          <w:rFonts w:cs="Times New Roman"/>
          <w:szCs w:val="24"/>
        </w:rPr>
        <w:t>channel box</w:t>
      </w:r>
      <w:r>
        <w:rPr>
          <w:rFonts w:cs="Times New Roman"/>
          <w:szCs w:val="24"/>
        </w:rPr>
        <w:t xml:space="preserve">, and Case 2) 600 μm cladding and 1600 μm </w:t>
      </w:r>
      <w:r w:rsidRPr="00F155F8">
        <w:rPr>
          <w:rFonts w:cs="Times New Roman"/>
          <w:szCs w:val="24"/>
        </w:rPr>
        <w:t>channel box</w:t>
      </w:r>
      <w:r>
        <w:rPr>
          <w:rFonts w:cs="Times New Roman"/>
          <w:szCs w:val="24"/>
        </w:rPr>
        <w:t xml:space="preserve">. Case 1) was chosen as the lower limit for thinning the cladding thickness and Case 2) was chosen </w:t>
      </w:r>
      <w:r>
        <w:rPr>
          <w:rFonts w:cs="Times New Roman"/>
          <w:szCs w:val="24"/>
        </w:rPr>
        <w:lastRenderedPageBreak/>
        <w:t>because its geometric specifications are equivalent to the Zircaloy model. The EOC reactivity method concluded that the bundles needed lattice enrichments of 4.72% and 6.35% U-235, respectively. However it is not a certainty that these exact design specifications will hold up when modeling an entire core.</w:t>
      </w:r>
    </w:p>
    <w:p w14:paraId="41B6F6E8" w14:textId="77777777" w:rsidR="00EF3E33" w:rsidRDefault="00EF3E33" w:rsidP="0091793B">
      <w:pPr>
        <w:spacing w:line="360" w:lineRule="auto"/>
        <w:jc w:val="both"/>
        <w:rPr>
          <w:rFonts w:cs="Times New Roman"/>
          <w:szCs w:val="24"/>
        </w:rPr>
      </w:pPr>
    </w:p>
    <w:p w14:paraId="232AE9EB" w14:textId="77777777" w:rsidR="000B084C" w:rsidRDefault="00B25C95" w:rsidP="00133728">
      <w:pPr>
        <w:rPr>
          <w:rFonts w:cs="Times New Roman"/>
          <w:szCs w:val="24"/>
        </w:rPr>
      </w:pPr>
      <w:bookmarkStart w:id="59" w:name="_Toc416993438"/>
      <w:r>
        <w:t xml:space="preserve">Table </w:t>
      </w:r>
      <w:fldSimple w:instr=" SEQ Table \* ROMAN ">
        <w:r w:rsidR="00EC7A3E">
          <w:rPr>
            <w:noProof/>
          </w:rPr>
          <w:t>XV</w:t>
        </w:r>
      </w:fldSimple>
      <w:r>
        <w:t xml:space="preserve">. </w:t>
      </w:r>
      <w:r w:rsidR="0064019A" w:rsidRPr="00FD2EFD">
        <w:rPr>
          <w:szCs w:val="24"/>
        </w:rPr>
        <w:t>Full-core BWR Specifications</w:t>
      </w:r>
      <w:r w:rsidR="0064019A">
        <w:rPr>
          <w:szCs w:val="24"/>
        </w:rPr>
        <w:t xml:space="preserve"> for Zircaloy Base Case</w:t>
      </w:r>
      <w:bookmarkEnd w:id="59"/>
    </w:p>
    <w:tbl>
      <w:tblPr>
        <w:tblW w:w="7982" w:type="dxa"/>
        <w:jc w:val="center"/>
        <w:tblLook w:val="04A0" w:firstRow="1" w:lastRow="0" w:firstColumn="1" w:lastColumn="0" w:noHBand="0" w:noVBand="1"/>
      </w:tblPr>
      <w:tblGrid>
        <w:gridCol w:w="4171"/>
        <w:gridCol w:w="2404"/>
        <w:gridCol w:w="1407"/>
      </w:tblGrid>
      <w:tr w:rsidR="0064019A" w:rsidRPr="00FD2EFD" w14:paraId="47145C97" w14:textId="77777777" w:rsidTr="00277E51">
        <w:trPr>
          <w:trHeight w:val="268"/>
          <w:jc w:val="center"/>
        </w:trPr>
        <w:tc>
          <w:tcPr>
            <w:tcW w:w="4171" w:type="dxa"/>
            <w:tcBorders>
              <w:top w:val="single" w:sz="4" w:space="0" w:color="auto"/>
              <w:left w:val="nil"/>
              <w:bottom w:val="single" w:sz="4" w:space="0" w:color="auto"/>
              <w:right w:val="nil"/>
            </w:tcBorders>
            <w:shd w:val="clear" w:color="000000" w:fill="F2F2F2"/>
            <w:noWrap/>
            <w:vAlign w:val="center"/>
            <w:hideMark/>
          </w:tcPr>
          <w:p w14:paraId="405C995D"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Parameter</w:t>
            </w:r>
          </w:p>
        </w:tc>
        <w:tc>
          <w:tcPr>
            <w:tcW w:w="2404" w:type="dxa"/>
            <w:tcBorders>
              <w:top w:val="single" w:sz="4" w:space="0" w:color="auto"/>
              <w:left w:val="nil"/>
              <w:bottom w:val="single" w:sz="4" w:space="0" w:color="auto"/>
              <w:right w:val="nil"/>
            </w:tcBorders>
            <w:shd w:val="clear" w:color="000000" w:fill="F2F2F2"/>
            <w:vAlign w:val="center"/>
          </w:tcPr>
          <w:p w14:paraId="3B745915"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Value</w:t>
            </w:r>
          </w:p>
        </w:tc>
        <w:tc>
          <w:tcPr>
            <w:tcW w:w="1407" w:type="dxa"/>
            <w:tcBorders>
              <w:top w:val="single" w:sz="4" w:space="0" w:color="auto"/>
              <w:left w:val="nil"/>
              <w:bottom w:val="single" w:sz="4" w:space="0" w:color="auto"/>
              <w:right w:val="nil"/>
            </w:tcBorders>
            <w:shd w:val="clear" w:color="000000" w:fill="F2F2F2"/>
          </w:tcPr>
          <w:p w14:paraId="798A3B5D"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Units</w:t>
            </w:r>
          </w:p>
        </w:tc>
      </w:tr>
      <w:tr w:rsidR="0064019A" w:rsidRPr="00FD2EFD" w14:paraId="1F84CA63" w14:textId="77777777" w:rsidTr="00277E51">
        <w:trPr>
          <w:trHeight w:val="268"/>
          <w:jc w:val="center"/>
        </w:trPr>
        <w:tc>
          <w:tcPr>
            <w:tcW w:w="4171" w:type="dxa"/>
            <w:tcBorders>
              <w:top w:val="nil"/>
              <w:left w:val="nil"/>
              <w:bottom w:val="nil"/>
              <w:right w:val="nil"/>
            </w:tcBorders>
            <w:shd w:val="clear" w:color="auto" w:fill="auto"/>
            <w:noWrap/>
            <w:vAlign w:val="center"/>
            <w:hideMark/>
          </w:tcPr>
          <w:p w14:paraId="7330E5CB"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Quarter Core Fuel Assemblies</w:t>
            </w:r>
          </w:p>
        </w:tc>
        <w:tc>
          <w:tcPr>
            <w:tcW w:w="2404" w:type="dxa"/>
            <w:tcBorders>
              <w:top w:val="nil"/>
              <w:left w:val="nil"/>
              <w:bottom w:val="nil"/>
              <w:right w:val="nil"/>
            </w:tcBorders>
            <w:shd w:val="clear" w:color="auto" w:fill="auto"/>
            <w:noWrap/>
            <w:vAlign w:val="center"/>
            <w:hideMark/>
          </w:tcPr>
          <w:p w14:paraId="35EC8DE4"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111</w:t>
            </w:r>
          </w:p>
        </w:tc>
        <w:tc>
          <w:tcPr>
            <w:tcW w:w="1407" w:type="dxa"/>
            <w:tcBorders>
              <w:top w:val="nil"/>
              <w:left w:val="nil"/>
              <w:bottom w:val="nil"/>
              <w:right w:val="nil"/>
            </w:tcBorders>
          </w:tcPr>
          <w:p w14:paraId="4F0C2218" w14:textId="77777777" w:rsidR="0064019A" w:rsidRDefault="0064019A" w:rsidP="00133728">
            <w:pPr>
              <w:spacing w:after="0"/>
              <w:rPr>
                <w:rFonts w:eastAsia="Times New Roman" w:cs="Times New Roman"/>
                <w:color w:val="000000"/>
                <w:szCs w:val="24"/>
              </w:rPr>
            </w:pPr>
            <w:r>
              <w:rPr>
                <w:rFonts w:eastAsia="Times New Roman" w:cs="Times New Roman"/>
                <w:color w:val="000000"/>
                <w:szCs w:val="24"/>
              </w:rPr>
              <w:t>#</w:t>
            </w:r>
          </w:p>
        </w:tc>
      </w:tr>
      <w:tr w:rsidR="0064019A" w:rsidRPr="00FD2EFD" w14:paraId="4B3472BE" w14:textId="77777777" w:rsidTr="00277E51">
        <w:trPr>
          <w:trHeight w:val="268"/>
          <w:jc w:val="center"/>
        </w:trPr>
        <w:tc>
          <w:tcPr>
            <w:tcW w:w="4171" w:type="dxa"/>
            <w:tcBorders>
              <w:top w:val="nil"/>
              <w:left w:val="nil"/>
              <w:bottom w:val="nil"/>
              <w:right w:val="nil"/>
            </w:tcBorders>
            <w:shd w:val="clear" w:color="auto" w:fill="auto"/>
            <w:noWrap/>
            <w:vAlign w:val="center"/>
            <w:hideMark/>
          </w:tcPr>
          <w:p w14:paraId="4454FF5F"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Axial Fuel Nodes</w:t>
            </w:r>
          </w:p>
        </w:tc>
        <w:tc>
          <w:tcPr>
            <w:tcW w:w="2404" w:type="dxa"/>
            <w:tcBorders>
              <w:top w:val="nil"/>
              <w:left w:val="nil"/>
              <w:bottom w:val="nil"/>
              <w:right w:val="nil"/>
            </w:tcBorders>
            <w:shd w:val="clear" w:color="auto" w:fill="auto"/>
            <w:noWrap/>
            <w:vAlign w:val="center"/>
            <w:hideMark/>
          </w:tcPr>
          <w:p w14:paraId="0BD5BD53" w14:textId="77777777" w:rsidR="0064019A" w:rsidRPr="00FD2EFD" w:rsidRDefault="0064019A" w:rsidP="00133728">
            <w:pPr>
              <w:spacing w:after="0"/>
              <w:rPr>
                <w:rFonts w:eastAsia="Times New Roman" w:cs="Times New Roman"/>
                <w:color w:val="000000"/>
                <w:szCs w:val="24"/>
              </w:rPr>
            </w:pPr>
            <w:r w:rsidRPr="00FD2EFD">
              <w:rPr>
                <w:rFonts w:eastAsia="Times New Roman" w:cs="Times New Roman"/>
                <w:color w:val="000000"/>
                <w:szCs w:val="24"/>
              </w:rPr>
              <w:t>24</w:t>
            </w:r>
          </w:p>
        </w:tc>
        <w:tc>
          <w:tcPr>
            <w:tcW w:w="1407" w:type="dxa"/>
            <w:tcBorders>
              <w:top w:val="nil"/>
              <w:left w:val="nil"/>
              <w:bottom w:val="nil"/>
              <w:right w:val="nil"/>
            </w:tcBorders>
          </w:tcPr>
          <w:p w14:paraId="21CCDC84"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w:t>
            </w:r>
          </w:p>
        </w:tc>
      </w:tr>
      <w:tr w:rsidR="0064019A" w:rsidRPr="00FD2EFD" w14:paraId="79590A4B" w14:textId="77777777" w:rsidTr="00277E51">
        <w:trPr>
          <w:trHeight w:val="268"/>
          <w:jc w:val="center"/>
        </w:trPr>
        <w:tc>
          <w:tcPr>
            <w:tcW w:w="4171" w:type="dxa"/>
            <w:tcBorders>
              <w:top w:val="nil"/>
              <w:left w:val="nil"/>
              <w:bottom w:val="nil"/>
              <w:right w:val="nil"/>
            </w:tcBorders>
            <w:shd w:val="clear" w:color="auto" w:fill="auto"/>
            <w:noWrap/>
            <w:vAlign w:val="center"/>
            <w:hideMark/>
          </w:tcPr>
          <w:p w14:paraId="3622C51B" w14:textId="77777777" w:rsidR="0064019A" w:rsidRPr="00FD2EFD" w:rsidRDefault="0064019A" w:rsidP="00133728">
            <w:pPr>
              <w:spacing w:after="0"/>
              <w:rPr>
                <w:rFonts w:eastAsia="Times New Roman" w:cs="Times New Roman"/>
                <w:color w:val="000000"/>
                <w:szCs w:val="24"/>
              </w:rPr>
            </w:pPr>
            <w:r w:rsidRPr="00FD2EFD">
              <w:rPr>
                <w:rFonts w:eastAsia="Times New Roman" w:cs="Times New Roman"/>
                <w:color w:val="000000"/>
                <w:szCs w:val="24"/>
              </w:rPr>
              <w:t>Assembly Pin Configuration</w:t>
            </w:r>
          </w:p>
        </w:tc>
        <w:tc>
          <w:tcPr>
            <w:tcW w:w="2404" w:type="dxa"/>
            <w:tcBorders>
              <w:top w:val="nil"/>
              <w:left w:val="nil"/>
              <w:bottom w:val="nil"/>
              <w:right w:val="nil"/>
            </w:tcBorders>
            <w:shd w:val="clear" w:color="auto" w:fill="auto"/>
            <w:noWrap/>
            <w:vAlign w:val="center"/>
            <w:hideMark/>
          </w:tcPr>
          <w:p w14:paraId="6EF06DBB" w14:textId="77777777" w:rsidR="0064019A" w:rsidRPr="00FD2EFD" w:rsidRDefault="00DC0A3C" w:rsidP="00133728">
            <w:pPr>
              <w:spacing w:after="0"/>
              <w:rPr>
                <w:rFonts w:eastAsia="Times New Roman" w:cs="Times New Roman"/>
                <w:color w:val="000000"/>
                <w:szCs w:val="24"/>
              </w:rPr>
            </w:pPr>
            <w:r>
              <w:rPr>
                <w:rFonts w:eastAsia="Times New Roman" w:cs="Times New Roman"/>
                <w:color w:val="000000"/>
                <w:szCs w:val="24"/>
              </w:rPr>
              <w:t>10 × 10</w:t>
            </w:r>
          </w:p>
        </w:tc>
        <w:tc>
          <w:tcPr>
            <w:tcW w:w="1407" w:type="dxa"/>
            <w:tcBorders>
              <w:top w:val="nil"/>
              <w:left w:val="nil"/>
              <w:bottom w:val="nil"/>
              <w:right w:val="nil"/>
            </w:tcBorders>
          </w:tcPr>
          <w:p w14:paraId="18AE7F5E"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w:t>
            </w:r>
          </w:p>
        </w:tc>
      </w:tr>
      <w:tr w:rsidR="0064019A" w:rsidRPr="00FD2EFD" w14:paraId="7A7BD739" w14:textId="77777777" w:rsidTr="00277E51">
        <w:trPr>
          <w:trHeight w:val="268"/>
          <w:jc w:val="center"/>
        </w:trPr>
        <w:tc>
          <w:tcPr>
            <w:tcW w:w="4171" w:type="dxa"/>
            <w:tcBorders>
              <w:top w:val="nil"/>
              <w:left w:val="nil"/>
              <w:bottom w:val="nil"/>
              <w:right w:val="nil"/>
            </w:tcBorders>
            <w:shd w:val="clear" w:color="auto" w:fill="auto"/>
            <w:noWrap/>
            <w:vAlign w:val="center"/>
            <w:hideMark/>
          </w:tcPr>
          <w:p w14:paraId="67ECD495"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Core Power</w:t>
            </w:r>
          </w:p>
        </w:tc>
        <w:tc>
          <w:tcPr>
            <w:tcW w:w="2404" w:type="dxa"/>
            <w:tcBorders>
              <w:top w:val="nil"/>
              <w:left w:val="nil"/>
              <w:bottom w:val="nil"/>
              <w:right w:val="nil"/>
            </w:tcBorders>
            <w:shd w:val="clear" w:color="auto" w:fill="auto"/>
            <w:noWrap/>
            <w:vAlign w:val="center"/>
            <w:hideMark/>
          </w:tcPr>
          <w:p w14:paraId="03A4435B" w14:textId="77777777" w:rsidR="0064019A" w:rsidRPr="00FD2EFD" w:rsidRDefault="0064019A" w:rsidP="00133728">
            <w:pPr>
              <w:spacing w:after="0"/>
              <w:rPr>
                <w:rFonts w:eastAsia="Times New Roman" w:cs="Times New Roman"/>
                <w:color w:val="000000"/>
                <w:szCs w:val="24"/>
              </w:rPr>
            </w:pPr>
            <w:r w:rsidRPr="00FD2EFD">
              <w:rPr>
                <w:rFonts w:eastAsia="Times New Roman" w:cs="Times New Roman"/>
                <w:color w:val="000000"/>
                <w:szCs w:val="24"/>
              </w:rPr>
              <w:t>1910</w:t>
            </w:r>
          </w:p>
        </w:tc>
        <w:tc>
          <w:tcPr>
            <w:tcW w:w="1407" w:type="dxa"/>
            <w:tcBorders>
              <w:top w:val="nil"/>
              <w:left w:val="nil"/>
              <w:bottom w:val="nil"/>
              <w:right w:val="nil"/>
            </w:tcBorders>
          </w:tcPr>
          <w:p w14:paraId="4FB8AAC3"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MWt</w:t>
            </w:r>
          </w:p>
        </w:tc>
      </w:tr>
      <w:tr w:rsidR="0064019A" w:rsidRPr="00FD2EFD" w14:paraId="101E6D2C" w14:textId="77777777" w:rsidTr="00277E51">
        <w:trPr>
          <w:trHeight w:val="268"/>
          <w:jc w:val="center"/>
        </w:trPr>
        <w:tc>
          <w:tcPr>
            <w:tcW w:w="4171" w:type="dxa"/>
            <w:tcBorders>
              <w:top w:val="nil"/>
              <w:left w:val="nil"/>
              <w:bottom w:val="nil"/>
              <w:right w:val="nil"/>
            </w:tcBorders>
            <w:shd w:val="clear" w:color="auto" w:fill="auto"/>
            <w:noWrap/>
            <w:vAlign w:val="center"/>
            <w:hideMark/>
          </w:tcPr>
          <w:p w14:paraId="7BFCA47B"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Power Density</w:t>
            </w:r>
          </w:p>
        </w:tc>
        <w:tc>
          <w:tcPr>
            <w:tcW w:w="2404" w:type="dxa"/>
            <w:tcBorders>
              <w:top w:val="nil"/>
              <w:left w:val="nil"/>
              <w:bottom w:val="nil"/>
              <w:right w:val="nil"/>
            </w:tcBorders>
            <w:shd w:val="clear" w:color="auto" w:fill="auto"/>
            <w:noWrap/>
            <w:vAlign w:val="center"/>
            <w:hideMark/>
          </w:tcPr>
          <w:p w14:paraId="263F0FC7" w14:textId="77777777" w:rsidR="0064019A" w:rsidRPr="00FD2EFD" w:rsidRDefault="0064019A" w:rsidP="00133728">
            <w:pPr>
              <w:spacing w:after="0"/>
              <w:rPr>
                <w:rFonts w:eastAsia="Times New Roman" w:cs="Times New Roman"/>
                <w:color w:val="000000"/>
                <w:szCs w:val="24"/>
              </w:rPr>
            </w:pPr>
            <w:r w:rsidRPr="00FD2EFD">
              <w:rPr>
                <w:rFonts w:eastAsia="Times New Roman" w:cs="Times New Roman"/>
                <w:color w:val="000000"/>
                <w:szCs w:val="24"/>
              </w:rPr>
              <w:t>55.66</w:t>
            </w:r>
          </w:p>
        </w:tc>
        <w:tc>
          <w:tcPr>
            <w:tcW w:w="1407" w:type="dxa"/>
            <w:tcBorders>
              <w:top w:val="nil"/>
              <w:left w:val="nil"/>
              <w:bottom w:val="nil"/>
              <w:right w:val="nil"/>
            </w:tcBorders>
          </w:tcPr>
          <w:p w14:paraId="5C4CF9F7"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MW/L</w:t>
            </w:r>
          </w:p>
        </w:tc>
      </w:tr>
      <w:tr w:rsidR="0064019A" w:rsidRPr="00FD2EFD" w14:paraId="78991DE2" w14:textId="77777777" w:rsidTr="00277E51">
        <w:trPr>
          <w:trHeight w:val="268"/>
          <w:jc w:val="center"/>
        </w:trPr>
        <w:tc>
          <w:tcPr>
            <w:tcW w:w="4171" w:type="dxa"/>
            <w:tcBorders>
              <w:top w:val="nil"/>
              <w:left w:val="nil"/>
              <w:bottom w:val="nil"/>
              <w:right w:val="nil"/>
            </w:tcBorders>
            <w:shd w:val="clear" w:color="auto" w:fill="auto"/>
            <w:noWrap/>
            <w:vAlign w:val="center"/>
            <w:hideMark/>
          </w:tcPr>
          <w:p w14:paraId="7A4EEECC" w14:textId="77777777" w:rsidR="0064019A" w:rsidRPr="00FD2EFD" w:rsidRDefault="0064019A" w:rsidP="00133728">
            <w:pPr>
              <w:spacing w:after="0"/>
              <w:rPr>
                <w:rFonts w:eastAsia="Times New Roman" w:cs="Times New Roman"/>
                <w:color w:val="000000"/>
                <w:szCs w:val="24"/>
              </w:rPr>
            </w:pPr>
            <w:r w:rsidRPr="00FD2EFD">
              <w:rPr>
                <w:rFonts w:eastAsia="Times New Roman" w:cs="Times New Roman"/>
                <w:color w:val="000000"/>
                <w:szCs w:val="24"/>
              </w:rPr>
              <w:t xml:space="preserve">Achieved </w:t>
            </w:r>
            <w:r>
              <w:rPr>
                <w:rFonts w:eastAsia="Times New Roman" w:cs="Times New Roman"/>
                <w:color w:val="000000"/>
                <w:szCs w:val="24"/>
              </w:rPr>
              <w:t>Cycle Length</w:t>
            </w:r>
          </w:p>
        </w:tc>
        <w:tc>
          <w:tcPr>
            <w:tcW w:w="2404" w:type="dxa"/>
            <w:tcBorders>
              <w:top w:val="nil"/>
              <w:left w:val="nil"/>
              <w:bottom w:val="nil"/>
              <w:right w:val="nil"/>
            </w:tcBorders>
            <w:shd w:val="clear" w:color="auto" w:fill="auto"/>
            <w:noWrap/>
            <w:vAlign w:val="center"/>
            <w:hideMark/>
          </w:tcPr>
          <w:p w14:paraId="412C02B1" w14:textId="77777777" w:rsidR="0064019A" w:rsidRPr="00FD2EFD" w:rsidRDefault="0064019A" w:rsidP="00133728">
            <w:pPr>
              <w:spacing w:after="0"/>
              <w:rPr>
                <w:rFonts w:eastAsia="Times New Roman" w:cs="Times New Roman"/>
                <w:color w:val="000000"/>
                <w:szCs w:val="24"/>
              </w:rPr>
            </w:pPr>
            <w:r w:rsidRPr="00FD2EFD">
              <w:rPr>
                <w:rFonts w:eastAsia="Times New Roman" w:cs="Times New Roman"/>
                <w:color w:val="000000"/>
                <w:szCs w:val="24"/>
              </w:rPr>
              <w:t>527.5</w:t>
            </w:r>
          </w:p>
        </w:tc>
        <w:tc>
          <w:tcPr>
            <w:tcW w:w="1407" w:type="dxa"/>
            <w:tcBorders>
              <w:top w:val="nil"/>
              <w:left w:val="nil"/>
              <w:bottom w:val="nil"/>
              <w:right w:val="nil"/>
            </w:tcBorders>
          </w:tcPr>
          <w:p w14:paraId="5070206F"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EFPD</w:t>
            </w:r>
          </w:p>
        </w:tc>
      </w:tr>
      <w:tr w:rsidR="0064019A" w:rsidRPr="00FD2EFD" w14:paraId="40A2F65D" w14:textId="77777777" w:rsidTr="00277E51">
        <w:trPr>
          <w:trHeight w:val="281"/>
          <w:jc w:val="center"/>
        </w:trPr>
        <w:tc>
          <w:tcPr>
            <w:tcW w:w="4171" w:type="dxa"/>
            <w:tcBorders>
              <w:top w:val="nil"/>
              <w:left w:val="nil"/>
              <w:bottom w:val="nil"/>
              <w:right w:val="nil"/>
            </w:tcBorders>
            <w:shd w:val="clear" w:color="auto" w:fill="auto"/>
            <w:noWrap/>
            <w:vAlign w:val="center"/>
          </w:tcPr>
          <w:p w14:paraId="251C65F5"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Heavy Metal Loading</w:t>
            </w:r>
          </w:p>
        </w:tc>
        <w:tc>
          <w:tcPr>
            <w:tcW w:w="2404" w:type="dxa"/>
            <w:tcBorders>
              <w:top w:val="nil"/>
              <w:left w:val="nil"/>
              <w:bottom w:val="nil"/>
              <w:right w:val="nil"/>
            </w:tcBorders>
            <w:shd w:val="clear" w:color="auto" w:fill="auto"/>
            <w:noWrap/>
            <w:vAlign w:val="center"/>
          </w:tcPr>
          <w:p w14:paraId="4D802F69" w14:textId="77777777" w:rsidR="0064019A" w:rsidRPr="00FD2EFD" w:rsidRDefault="0064019A" w:rsidP="00133728">
            <w:pPr>
              <w:spacing w:after="0"/>
              <w:rPr>
                <w:rFonts w:eastAsia="Times New Roman" w:cs="Times New Roman"/>
                <w:color w:val="000000"/>
                <w:szCs w:val="24"/>
              </w:rPr>
            </w:pPr>
            <w:r w:rsidRPr="00FD2EFD">
              <w:rPr>
                <w:rFonts w:cs="Times New Roman"/>
                <w:szCs w:val="24"/>
              </w:rPr>
              <w:t>78.72</w:t>
            </w:r>
          </w:p>
        </w:tc>
        <w:tc>
          <w:tcPr>
            <w:tcW w:w="1407" w:type="dxa"/>
            <w:tcBorders>
              <w:top w:val="nil"/>
              <w:left w:val="nil"/>
              <w:bottom w:val="nil"/>
              <w:right w:val="nil"/>
            </w:tcBorders>
          </w:tcPr>
          <w:p w14:paraId="49A7ACF4" w14:textId="77777777" w:rsidR="0064019A" w:rsidRPr="00FD2EFD" w:rsidRDefault="0064019A" w:rsidP="00133728">
            <w:pPr>
              <w:spacing w:after="0"/>
              <w:rPr>
                <w:rFonts w:cs="Times New Roman"/>
                <w:szCs w:val="24"/>
              </w:rPr>
            </w:pPr>
            <w:r>
              <w:rPr>
                <w:rFonts w:cs="Times New Roman"/>
                <w:szCs w:val="24"/>
              </w:rPr>
              <w:t>MTU</w:t>
            </w:r>
          </w:p>
        </w:tc>
      </w:tr>
      <w:tr w:rsidR="0064019A" w:rsidRPr="00FD2EFD" w14:paraId="02205059" w14:textId="77777777" w:rsidTr="00277E51">
        <w:trPr>
          <w:trHeight w:val="281"/>
          <w:jc w:val="center"/>
        </w:trPr>
        <w:tc>
          <w:tcPr>
            <w:tcW w:w="4171" w:type="dxa"/>
            <w:tcBorders>
              <w:top w:val="nil"/>
              <w:left w:val="nil"/>
              <w:bottom w:val="single" w:sz="4" w:space="0" w:color="auto"/>
              <w:right w:val="nil"/>
            </w:tcBorders>
            <w:shd w:val="clear" w:color="auto" w:fill="auto"/>
            <w:noWrap/>
            <w:vAlign w:val="center"/>
          </w:tcPr>
          <w:p w14:paraId="46D232F0"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Burnup</w:t>
            </w:r>
          </w:p>
        </w:tc>
        <w:tc>
          <w:tcPr>
            <w:tcW w:w="2404" w:type="dxa"/>
            <w:tcBorders>
              <w:top w:val="nil"/>
              <w:left w:val="nil"/>
              <w:bottom w:val="single" w:sz="4" w:space="0" w:color="auto"/>
              <w:right w:val="nil"/>
            </w:tcBorders>
            <w:shd w:val="clear" w:color="auto" w:fill="auto"/>
            <w:noWrap/>
            <w:vAlign w:val="center"/>
          </w:tcPr>
          <w:p w14:paraId="08F90346" w14:textId="77777777" w:rsidR="0064019A" w:rsidRPr="00FD2EFD" w:rsidRDefault="0064019A" w:rsidP="00133728">
            <w:pPr>
              <w:spacing w:after="0"/>
              <w:rPr>
                <w:rFonts w:eastAsia="Times New Roman" w:cs="Times New Roman"/>
                <w:color w:val="000000"/>
                <w:szCs w:val="24"/>
              </w:rPr>
            </w:pPr>
            <w:r w:rsidRPr="00FD2EFD">
              <w:rPr>
                <w:rFonts w:eastAsia="Times New Roman" w:cs="Times New Roman"/>
                <w:color w:val="000000"/>
                <w:szCs w:val="24"/>
              </w:rPr>
              <w:t>12800</w:t>
            </w:r>
          </w:p>
        </w:tc>
        <w:tc>
          <w:tcPr>
            <w:tcW w:w="1407" w:type="dxa"/>
            <w:tcBorders>
              <w:top w:val="nil"/>
              <w:left w:val="nil"/>
              <w:bottom w:val="single" w:sz="4" w:space="0" w:color="auto"/>
              <w:right w:val="nil"/>
            </w:tcBorders>
          </w:tcPr>
          <w:p w14:paraId="53FF3EFD" w14:textId="77777777" w:rsidR="0064019A" w:rsidRPr="00FD2EFD" w:rsidRDefault="0064019A" w:rsidP="00133728">
            <w:pPr>
              <w:spacing w:after="0"/>
              <w:rPr>
                <w:rFonts w:eastAsia="Times New Roman" w:cs="Times New Roman"/>
                <w:color w:val="000000"/>
                <w:szCs w:val="24"/>
              </w:rPr>
            </w:pPr>
            <w:r>
              <w:rPr>
                <w:rFonts w:eastAsia="Times New Roman" w:cs="Times New Roman"/>
                <w:color w:val="000000"/>
                <w:szCs w:val="24"/>
              </w:rPr>
              <w:t>MWd/MTU</w:t>
            </w:r>
          </w:p>
        </w:tc>
      </w:tr>
    </w:tbl>
    <w:p w14:paraId="2CB7110B" w14:textId="77777777" w:rsidR="00334C95" w:rsidRDefault="00334C95" w:rsidP="0091793B">
      <w:pPr>
        <w:spacing w:line="360" w:lineRule="auto"/>
        <w:jc w:val="both"/>
        <w:rPr>
          <w:rFonts w:cs="Times New Roman"/>
          <w:szCs w:val="24"/>
        </w:rPr>
      </w:pPr>
    </w:p>
    <w:p w14:paraId="06159B02" w14:textId="77777777" w:rsidR="00491FEA" w:rsidRDefault="00491FEA" w:rsidP="0091793B">
      <w:pPr>
        <w:spacing w:line="360" w:lineRule="auto"/>
        <w:jc w:val="both"/>
        <w:rPr>
          <w:rFonts w:cs="Times New Roman"/>
          <w:szCs w:val="24"/>
        </w:rPr>
      </w:pPr>
    </w:p>
    <w:p w14:paraId="3D194538" w14:textId="77777777" w:rsidR="00EF3E33" w:rsidRDefault="00EF3E33" w:rsidP="0091793B">
      <w:pPr>
        <w:spacing w:line="360" w:lineRule="auto"/>
        <w:jc w:val="both"/>
        <w:rPr>
          <w:rFonts w:cs="Times New Roman"/>
          <w:szCs w:val="24"/>
        </w:rPr>
      </w:pPr>
      <w:r>
        <w:rPr>
          <w:rFonts w:cs="Times New Roman"/>
          <w:szCs w:val="24"/>
        </w:rPr>
        <w:t xml:space="preserve">Using Cases 1 and 2, a full-core parametric study was performed in NESTLE. For each change in enrichment, lattice physics calculations were re-run in order to update the cross-section data fed into the full-core model. The full-core FeCrAl models were run for exactly 527 EFPDs to match that of the Zircaloy base case depletion sequence. The cladding thickness in Case 2 has the same pellet radius as the Zircaloy base case and thus the same heavy metal density. Therefore Case 2 was depleted for 12.80 GWd/MTU. However Case 1, containing a thinner cladding, larger fuel pellet and thus a larger heavy metal loading (91.72 MTU) was only depleted to 10.98 GWd/MTU. Starting with the U-235 settings from the EOC Reactivity Method results, enrichment was updated until the EOC k-effective values for Case 1 and 2 were equal to 1.000 (+/- 0.001). Figure </w:t>
      </w:r>
      <w:r w:rsidR="00A17A75">
        <w:rPr>
          <w:rFonts w:cs="Times New Roman"/>
          <w:szCs w:val="24"/>
        </w:rPr>
        <w:t>42</w:t>
      </w:r>
      <w:r>
        <w:rPr>
          <w:rFonts w:cs="Times New Roman"/>
          <w:szCs w:val="24"/>
        </w:rPr>
        <w:t xml:space="preserve"> plots k-effective of the full-core FeCrAl models that met cycle length requirements to the Zircaloy model. </w:t>
      </w:r>
    </w:p>
    <w:p w14:paraId="0D8137F5" w14:textId="77777777" w:rsidR="00EF3E33" w:rsidRDefault="00EF3E33" w:rsidP="0091793B">
      <w:pPr>
        <w:spacing w:line="360" w:lineRule="auto"/>
        <w:jc w:val="both"/>
        <w:rPr>
          <w:rFonts w:cs="Times New Roman"/>
          <w:szCs w:val="24"/>
        </w:rPr>
      </w:pPr>
    </w:p>
    <w:p w14:paraId="314C77D7" w14:textId="77777777" w:rsidR="00814C77" w:rsidRDefault="009B280A" w:rsidP="00133728">
      <w:pPr>
        <w:pStyle w:val="NoSpacing"/>
        <w:rPr>
          <w:rFonts w:cs="Times New Roman"/>
          <w:szCs w:val="24"/>
        </w:rPr>
      </w:pPr>
      <w:r>
        <w:rPr>
          <w:noProof/>
        </w:rPr>
        <w:lastRenderedPageBreak/>
        <w:drawing>
          <wp:inline distT="0" distB="0" distL="0" distR="0" wp14:anchorId="1BDCA661" wp14:editId="7AE78E62">
            <wp:extent cx="5271715" cy="2536466"/>
            <wp:effectExtent l="0" t="0" r="24765" b="16510"/>
            <wp:docPr id="7180" name="Chart 7180"/>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5D9E31AB" w14:textId="77777777" w:rsidR="005C7914" w:rsidRDefault="00932EB1" w:rsidP="00133728">
      <w:pPr>
        <w:pStyle w:val="NoSpacing"/>
      </w:pPr>
      <w:bookmarkStart w:id="60" w:name="_Toc416993481"/>
      <w:r>
        <w:t xml:space="preserve">Figure </w:t>
      </w:r>
      <w:fldSimple w:instr=" SEQ Figure \* ARABIC ">
        <w:r w:rsidR="00F3244B">
          <w:rPr>
            <w:noProof/>
          </w:rPr>
          <w:t>42</w:t>
        </w:r>
      </w:fldSimple>
      <w:r>
        <w:t xml:space="preserve">: </w:t>
      </w:r>
      <w:r w:rsidRPr="00F00C36">
        <w:t xml:space="preserve">FeCrAl loaded core designs matching Zircaloy </w:t>
      </w:r>
      <w:r w:rsidR="00C13A66">
        <w:t>base case</w:t>
      </w:r>
      <w:r w:rsidRPr="00F00C36">
        <w:t xml:space="preserve"> cycle length</w:t>
      </w:r>
      <w:bookmarkEnd w:id="60"/>
    </w:p>
    <w:p w14:paraId="18E460AA" w14:textId="77777777" w:rsidR="00133728" w:rsidRDefault="00133728" w:rsidP="00133728">
      <w:pPr>
        <w:pStyle w:val="NoSpacing"/>
      </w:pPr>
    </w:p>
    <w:p w14:paraId="0C5D10AF" w14:textId="77777777" w:rsidR="00133728" w:rsidRDefault="00133728" w:rsidP="00133728">
      <w:pPr>
        <w:pStyle w:val="NoSpacing"/>
      </w:pPr>
    </w:p>
    <w:p w14:paraId="6955C284" w14:textId="77777777" w:rsidR="00133728" w:rsidRDefault="00133728" w:rsidP="00133728">
      <w:pPr>
        <w:pStyle w:val="NoSpacing"/>
        <w:rPr>
          <w:rFonts w:cs="Times New Roman"/>
          <w:szCs w:val="24"/>
        </w:rPr>
      </w:pPr>
    </w:p>
    <w:p w14:paraId="1A1443F5" w14:textId="77777777" w:rsidR="00EF3E33" w:rsidRDefault="00A17A75" w:rsidP="0091793B">
      <w:pPr>
        <w:spacing w:line="360" w:lineRule="auto"/>
        <w:jc w:val="both"/>
        <w:rPr>
          <w:rFonts w:cs="Times New Roman"/>
          <w:szCs w:val="24"/>
        </w:rPr>
      </w:pPr>
      <w:r>
        <w:rPr>
          <w:rFonts w:cs="Times New Roman"/>
          <w:szCs w:val="24"/>
        </w:rPr>
        <w:t xml:space="preserve">The varying shapes shown in Figure 42 </w:t>
      </w:r>
      <w:r w:rsidR="00EF3E33">
        <w:rPr>
          <w:rFonts w:cs="Times New Roman"/>
          <w:szCs w:val="24"/>
        </w:rPr>
        <w:t>differ with respect to how each design responds to the neutron environment and the gadolinia present in the design. Case 1 (in green) maintains the flattest k-effective curve throughout the depletion cycle. This is because its heavy metal density is higher, and thus its burnup distribution is lower across the core. It is expected that Case 1 will produce lower peaking factors when optimization of the quarter core is done in a proceeding study. It is also evident that the Zircaloy base case is affected the most by the presence of the G</w:t>
      </w:r>
      <w:r w:rsidR="00EF3E33">
        <w:rPr>
          <w:rFonts w:cs="Times New Roman"/>
          <w:szCs w:val="24"/>
          <w:vertAlign w:val="subscript"/>
        </w:rPr>
        <w:t>2</w:t>
      </w:r>
      <w:r w:rsidR="00EF3E33">
        <w:rPr>
          <w:rFonts w:cs="Times New Roman"/>
          <w:szCs w:val="24"/>
        </w:rPr>
        <w:t>O</w:t>
      </w:r>
      <w:r w:rsidR="00EF3E33">
        <w:rPr>
          <w:rFonts w:cs="Times New Roman"/>
          <w:szCs w:val="24"/>
          <w:vertAlign w:val="subscript"/>
        </w:rPr>
        <w:t>3</w:t>
      </w:r>
      <w:r w:rsidR="00EF3E33">
        <w:rPr>
          <w:rFonts w:cs="Times New Roman"/>
          <w:szCs w:val="24"/>
        </w:rPr>
        <w:t xml:space="preserve"> rods. Since the enrichment in Case 2 is very high, the gadolinium in the system must compete for thermal absorptions with more U-235 atoms than the Zircaloy model. Similarly, there exists a small dip in the beginning of the Case 1 k-effective curve. Since it contains a marginally higher enrichment, gadolinium produces a slightly larger effect on its reactivity than that of Case 2. Lastly, the reactivity of the Zircaloy design drops much faster near EOC than both FeCrAl cases. This is due to the additional plutonium present in FeCrAl designs. Since the absorption properties of FeCrAl are much higher than Zircaloy, the neutron spectrum in the system is harder and thus is the conversion rate of plutonium. </w:t>
      </w:r>
    </w:p>
    <w:p w14:paraId="167FC71A" w14:textId="77777777" w:rsidR="00EF3E33" w:rsidRDefault="00EF3E33" w:rsidP="0091793B">
      <w:pPr>
        <w:spacing w:line="360" w:lineRule="auto"/>
        <w:jc w:val="both"/>
        <w:rPr>
          <w:rFonts w:cs="Times New Roman"/>
          <w:szCs w:val="24"/>
        </w:rPr>
      </w:pPr>
      <w:r>
        <w:rPr>
          <w:rFonts w:cs="Times New Roman"/>
          <w:szCs w:val="24"/>
        </w:rPr>
        <w:t xml:space="preserve">Shown in the legend, the full-core FeCrAl design with 300 μm thick cladding would require an average lattice enrichment of 4.78% U-235. Likewise, an enrichment of 6.53% would be needed for a design with standard cladding thickness (600 μm). Plotting these combinations on the same </w:t>
      </w:r>
      <w:r>
        <w:rPr>
          <w:rFonts w:cs="Times New Roman"/>
          <w:szCs w:val="24"/>
        </w:rPr>
        <w:lastRenderedPageBreak/>
        <w:t>plot as the EOC React</w:t>
      </w:r>
      <w:r w:rsidR="00A17A75">
        <w:rPr>
          <w:rFonts w:cs="Times New Roman"/>
          <w:szCs w:val="24"/>
        </w:rPr>
        <w:t>ivity results produced Figure 43</w:t>
      </w:r>
      <w:r>
        <w:rPr>
          <w:rFonts w:cs="Times New Roman"/>
          <w:szCs w:val="24"/>
        </w:rPr>
        <w:t>. Once again, all of the data points, whether 2D lattice physics or full-core models are expected to meet cycle length requirements.</w:t>
      </w:r>
    </w:p>
    <w:p w14:paraId="3F05F3A8" w14:textId="77777777" w:rsidR="00133728" w:rsidRDefault="00133728" w:rsidP="0091793B">
      <w:pPr>
        <w:spacing w:line="360" w:lineRule="auto"/>
        <w:jc w:val="both"/>
        <w:rPr>
          <w:rFonts w:cs="Times New Roman"/>
          <w:szCs w:val="24"/>
        </w:rPr>
      </w:pPr>
    </w:p>
    <w:p w14:paraId="62614B3F" w14:textId="77777777" w:rsidR="00A74E86" w:rsidRDefault="00C77334" w:rsidP="00133728">
      <w:pPr>
        <w:pStyle w:val="NoSpacing"/>
      </w:pPr>
      <w:r>
        <w:rPr>
          <w:noProof/>
        </w:rPr>
        <w:drawing>
          <wp:inline distT="0" distB="0" distL="0" distR="0" wp14:anchorId="204E39D1" wp14:editId="740CD646">
            <wp:extent cx="4108862" cy="3107286"/>
            <wp:effectExtent l="0" t="0" r="6350" b="0"/>
            <wp:docPr id="7195" name="Picture 7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16319" cy="3112925"/>
                    </a:xfrm>
                    <a:prstGeom prst="rect">
                      <a:avLst/>
                    </a:prstGeom>
                    <a:noFill/>
                  </pic:spPr>
                </pic:pic>
              </a:graphicData>
            </a:graphic>
          </wp:inline>
        </w:drawing>
      </w:r>
    </w:p>
    <w:p w14:paraId="49909A36" w14:textId="77777777" w:rsidR="00133728" w:rsidRDefault="00932EB1" w:rsidP="00491FEA">
      <w:pPr>
        <w:pStyle w:val="NoSpacing"/>
      </w:pPr>
      <w:bookmarkStart w:id="61" w:name="_Toc416993482"/>
      <w:r>
        <w:t xml:space="preserve">Figure </w:t>
      </w:r>
      <w:fldSimple w:instr=" SEQ Figure \* ARABIC ">
        <w:r w:rsidR="00F3244B">
          <w:rPr>
            <w:noProof/>
          </w:rPr>
          <w:t>43</w:t>
        </w:r>
      </w:fldSimple>
      <w:r>
        <w:t xml:space="preserve">: </w:t>
      </w:r>
      <w:r w:rsidRPr="00E476CD">
        <w:t>Parametric evaluation of lattice physics and full-core models</w:t>
      </w:r>
      <w:bookmarkEnd w:id="61"/>
    </w:p>
    <w:p w14:paraId="5F878517" w14:textId="77777777" w:rsidR="00A41304" w:rsidRDefault="00A41304" w:rsidP="00491FEA">
      <w:pPr>
        <w:pStyle w:val="NoSpacing"/>
      </w:pPr>
    </w:p>
    <w:p w14:paraId="6D09A1C3" w14:textId="77777777" w:rsidR="00A41304" w:rsidRDefault="00A41304" w:rsidP="00491FEA">
      <w:pPr>
        <w:pStyle w:val="NoSpacing"/>
      </w:pPr>
    </w:p>
    <w:p w14:paraId="258FB0F3" w14:textId="77777777" w:rsidR="00A41304" w:rsidRDefault="00A41304" w:rsidP="00491FEA">
      <w:pPr>
        <w:pStyle w:val="NoSpacing"/>
      </w:pPr>
    </w:p>
    <w:p w14:paraId="4B78D9CA" w14:textId="10159CE8" w:rsidR="00FD129F" w:rsidRDefault="00EF3E33" w:rsidP="0091793B">
      <w:pPr>
        <w:spacing w:line="360" w:lineRule="auto"/>
        <w:jc w:val="both"/>
        <w:rPr>
          <w:rFonts w:cs="Times New Roman"/>
          <w:szCs w:val="24"/>
        </w:rPr>
      </w:pPr>
      <w:r>
        <w:rPr>
          <w:rFonts w:cs="Times New Roman"/>
          <w:szCs w:val="24"/>
        </w:rPr>
        <w:t xml:space="preserve">As shown in the Figure </w:t>
      </w:r>
      <w:r w:rsidR="00A17A75">
        <w:rPr>
          <w:rFonts w:cs="Times New Roman"/>
          <w:szCs w:val="24"/>
        </w:rPr>
        <w:t>43</w:t>
      </w:r>
      <w:r>
        <w:rPr>
          <w:rFonts w:cs="Times New Roman"/>
          <w:szCs w:val="24"/>
        </w:rPr>
        <w:t xml:space="preserve">, the parametric </w:t>
      </w:r>
      <w:r w:rsidR="00C24CF0">
        <w:rPr>
          <w:rFonts w:cs="Times New Roman"/>
          <w:szCs w:val="24"/>
        </w:rPr>
        <w:t>analyses performed with the full-core models agree</w:t>
      </w:r>
      <w:r>
        <w:rPr>
          <w:rFonts w:cs="Times New Roman"/>
          <w:szCs w:val="24"/>
        </w:rPr>
        <w:t xml:space="preserve"> quite well with the lattice physics results. Design combinations of Case 1 with 300 μm thick FeCrAl cladding required almost identical fuel enrichments, while only slightly more fissile material was needed in Case 2 containing 600 μm thick cladding. Aside from a slight bias, </w:t>
      </w:r>
      <w:r w:rsidR="00A17A75">
        <w:rPr>
          <w:rFonts w:cs="Times New Roman"/>
          <w:szCs w:val="24"/>
        </w:rPr>
        <w:t xml:space="preserve">Figure 43 </w:t>
      </w:r>
      <w:r>
        <w:rPr>
          <w:rFonts w:cs="Times New Roman"/>
          <w:szCs w:val="24"/>
        </w:rPr>
        <w:t xml:space="preserve">strongly </w:t>
      </w:r>
      <w:r w:rsidR="00A17A75">
        <w:rPr>
          <w:rFonts w:cs="Times New Roman"/>
          <w:szCs w:val="24"/>
        </w:rPr>
        <w:t>verifies</w:t>
      </w:r>
      <w:r>
        <w:rPr>
          <w:rFonts w:cs="Times New Roman"/>
          <w:szCs w:val="24"/>
        </w:rPr>
        <w:t xml:space="preserve"> the use of the EOC Reactivity Method as a useful approach for parametric studies to estimate cycle length impact in BWR cores as the one herein presented, by employing 2D lattice physics calculations as described.  It should be noted that this methodology does not replace the usefulness of full-core 3D nodal simulators for the establishment of many other design and operational core management parameters.</w:t>
      </w:r>
    </w:p>
    <w:p w14:paraId="2BDCDEC3" w14:textId="77777777" w:rsidR="001D553C" w:rsidRDefault="001D553C" w:rsidP="0091793B">
      <w:pPr>
        <w:spacing w:line="360" w:lineRule="auto"/>
        <w:jc w:val="both"/>
        <w:rPr>
          <w:rFonts w:cs="Times New Roman"/>
          <w:szCs w:val="24"/>
        </w:rPr>
      </w:pPr>
    </w:p>
    <w:p w14:paraId="764801DB" w14:textId="535AAF3D" w:rsidR="000C3396" w:rsidRPr="00760B2B" w:rsidRDefault="004F786A" w:rsidP="0091793B">
      <w:pPr>
        <w:spacing w:line="360" w:lineRule="auto"/>
        <w:jc w:val="both"/>
        <w:rPr>
          <w:rFonts w:cs="Times New Roman"/>
          <w:b/>
          <w:sz w:val="28"/>
          <w:szCs w:val="24"/>
        </w:rPr>
      </w:pPr>
      <w:r w:rsidRPr="004F786A">
        <w:rPr>
          <w:rFonts w:cs="Times New Roman"/>
          <w:b/>
          <w:sz w:val="28"/>
          <w:szCs w:val="24"/>
        </w:rPr>
        <w:lastRenderedPageBreak/>
        <w:t>V</w:t>
      </w:r>
      <w:r w:rsidR="00FD129F">
        <w:rPr>
          <w:rFonts w:cs="Times New Roman"/>
          <w:b/>
          <w:sz w:val="28"/>
          <w:szCs w:val="24"/>
        </w:rPr>
        <w:t>I.D</w:t>
      </w:r>
      <w:r w:rsidRPr="004F786A">
        <w:rPr>
          <w:rFonts w:cs="Times New Roman"/>
          <w:b/>
          <w:sz w:val="28"/>
          <w:szCs w:val="24"/>
        </w:rPr>
        <w:t xml:space="preserve">. </w:t>
      </w:r>
      <w:r w:rsidR="001D553C">
        <w:rPr>
          <w:rFonts w:cs="Times New Roman"/>
          <w:b/>
          <w:sz w:val="28"/>
          <w:szCs w:val="24"/>
        </w:rPr>
        <w:tab/>
      </w:r>
      <w:r w:rsidRPr="004F786A">
        <w:rPr>
          <w:rFonts w:cs="Times New Roman"/>
          <w:b/>
          <w:sz w:val="28"/>
          <w:szCs w:val="24"/>
        </w:rPr>
        <w:t>Shuf</w:t>
      </w:r>
      <w:r w:rsidR="00075E3D">
        <w:rPr>
          <w:rFonts w:cs="Times New Roman"/>
          <w:b/>
          <w:sz w:val="28"/>
          <w:szCs w:val="24"/>
        </w:rPr>
        <w:t>fle and Control Blade Optimizati</w:t>
      </w:r>
      <w:r w:rsidR="00760B2B">
        <w:rPr>
          <w:rFonts w:cs="Times New Roman"/>
          <w:b/>
          <w:sz w:val="28"/>
          <w:szCs w:val="24"/>
        </w:rPr>
        <w:t>on</w:t>
      </w:r>
    </w:p>
    <w:p w14:paraId="437C28D7" w14:textId="28312329" w:rsidR="00133728" w:rsidRDefault="001956F7" w:rsidP="0091793B">
      <w:pPr>
        <w:spacing w:line="360" w:lineRule="auto"/>
        <w:jc w:val="both"/>
        <w:rPr>
          <w:rFonts w:cs="Times New Roman"/>
          <w:szCs w:val="24"/>
        </w:rPr>
      </w:pPr>
      <w:r>
        <w:rPr>
          <w:rFonts w:cs="Times New Roman"/>
          <w:szCs w:val="24"/>
        </w:rPr>
        <w:t xml:space="preserve">Initially, the </w:t>
      </w:r>
      <w:r w:rsidR="006224E8">
        <w:rPr>
          <w:rFonts w:cs="Times New Roman"/>
          <w:szCs w:val="24"/>
        </w:rPr>
        <w:t>CB</w:t>
      </w:r>
      <w:r>
        <w:rPr>
          <w:rFonts w:cs="Times New Roman"/>
          <w:szCs w:val="24"/>
        </w:rPr>
        <w:t xml:space="preserve"> pattern of the Zircaloy base</w:t>
      </w:r>
      <w:r w:rsidR="00767F51">
        <w:rPr>
          <w:rFonts w:cs="Times New Roman"/>
          <w:szCs w:val="24"/>
        </w:rPr>
        <w:t xml:space="preserve"> </w:t>
      </w:r>
      <w:r>
        <w:rPr>
          <w:rFonts w:cs="Times New Roman"/>
          <w:szCs w:val="24"/>
        </w:rPr>
        <w:t>case model was optimized throughout the 18-month depletion cycle</w:t>
      </w:r>
      <w:r w:rsidR="00E25A8C">
        <w:rPr>
          <w:rFonts w:cs="Times New Roman"/>
          <w:szCs w:val="24"/>
        </w:rPr>
        <w:t xml:space="preserve"> with LWROpt</w:t>
      </w:r>
      <w:r>
        <w:rPr>
          <w:rFonts w:cs="Times New Roman"/>
          <w:szCs w:val="24"/>
        </w:rPr>
        <w:t>. It was assumed that the in</w:t>
      </w:r>
      <w:r w:rsidR="00A17A75">
        <w:rPr>
          <w:rFonts w:cs="Times New Roman"/>
          <w:szCs w:val="24"/>
        </w:rPr>
        <w:t xml:space="preserve">itial </w:t>
      </w:r>
      <w:r w:rsidR="00D65CDA">
        <w:rPr>
          <w:rFonts w:cs="Times New Roman"/>
          <w:szCs w:val="24"/>
        </w:rPr>
        <w:t>LP</w:t>
      </w:r>
      <w:r w:rsidR="00A17A75">
        <w:rPr>
          <w:rFonts w:cs="Times New Roman"/>
          <w:szCs w:val="24"/>
        </w:rPr>
        <w:t xml:space="preserve"> shown in Figure 20a </w:t>
      </w:r>
      <w:r>
        <w:rPr>
          <w:rFonts w:cs="Times New Roman"/>
          <w:szCs w:val="24"/>
        </w:rPr>
        <w:t xml:space="preserve">was optimal, and thus a LP optimization was not performed. </w:t>
      </w:r>
      <w:r w:rsidR="003255D1">
        <w:rPr>
          <w:rFonts w:cs="Times New Roman"/>
          <w:szCs w:val="24"/>
        </w:rPr>
        <w:t xml:space="preserve">As described in the methodology section, four different </w:t>
      </w:r>
      <w:r w:rsidR="006224E8">
        <w:rPr>
          <w:rFonts w:cs="Times New Roman"/>
          <w:szCs w:val="24"/>
        </w:rPr>
        <w:t>CB</w:t>
      </w:r>
      <w:r w:rsidR="003255D1">
        <w:rPr>
          <w:rFonts w:cs="Times New Roman"/>
          <w:szCs w:val="24"/>
        </w:rPr>
        <w:t xml:space="preserve"> blanks were </w:t>
      </w:r>
      <w:r w:rsidR="00767F51">
        <w:rPr>
          <w:rFonts w:cs="Times New Roman"/>
          <w:szCs w:val="24"/>
        </w:rPr>
        <w:t xml:space="preserve">swapped </w:t>
      </w:r>
      <w:r w:rsidR="00801F66">
        <w:rPr>
          <w:rFonts w:cs="Times New Roman"/>
          <w:szCs w:val="24"/>
        </w:rPr>
        <w:t>at</w:t>
      </w:r>
      <w:r w:rsidR="003255D1">
        <w:rPr>
          <w:rFonts w:cs="Times New Roman"/>
          <w:szCs w:val="24"/>
        </w:rPr>
        <w:t xml:space="preserve"> each timestep. </w:t>
      </w:r>
      <w:r w:rsidR="00A17A75">
        <w:rPr>
          <w:rFonts w:cs="Times New Roman"/>
          <w:szCs w:val="24"/>
        </w:rPr>
        <w:t>Figure 44</w:t>
      </w:r>
      <w:r w:rsidR="003255D1">
        <w:rPr>
          <w:rFonts w:cs="Times New Roman"/>
          <w:szCs w:val="24"/>
        </w:rPr>
        <w:t xml:space="preserve"> describes the CB locations and their level of insertion/withdrawal axially into the core. The </w:t>
      </w:r>
      <w:r w:rsidR="00C51643">
        <w:rPr>
          <w:rFonts w:cs="Times New Roman"/>
          <w:szCs w:val="24"/>
        </w:rPr>
        <w:t>value</w:t>
      </w:r>
      <w:r w:rsidR="003255D1">
        <w:rPr>
          <w:rFonts w:cs="Times New Roman"/>
          <w:szCs w:val="24"/>
        </w:rPr>
        <w:t xml:space="preserve"> </w:t>
      </w:r>
      <w:r w:rsidR="00C51643">
        <w:rPr>
          <w:rFonts w:cs="Times New Roman"/>
          <w:szCs w:val="24"/>
        </w:rPr>
        <w:t xml:space="preserve">at each CB location represents the number of notches withdrawn from the core. Consistent with commercial operation, each </w:t>
      </w:r>
      <w:r w:rsidR="006224E8">
        <w:rPr>
          <w:rFonts w:cs="Times New Roman"/>
          <w:szCs w:val="24"/>
        </w:rPr>
        <w:t>CB</w:t>
      </w:r>
      <w:r w:rsidR="00C51643">
        <w:rPr>
          <w:rFonts w:cs="Times New Roman"/>
          <w:szCs w:val="24"/>
        </w:rPr>
        <w:t xml:space="preserve"> notch is equivalent to 3 inches axially, and the CB is inserted in increments of 2 notches. Thus a value of 48 represents a CB that is fully withdrawn from the 144 inch core while a value of 0 represents full insertion</w:t>
      </w:r>
      <w:r w:rsidR="003255D1">
        <w:rPr>
          <w:rFonts w:cs="Times New Roman"/>
          <w:szCs w:val="24"/>
        </w:rPr>
        <w:t xml:space="preserve">. </w:t>
      </w:r>
      <w:r w:rsidR="00C51643">
        <w:rPr>
          <w:rFonts w:cs="Times New Roman"/>
          <w:szCs w:val="24"/>
        </w:rPr>
        <w:t>The optimization as overlaid with the color-coded burnup distribution. Blue cells denote fresh assemblies while the red cells represent assemblies that have been highly exposed in the core.</w:t>
      </w:r>
    </w:p>
    <w:p w14:paraId="2B9459D1" w14:textId="75467DEA" w:rsidR="00A41304" w:rsidRDefault="00A41304" w:rsidP="00A41304">
      <w:pPr>
        <w:spacing w:line="360" w:lineRule="auto"/>
        <w:jc w:val="both"/>
        <w:rPr>
          <w:rFonts w:cs="Times New Roman"/>
          <w:szCs w:val="24"/>
        </w:rPr>
      </w:pPr>
      <w:r>
        <w:rPr>
          <w:rFonts w:cs="Times New Roman"/>
          <w:szCs w:val="24"/>
        </w:rPr>
        <w:t xml:space="preserve">Figure 44 shows the CB patterns taken at each of the optimization time steps. The low withdrawal values near BOC indicate that the CB banks are inserted more to compensate for the high reactivity. Intuitively, as the fuel depletes more throughout the cycle, less reactivity is present in the system, and thus the majority of CBs are nearly fully withdrawn near EOC. </w:t>
      </w:r>
    </w:p>
    <w:p w14:paraId="7F08A2EA" w14:textId="77777777" w:rsidR="00A41304" w:rsidRDefault="00A41304" w:rsidP="00A41304">
      <w:pPr>
        <w:spacing w:line="360" w:lineRule="auto"/>
        <w:jc w:val="both"/>
        <w:rPr>
          <w:rFonts w:cs="Times New Roman"/>
          <w:szCs w:val="24"/>
        </w:rPr>
      </w:pPr>
      <w:r>
        <w:rPr>
          <w:rFonts w:cs="Times New Roman"/>
          <w:szCs w:val="24"/>
        </w:rPr>
        <w:t xml:space="preserve">Since radial RPF was a major OF during the optimization, the following radial powers were outputted at BOC and EOC. The maximum radial RPF allowed was 1.60, which was not violated during the optimization. Higher RPF values are shown at BOC with a max RPF of 1.54 due to the hotter, more reactive fresh feed assemblies. Alternatively, at an exposure of 12800 MWd/MTU, the radial power profile across the core flattened as the hotter assemblies depleted, leading to a max RPF of 1.50. </w:t>
      </w:r>
    </w:p>
    <w:p w14:paraId="54EDACB7" w14:textId="77777777" w:rsidR="00274225" w:rsidRDefault="00274225" w:rsidP="00274225">
      <w:pPr>
        <w:spacing w:line="360" w:lineRule="auto"/>
        <w:jc w:val="both"/>
        <w:rPr>
          <w:rFonts w:cs="Times New Roman"/>
          <w:szCs w:val="24"/>
        </w:rPr>
      </w:pPr>
      <w:r>
        <w:rPr>
          <w:rFonts w:cs="Times New Roman"/>
          <w:szCs w:val="24"/>
        </w:rPr>
        <w:t xml:space="preserve">At various time steps early on in the depletion sequence, the nodal RPF constraints shown in Table VII were violated. As discussed in section </w:t>
      </w:r>
      <w:proofErr w:type="gramStart"/>
      <w:r>
        <w:rPr>
          <w:rFonts w:cs="Times New Roman"/>
          <w:szCs w:val="24"/>
        </w:rPr>
        <w:t>IV.D.1.,</w:t>
      </w:r>
      <w:proofErr w:type="gramEnd"/>
      <w:r>
        <w:rPr>
          <w:rFonts w:cs="Times New Roman"/>
          <w:szCs w:val="24"/>
        </w:rPr>
        <w:t xml:space="preserve"> axial linear heat rates were calculated in relation to the nodal RPFs produced in the full-core model. Despite the aforementioned constraint violations, a maximum linear heat rate </w:t>
      </w:r>
      <w:proofErr w:type="gramStart"/>
      <w:r>
        <w:rPr>
          <w:rFonts w:cs="Times New Roman"/>
          <w:szCs w:val="24"/>
        </w:rPr>
        <w:t>of 43 kW/m</w:t>
      </w:r>
      <w:proofErr w:type="gramEnd"/>
      <w:r>
        <w:rPr>
          <w:rFonts w:cs="Times New Roman"/>
          <w:szCs w:val="24"/>
        </w:rPr>
        <w:t xml:space="preserve"> was recorded at the hottest node and most limiting depletion step. This value was considered a reasonably conservative value for analyzing fuel performance, and thus the minor violation was deemed acceptable for both Zircaloy and FeCrAl models. </w:t>
      </w:r>
    </w:p>
    <w:p w14:paraId="0D37AABB" w14:textId="77777777" w:rsidR="00252234" w:rsidRPr="00425594" w:rsidRDefault="00252234" w:rsidP="0091793B">
      <w:pPr>
        <w:spacing w:line="360" w:lineRule="auto"/>
        <w:jc w:val="both"/>
        <w:rPr>
          <w:rFonts w:cs="Times New Roman"/>
          <w:szCs w:val="24"/>
        </w:rPr>
      </w:pPr>
    </w:p>
    <w:p w14:paraId="2B9D8D9E" w14:textId="77777777" w:rsidR="00252234" w:rsidRDefault="00252234" w:rsidP="0091793B">
      <w:pPr>
        <w:spacing w:line="360" w:lineRule="auto"/>
        <w:jc w:val="left"/>
        <w:rPr>
          <w:rFonts w:cs="Times New Roman"/>
          <w:szCs w:val="24"/>
        </w:rPr>
      </w:pPr>
      <w:r>
        <w:rPr>
          <w:rFonts w:cs="Times New Roman"/>
          <w:noProof/>
          <w:szCs w:val="24"/>
        </w:rPr>
        <w:lastRenderedPageBreak/>
        <w:drawing>
          <wp:inline distT="0" distB="0" distL="0" distR="0" wp14:anchorId="2B8522FB" wp14:editId="2D9BD239">
            <wp:extent cx="6086508" cy="1933575"/>
            <wp:effectExtent l="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6087154" cy="1933780"/>
                    </a:xfrm>
                    <a:prstGeom prst="rect">
                      <a:avLst/>
                    </a:prstGeom>
                    <a:noFill/>
                  </pic:spPr>
                </pic:pic>
              </a:graphicData>
            </a:graphic>
          </wp:inline>
        </w:drawing>
      </w:r>
    </w:p>
    <w:p w14:paraId="564EBD64" w14:textId="77777777" w:rsidR="00252234" w:rsidRDefault="00252234" w:rsidP="0091793B">
      <w:pPr>
        <w:spacing w:line="360" w:lineRule="auto"/>
        <w:jc w:val="left"/>
        <w:rPr>
          <w:rFonts w:cs="Times New Roman"/>
          <w:szCs w:val="24"/>
        </w:rPr>
      </w:pPr>
      <w:r>
        <w:rPr>
          <w:rFonts w:cs="Times New Roman"/>
          <w:noProof/>
          <w:szCs w:val="24"/>
        </w:rPr>
        <w:drawing>
          <wp:inline distT="0" distB="0" distL="0" distR="0" wp14:anchorId="4DDCA2C8" wp14:editId="245DB6D6">
            <wp:extent cx="6116094" cy="1930400"/>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63" cstate="print">
                      <a:extLst>
                        <a:ext uri="{28A0092B-C50C-407E-A947-70E740481C1C}">
                          <a14:useLocalDpi xmlns:a14="http://schemas.microsoft.com/office/drawing/2010/main" val="0"/>
                        </a:ext>
                      </a:extLst>
                    </a:blip>
                    <a:srcRect l="-2171" r="-1"/>
                    <a:stretch/>
                  </pic:blipFill>
                  <pic:spPr bwMode="auto">
                    <a:xfrm>
                      <a:off x="0" y="0"/>
                      <a:ext cx="6141266" cy="1938345"/>
                    </a:xfrm>
                    <a:prstGeom prst="rect">
                      <a:avLst/>
                    </a:prstGeom>
                    <a:noFill/>
                    <a:ln>
                      <a:noFill/>
                    </a:ln>
                    <a:extLst>
                      <a:ext uri="{53640926-AAD7-44D8-BBD7-CCE9431645EC}">
                        <a14:shadowObscured xmlns:a14="http://schemas.microsoft.com/office/drawing/2010/main"/>
                      </a:ext>
                    </a:extLst>
                  </pic:spPr>
                </pic:pic>
              </a:graphicData>
            </a:graphic>
          </wp:inline>
        </w:drawing>
      </w:r>
    </w:p>
    <w:p w14:paraId="25C47AC0" w14:textId="77777777" w:rsidR="00637D82" w:rsidRDefault="00252234" w:rsidP="0091793B">
      <w:pPr>
        <w:spacing w:line="360" w:lineRule="auto"/>
        <w:jc w:val="left"/>
        <w:rPr>
          <w:rFonts w:cs="Times New Roman"/>
          <w:szCs w:val="24"/>
        </w:rPr>
      </w:pPr>
      <w:r>
        <w:rPr>
          <w:rFonts w:cs="Times New Roman"/>
          <w:noProof/>
          <w:szCs w:val="24"/>
        </w:rPr>
        <w:drawing>
          <wp:inline distT="0" distB="0" distL="0" distR="0" wp14:anchorId="3A3C03F6" wp14:editId="2B70D480">
            <wp:extent cx="4129430" cy="1965874"/>
            <wp:effectExtent l="0" t="0" r="0" b="0"/>
            <wp:docPr id="7172" name="Picture 71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l="-1094"/>
                    <a:stretch/>
                  </pic:blipFill>
                  <pic:spPr bwMode="auto">
                    <a:xfrm>
                      <a:off x="0" y="0"/>
                      <a:ext cx="4155255" cy="1978169"/>
                    </a:xfrm>
                    <a:prstGeom prst="rect">
                      <a:avLst/>
                    </a:prstGeom>
                    <a:noFill/>
                    <a:ln>
                      <a:noFill/>
                    </a:ln>
                    <a:extLst>
                      <a:ext uri="{53640926-AAD7-44D8-BBD7-CCE9431645EC}">
                        <a14:shadowObscured xmlns:a14="http://schemas.microsoft.com/office/drawing/2010/main"/>
                      </a:ext>
                    </a:extLst>
                  </pic:spPr>
                </pic:pic>
              </a:graphicData>
            </a:graphic>
          </wp:inline>
        </w:drawing>
      </w:r>
    </w:p>
    <w:p w14:paraId="28DEAC1E" w14:textId="7D0F4C30" w:rsidR="0058760F" w:rsidRPr="00274225" w:rsidRDefault="007F2B8C" w:rsidP="00274225">
      <w:pPr>
        <w:spacing w:line="360" w:lineRule="auto"/>
      </w:pPr>
      <w:bookmarkStart w:id="62" w:name="_Toc416993483"/>
      <w:r w:rsidRPr="00252234">
        <w:t xml:space="preserve">Figure </w:t>
      </w:r>
      <w:fldSimple w:instr=" SEQ Figure \* ARABIC ">
        <w:r w:rsidR="00F3244B">
          <w:rPr>
            <w:noProof/>
          </w:rPr>
          <w:t>44</w:t>
        </w:r>
      </w:fldSimple>
      <w:r w:rsidRPr="00252234">
        <w:t xml:space="preserve">: </w:t>
      </w:r>
      <w:r w:rsidR="00F155F8">
        <w:t>CB</w:t>
      </w:r>
      <w:r w:rsidRPr="00252234">
        <w:t xml:space="preserve"> withdrawal </w:t>
      </w:r>
      <w:r w:rsidR="00252234" w:rsidRPr="00252234">
        <w:t xml:space="preserve">in notches </w:t>
      </w:r>
      <w:r w:rsidRPr="00252234">
        <w:t>for Zircaloy base case core</w:t>
      </w:r>
      <w:bookmarkEnd w:id="62"/>
    </w:p>
    <w:p w14:paraId="017DBABE" w14:textId="77777777" w:rsidR="00A84D5D" w:rsidRPr="00A84D5D" w:rsidRDefault="00A84D5D" w:rsidP="00C274C9">
      <w:pPr>
        <w:pStyle w:val="ListParagraph"/>
        <w:numPr>
          <w:ilvl w:val="0"/>
          <w:numId w:val="29"/>
        </w:numPr>
        <w:spacing w:line="240" w:lineRule="auto"/>
        <w:ind w:left="662"/>
        <w:jc w:val="both"/>
        <w:rPr>
          <w:rFonts w:cs="Times New Roman"/>
          <w:szCs w:val="24"/>
        </w:rPr>
      </w:pPr>
      <w:r>
        <w:rPr>
          <w:rFonts w:cs="Times New Roman"/>
          <w:szCs w:val="24"/>
        </w:rPr>
        <w:t xml:space="preserve">                                                                   </w:t>
      </w:r>
      <w:r w:rsidRPr="00A84D5D">
        <w:rPr>
          <w:rFonts w:cs="Times New Roman"/>
          <w:szCs w:val="24"/>
        </w:rPr>
        <w:t>b)</w:t>
      </w:r>
    </w:p>
    <w:p w14:paraId="4F71C0B5" w14:textId="77777777" w:rsidR="00A84D5D" w:rsidRDefault="00213C52" w:rsidP="0091793B">
      <w:pPr>
        <w:spacing w:line="360" w:lineRule="auto"/>
        <w:rPr>
          <w:rFonts w:cs="Times New Roman"/>
          <w:szCs w:val="24"/>
        </w:rPr>
      </w:pPr>
      <w:r>
        <w:rPr>
          <w:rFonts w:cs="Times New Roman"/>
          <w:noProof/>
          <w:szCs w:val="24"/>
        </w:rPr>
        <w:drawing>
          <wp:inline distT="0" distB="0" distL="0" distR="0" wp14:anchorId="22950E11" wp14:editId="4B49544D">
            <wp:extent cx="5673659" cy="2398470"/>
            <wp:effectExtent l="0" t="0" r="3810" b="1905"/>
            <wp:docPr id="7184" name="Picture 71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0" y="0"/>
                      <a:ext cx="5694710" cy="2407369"/>
                    </a:xfrm>
                    <a:prstGeom prst="rect">
                      <a:avLst/>
                    </a:prstGeom>
                    <a:noFill/>
                  </pic:spPr>
                </pic:pic>
              </a:graphicData>
            </a:graphic>
          </wp:inline>
        </w:drawing>
      </w:r>
    </w:p>
    <w:p w14:paraId="0664DEA7" w14:textId="65CF4033" w:rsidR="0058760F" w:rsidRPr="00C274C9" w:rsidRDefault="007F2B8C" w:rsidP="00C274C9">
      <w:pPr>
        <w:spacing w:line="360" w:lineRule="auto"/>
      </w:pPr>
      <w:bookmarkStart w:id="63" w:name="_Toc416993484"/>
      <w:r w:rsidRPr="00213C52">
        <w:t xml:space="preserve">Figure </w:t>
      </w:r>
      <w:fldSimple w:instr=" SEQ Figure \* ARABIC ">
        <w:r w:rsidR="00F3244B">
          <w:rPr>
            <w:noProof/>
          </w:rPr>
          <w:t>45</w:t>
        </w:r>
      </w:fldSimple>
      <w:r w:rsidRPr="00213C52">
        <w:t>: Relative power fraction of Zircaloy base case model at a) BOC b) EOC</w:t>
      </w:r>
      <w:bookmarkEnd w:id="63"/>
    </w:p>
    <w:p w14:paraId="095EF7BA" w14:textId="77777777" w:rsidR="00A41304" w:rsidRDefault="00A41304" w:rsidP="0091793B">
      <w:pPr>
        <w:spacing w:line="360" w:lineRule="auto"/>
        <w:jc w:val="both"/>
        <w:rPr>
          <w:rFonts w:cs="Times New Roman"/>
          <w:szCs w:val="24"/>
        </w:rPr>
      </w:pPr>
    </w:p>
    <w:p w14:paraId="66BE6E3A" w14:textId="77777777" w:rsidR="000A1F24" w:rsidRDefault="00043FE7" w:rsidP="0091793B">
      <w:pPr>
        <w:spacing w:line="360" w:lineRule="auto"/>
        <w:jc w:val="both"/>
        <w:rPr>
          <w:rFonts w:cs="Times New Roman"/>
          <w:szCs w:val="24"/>
        </w:rPr>
      </w:pPr>
      <w:r>
        <w:rPr>
          <w:rFonts w:cs="Times New Roman"/>
          <w:szCs w:val="24"/>
        </w:rPr>
        <w:t xml:space="preserve">Now that an </w:t>
      </w:r>
      <w:r w:rsidR="000A1F24">
        <w:rPr>
          <w:rFonts w:cs="Times New Roman"/>
          <w:szCs w:val="24"/>
        </w:rPr>
        <w:t xml:space="preserve">optimized base case was established, loading and </w:t>
      </w:r>
      <w:r w:rsidR="006224E8">
        <w:rPr>
          <w:rFonts w:cs="Times New Roman"/>
          <w:szCs w:val="24"/>
        </w:rPr>
        <w:t>CB</w:t>
      </w:r>
      <w:r w:rsidR="000A1F24">
        <w:rPr>
          <w:rFonts w:cs="Times New Roman"/>
          <w:szCs w:val="24"/>
        </w:rPr>
        <w:t xml:space="preserve"> patterns for a FeCrAl-loaded BWR core could be determined for comparison purposes. Narrowing down the FeCrAl study, Case 1 was chosen for CB/LP optimization. The enrichment and cladding thickness for this case were 4.78% </w:t>
      </w:r>
      <w:r w:rsidR="00CB65D8">
        <w:rPr>
          <w:rFonts w:cs="Times New Roman"/>
          <w:szCs w:val="24"/>
          <w:vertAlign w:val="superscript"/>
        </w:rPr>
        <w:t>235</w:t>
      </w:r>
      <w:r w:rsidR="00CB65D8">
        <w:rPr>
          <w:rFonts w:cs="Times New Roman"/>
          <w:szCs w:val="24"/>
        </w:rPr>
        <w:t xml:space="preserve">U </w:t>
      </w:r>
      <w:r w:rsidR="000A1F24">
        <w:rPr>
          <w:rFonts w:cs="Times New Roman"/>
          <w:szCs w:val="24"/>
        </w:rPr>
        <w:t xml:space="preserve">and 300 μm, respectively. This thickness level and enrichment combination was chosen by the ATF group as the most viable design for commercialization. </w:t>
      </w:r>
    </w:p>
    <w:p w14:paraId="7E9A1E5E" w14:textId="1B5252B2" w:rsidR="006319B9" w:rsidRDefault="00A17A75" w:rsidP="0091793B">
      <w:pPr>
        <w:spacing w:line="360" w:lineRule="auto"/>
        <w:jc w:val="both"/>
        <w:rPr>
          <w:rFonts w:cs="Times New Roman"/>
          <w:szCs w:val="24"/>
        </w:rPr>
      </w:pPr>
      <w:r>
        <w:rPr>
          <w:rFonts w:cs="Times New Roman"/>
          <w:szCs w:val="24"/>
        </w:rPr>
        <w:t>The LP shown in F</w:t>
      </w:r>
      <w:r w:rsidR="009A192B">
        <w:rPr>
          <w:rFonts w:cs="Times New Roman"/>
          <w:szCs w:val="24"/>
        </w:rPr>
        <w:t>igure</w:t>
      </w:r>
      <w:r>
        <w:rPr>
          <w:rFonts w:cs="Times New Roman"/>
          <w:szCs w:val="24"/>
        </w:rPr>
        <w:t xml:space="preserve"> 20a</w:t>
      </w:r>
      <w:r w:rsidR="009A192B">
        <w:rPr>
          <w:rFonts w:cs="Times New Roman"/>
          <w:szCs w:val="24"/>
        </w:rPr>
        <w:t xml:space="preserve"> was ideal for Zircaloy base case but not </w:t>
      </w:r>
      <w:r w:rsidR="009F2F24">
        <w:rPr>
          <w:rFonts w:cs="Times New Roman"/>
          <w:szCs w:val="24"/>
        </w:rPr>
        <w:t xml:space="preserve">necessarily best for FeCrAl. </w:t>
      </w:r>
      <w:r>
        <w:rPr>
          <w:rFonts w:cs="Times New Roman"/>
          <w:szCs w:val="24"/>
        </w:rPr>
        <w:t>If the FeCrAl assemblies were</w:t>
      </w:r>
      <w:r w:rsidR="009F2F24">
        <w:rPr>
          <w:rFonts w:cs="Times New Roman"/>
          <w:szCs w:val="24"/>
        </w:rPr>
        <w:t xml:space="preserve"> shuffled </w:t>
      </w:r>
      <w:r w:rsidR="009A192B">
        <w:rPr>
          <w:rFonts w:cs="Times New Roman"/>
          <w:szCs w:val="24"/>
        </w:rPr>
        <w:t xml:space="preserve">radially, </w:t>
      </w:r>
      <w:r w:rsidR="009F2F24">
        <w:rPr>
          <w:rFonts w:cs="Times New Roman"/>
          <w:szCs w:val="24"/>
        </w:rPr>
        <w:t>the cycle length of the full-core FeCrAl model could be increased. Thus</w:t>
      </w:r>
      <w:r w:rsidR="00320494">
        <w:rPr>
          <w:rFonts w:cs="Times New Roman"/>
          <w:szCs w:val="24"/>
        </w:rPr>
        <w:t xml:space="preserve"> </w:t>
      </w:r>
      <w:r w:rsidR="009A192B">
        <w:rPr>
          <w:rFonts w:cs="Times New Roman"/>
          <w:szCs w:val="24"/>
        </w:rPr>
        <w:t xml:space="preserve">a lower </w:t>
      </w:r>
      <w:r w:rsidR="00CB65D8">
        <w:rPr>
          <w:rFonts w:cs="Times New Roman"/>
          <w:szCs w:val="24"/>
          <w:vertAlign w:val="superscript"/>
        </w:rPr>
        <w:t>235</w:t>
      </w:r>
      <w:r w:rsidR="00CB65D8">
        <w:rPr>
          <w:rFonts w:cs="Times New Roman"/>
          <w:szCs w:val="24"/>
        </w:rPr>
        <w:t xml:space="preserve">U </w:t>
      </w:r>
      <w:r w:rsidR="009A192B">
        <w:rPr>
          <w:rFonts w:cs="Times New Roman"/>
          <w:szCs w:val="24"/>
        </w:rPr>
        <w:t xml:space="preserve">enrichment </w:t>
      </w:r>
      <w:r w:rsidR="009F2F24">
        <w:rPr>
          <w:rFonts w:cs="Times New Roman"/>
          <w:szCs w:val="24"/>
        </w:rPr>
        <w:t>would</w:t>
      </w:r>
      <w:r w:rsidR="009A192B">
        <w:rPr>
          <w:rFonts w:cs="Times New Roman"/>
          <w:szCs w:val="24"/>
        </w:rPr>
        <w:t xml:space="preserve"> be req</w:t>
      </w:r>
      <w:r w:rsidR="009F2F24">
        <w:rPr>
          <w:rFonts w:cs="Times New Roman"/>
          <w:szCs w:val="24"/>
        </w:rPr>
        <w:t>uired than w</w:t>
      </w:r>
      <w:r>
        <w:rPr>
          <w:rFonts w:cs="Times New Roman"/>
          <w:szCs w:val="24"/>
        </w:rPr>
        <w:t xml:space="preserve">hat was established </w:t>
      </w:r>
      <w:r>
        <w:rPr>
          <w:rFonts w:cs="Times New Roman"/>
          <w:szCs w:val="24"/>
        </w:rPr>
        <w:lastRenderedPageBreak/>
        <w:t>in Figure 43</w:t>
      </w:r>
      <w:r w:rsidR="00A97041">
        <w:rPr>
          <w:rFonts w:cs="Times New Roman"/>
          <w:szCs w:val="24"/>
        </w:rPr>
        <w:t xml:space="preserve">. The shuffle pattern optimization was performed numerous times with varying </w:t>
      </w:r>
      <w:r w:rsidR="00B92044">
        <w:rPr>
          <w:rFonts w:cs="Times New Roman"/>
          <w:szCs w:val="24"/>
        </w:rPr>
        <w:t>RPF constraint</w:t>
      </w:r>
      <w:r w:rsidR="00A97041">
        <w:rPr>
          <w:rFonts w:cs="Times New Roman"/>
          <w:szCs w:val="24"/>
        </w:rPr>
        <w:t>s</w:t>
      </w:r>
      <w:r w:rsidR="009A192B">
        <w:rPr>
          <w:rFonts w:cs="Times New Roman"/>
          <w:szCs w:val="24"/>
        </w:rPr>
        <w:t xml:space="preserve">. </w:t>
      </w:r>
      <w:r w:rsidR="00A97041">
        <w:rPr>
          <w:rFonts w:cs="Times New Roman"/>
          <w:szCs w:val="24"/>
        </w:rPr>
        <w:t>Figure 4</w:t>
      </w:r>
      <w:r>
        <w:rPr>
          <w:rFonts w:cs="Times New Roman"/>
          <w:szCs w:val="24"/>
        </w:rPr>
        <w:t>6</w:t>
      </w:r>
      <w:r w:rsidR="00A97041">
        <w:rPr>
          <w:rFonts w:cs="Times New Roman"/>
          <w:szCs w:val="24"/>
        </w:rPr>
        <w:t xml:space="preserve"> displays four of the LPs produced with radial RPFs ranging from 1.</w:t>
      </w:r>
      <w:r w:rsidR="00C638BA">
        <w:rPr>
          <w:rFonts w:cs="Times New Roman"/>
          <w:szCs w:val="24"/>
        </w:rPr>
        <w:t>6</w:t>
      </w:r>
      <w:r w:rsidR="00A97041">
        <w:rPr>
          <w:rFonts w:cs="Times New Roman"/>
          <w:szCs w:val="24"/>
        </w:rPr>
        <w:t xml:space="preserve">0 to 1.40. </w:t>
      </w:r>
      <w:r w:rsidR="00837C16">
        <w:rPr>
          <w:rFonts w:cs="Times New Roman"/>
          <w:szCs w:val="24"/>
        </w:rPr>
        <w:t>Cells labeled “-1” r</w:t>
      </w:r>
      <w:r w:rsidR="00A97041">
        <w:rPr>
          <w:rFonts w:cs="Times New Roman"/>
          <w:szCs w:val="24"/>
        </w:rPr>
        <w:t>epresent fresh feed asse</w:t>
      </w:r>
      <w:r>
        <w:rPr>
          <w:rFonts w:cs="Times New Roman"/>
          <w:szCs w:val="24"/>
        </w:rPr>
        <w:t>m</w:t>
      </w:r>
      <w:r w:rsidR="00A97041">
        <w:rPr>
          <w:rFonts w:cs="Times New Roman"/>
          <w:szCs w:val="24"/>
        </w:rPr>
        <w:t>blies, while the remaining assemblies are ranked in order of their exposures from lowest to highest burnup.</w:t>
      </w:r>
    </w:p>
    <w:p w14:paraId="56E4BCB4" w14:textId="77777777" w:rsidR="00274225" w:rsidRDefault="00274225" w:rsidP="00274225">
      <w:pPr>
        <w:spacing w:line="360" w:lineRule="auto"/>
        <w:jc w:val="both"/>
        <w:rPr>
          <w:rFonts w:cs="Times New Roman"/>
          <w:szCs w:val="24"/>
        </w:rPr>
      </w:pPr>
      <w:r>
        <w:rPr>
          <w:rFonts w:cs="Times New Roman"/>
          <w:szCs w:val="24"/>
        </w:rPr>
        <w:t xml:space="preserve">As shown in Figure 46, when a flatter radial power distribution across the core was requested, the EOC Δk-eff (cycle length) was reduced. Fresh assemblies lumped together near the center of the core will increase cycle length, but in turn invoke larger peaking relative to the surrounding burnt assemblies. Although the RPF limits were maintained at EOC when using the Haling Depletion, power peaking was analyzed at each time step with a standard depletion after each LP was established. Considering all the aforementioned factors, it was determined that a LP in between Case 2 and Case 3 would be most suitable for the FeCrAl core. Thus a final optimization case was run with an EOC RPF limit of 1.47 to produce the LP in Figure 47a. </w:t>
      </w:r>
    </w:p>
    <w:p w14:paraId="798BEA71" w14:textId="77777777" w:rsidR="00E95585" w:rsidRDefault="00E95585" w:rsidP="0091793B">
      <w:pPr>
        <w:spacing w:line="360" w:lineRule="auto"/>
        <w:jc w:val="both"/>
        <w:rPr>
          <w:rFonts w:cs="Times New Roman"/>
          <w:szCs w:val="24"/>
        </w:rPr>
      </w:pPr>
    </w:p>
    <w:p w14:paraId="07ADD948" w14:textId="77777777" w:rsidR="00A97041" w:rsidRDefault="003C76A8" w:rsidP="00E95585">
      <w:pPr>
        <w:spacing w:line="360" w:lineRule="auto"/>
        <w:rPr>
          <w:rFonts w:cs="Times New Roman"/>
          <w:szCs w:val="24"/>
        </w:rPr>
      </w:pPr>
      <w:r>
        <w:rPr>
          <w:rFonts w:cs="Times New Roman"/>
          <w:noProof/>
          <w:szCs w:val="24"/>
        </w:rPr>
        <w:drawing>
          <wp:inline distT="0" distB="0" distL="0" distR="0" wp14:anchorId="5733FBAB" wp14:editId="004AA5F8">
            <wp:extent cx="5850350" cy="405765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0" y="0"/>
                      <a:ext cx="5869489" cy="4070924"/>
                    </a:xfrm>
                    <a:prstGeom prst="rect">
                      <a:avLst/>
                    </a:prstGeom>
                    <a:noFill/>
                  </pic:spPr>
                </pic:pic>
              </a:graphicData>
            </a:graphic>
          </wp:inline>
        </w:drawing>
      </w:r>
    </w:p>
    <w:p w14:paraId="337545BF" w14:textId="77777777" w:rsidR="00834480" w:rsidRDefault="00AA6BEF" w:rsidP="0091793B">
      <w:pPr>
        <w:spacing w:line="360" w:lineRule="auto"/>
      </w:pPr>
      <w:bookmarkStart w:id="64" w:name="_Toc416993485"/>
      <w:r>
        <w:t xml:space="preserve">Figure </w:t>
      </w:r>
      <w:fldSimple w:instr=" SEQ Figure \* ARABIC ">
        <w:r w:rsidR="00F3244B">
          <w:rPr>
            <w:noProof/>
          </w:rPr>
          <w:t>46</w:t>
        </w:r>
      </w:fldSimple>
      <w:r>
        <w:t xml:space="preserve">: </w:t>
      </w:r>
      <w:r w:rsidRPr="00445282">
        <w:t xml:space="preserve">Loading pattern optimizations </w:t>
      </w:r>
      <w:r w:rsidR="00A84D5D">
        <w:t xml:space="preserve">for FeCrAl core </w:t>
      </w:r>
      <w:r w:rsidRPr="00445282">
        <w:t>with varying RPF limits</w:t>
      </w:r>
      <w:bookmarkEnd w:id="64"/>
    </w:p>
    <w:p w14:paraId="5E230586" w14:textId="77777777" w:rsidR="00274225" w:rsidRDefault="00274225" w:rsidP="0091793B">
      <w:pPr>
        <w:spacing w:line="360" w:lineRule="auto"/>
      </w:pPr>
    </w:p>
    <w:p w14:paraId="41ACC4CA" w14:textId="0097CAC3" w:rsidR="00274225" w:rsidRDefault="00274225" w:rsidP="0091793B">
      <w:pPr>
        <w:spacing w:line="360" w:lineRule="auto"/>
        <w:jc w:val="both"/>
        <w:rPr>
          <w:rFonts w:cs="Times New Roman"/>
          <w:szCs w:val="24"/>
        </w:rPr>
      </w:pPr>
      <w:r>
        <w:rPr>
          <w:rFonts w:cs="Times New Roman"/>
          <w:szCs w:val="24"/>
        </w:rPr>
        <w:t xml:space="preserve">Figure 47 also displays the CB locations that were optimized next. When considering core shutdown margins, clusters of 3 or more fresh feed assemblies around one CB, as shown in Figure 47a, would not be optimal from a commercial standpoint. Therefore, using the python GUI developed for fine-tuning of LPs, the clusters of fresh feed assemblies were dispersed. By spreading apart one cluster at a time, the LPs were re-run in NESTLE to make sure a similar Δk-eff to that of Figure 47a was recorded at EOC. After numerous iterations, the LP shown in Figure 47b was established and used for the remainder of optimization analysis performed on the full-core FeCrAl design. </w:t>
      </w:r>
    </w:p>
    <w:p w14:paraId="5A4A4F97" w14:textId="77777777" w:rsidR="00274225" w:rsidRDefault="00274225" w:rsidP="0091793B">
      <w:pPr>
        <w:spacing w:line="360" w:lineRule="auto"/>
        <w:jc w:val="both"/>
        <w:rPr>
          <w:rFonts w:cs="Times New Roman"/>
          <w:szCs w:val="24"/>
        </w:rPr>
      </w:pPr>
    </w:p>
    <w:p w14:paraId="388B3F7D" w14:textId="77777777" w:rsidR="00A84D5D" w:rsidRPr="00A84D5D" w:rsidRDefault="00A84D5D" w:rsidP="0091793B">
      <w:pPr>
        <w:spacing w:line="360" w:lineRule="auto"/>
        <w:contextualSpacing/>
        <w:jc w:val="both"/>
        <w:rPr>
          <w:rFonts w:cs="Times New Roman"/>
          <w:szCs w:val="24"/>
        </w:rPr>
      </w:pPr>
      <w:r>
        <w:rPr>
          <w:rFonts w:cs="Times New Roman"/>
          <w:szCs w:val="24"/>
        </w:rPr>
        <w:t xml:space="preserve">   a)</w:t>
      </w:r>
      <w:r w:rsidRPr="00A84D5D">
        <w:rPr>
          <w:rFonts w:cs="Times New Roman"/>
          <w:szCs w:val="24"/>
        </w:rPr>
        <w:t xml:space="preserve">               </w:t>
      </w:r>
      <w:r>
        <w:rPr>
          <w:rFonts w:cs="Times New Roman"/>
          <w:szCs w:val="24"/>
        </w:rPr>
        <w:t xml:space="preserve">    </w:t>
      </w:r>
      <w:r w:rsidRPr="00A84D5D">
        <w:rPr>
          <w:rFonts w:cs="Times New Roman"/>
          <w:szCs w:val="24"/>
        </w:rPr>
        <w:t xml:space="preserve">                                                   </w:t>
      </w:r>
      <w:r>
        <w:rPr>
          <w:rFonts w:cs="Times New Roman"/>
          <w:szCs w:val="24"/>
        </w:rPr>
        <w:t xml:space="preserve">   </w:t>
      </w:r>
      <w:proofErr w:type="gramStart"/>
      <w:r w:rsidRPr="00A84D5D">
        <w:rPr>
          <w:rFonts w:cs="Times New Roman"/>
          <w:szCs w:val="24"/>
        </w:rPr>
        <w:t>b</w:t>
      </w:r>
      <w:proofErr w:type="gramEnd"/>
      <w:r w:rsidRPr="00A84D5D">
        <w:rPr>
          <w:rFonts w:cs="Times New Roman"/>
          <w:szCs w:val="24"/>
        </w:rPr>
        <w:t>)</w:t>
      </w:r>
    </w:p>
    <w:p w14:paraId="510F7926" w14:textId="77777777" w:rsidR="00A97041" w:rsidRDefault="00725339" w:rsidP="0091793B">
      <w:pPr>
        <w:spacing w:line="360" w:lineRule="auto"/>
        <w:jc w:val="both"/>
        <w:rPr>
          <w:rFonts w:cs="Times New Roman"/>
          <w:szCs w:val="24"/>
        </w:rPr>
      </w:pPr>
      <w:r>
        <w:rPr>
          <w:rFonts w:cs="Times New Roman"/>
          <w:noProof/>
          <w:szCs w:val="24"/>
        </w:rPr>
        <w:drawing>
          <wp:inline distT="0" distB="0" distL="0" distR="0" wp14:anchorId="4ACDBC36" wp14:editId="51BA4865">
            <wp:extent cx="5932967" cy="1955415"/>
            <wp:effectExtent l="0" t="0" r="0" b="6985"/>
            <wp:docPr id="2072" name="Picture 20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5935137" cy="1956130"/>
                    </a:xfrm>
                    <a:prstGeom prst="rect">
                      <a:avLst/>
                    </a:prstGeom>
                    <a:noFill/>
                  </pic:spPr>
                </pic:pic>
              </a:graphicData>
            </a:graphic>
          </wp:inline>
        </w:drawing>
      </w:r>
    </w:p>
    <w:p w14:paraId="59A77F5E" w14:textId="77777777" w:rsidR="008B29AA" w:rsidRDefault="008B29AA" w:rsidP="0091793B">
      <w:pPr>
        <w:spacing w:line="360" w:lineRule="auto"/>
      </w:pPr>
      <w:bookmarkStart w:id="65" w:name="_Toc416993486"/>
      <w:r>
        <w:t xml:space="preserve">Figure </w:t>
      </w:r>
      <w:fldSimple w:instr=" SEQ Figure \* ARABIC ">
        <w:r w:rsidR="00F3244B">
          <w:rPr>
            <w:noProof/>
          </w:rPr>
          <w:t>47</w:t>
        </w:r>
      </w:fldSimple>
      <w:r>
        <w:t>: FeCrAl loading pattern with a) optimization code b) python GUI</w:t>
      </w:r>
      <w:bookmarkEnd w:id="65"/>
    </w:p>
    <w:p w14:paraId="09CE2DD1" w14:textId="77777777" w:rsidR="0058760F" w:rsidRDefault="0058760F" w:rsidP="0091793B">
      <w:pPr>
        <w:spacing w:line="360" w:lineRule="auto"/>
        <w:rPr>
          <w:rFonts w:cs="Times New Roman"/>
          <w:szCs w:val="24"/>
        </w:rPr>
      </w:pPr>
    </w:p>
    <w:p w14:paraId="7EE1535F" w14:textId="77777777" w:rsidR="007B074B" w:rsidRDefault="00AB176C" w:rsidP="0091793B">
      <w:pPr>
        <w:spacing w:line="360" w:lineRule="auto"/>
        <w:jc w:val="both"/>
        <w:rPr>
          <w:rFonts w:cs="Times New Roman"/>
          <w:szCs w:val="24"/>
        </w:rPr>
      </w:pPr>
      <w:r>
        <w:rPr>
          <w:rFonts w:cs="Times New Roman"/>
          <w:szCs w:val="24"/>
        </w:rPr>
        <w:t xml:space="preserve">Since excess reactivity was present at EOC after the LP optimization was complete, the overall enrichment in the FeCrAl bundles could be lowered even further. Therefore, after the LP in Figure 47b was established, the full-core parametric study could be re-done. First new cross-section data was obtained from CASMO, then NESLTE was re-run until the lowest enrichment </w:t>
      </w:r>
      <w:r>
        <w:rPr>
          <w:rFonts w:cs="Times New Roman"/>
          <w:szCs w:val="24"/>
        </w:rPr>
        <w:lastRenderedPageBreak/>
        <w:t xml:space="preserve">was determined that could meet an EOC k-effective of 1.000. </w:t>
      </w:r>
      <w:r w:rsidR="00A95272">
        <w:rPr>
          <w:rFonts w:cs="Times New Roman"/>
          <w:szCs w:val="24"/>
        </w:rPr>
        <w:t>Thus, the average enrichment throughout the FeCrAl fuel bundle was reduced from 4.7</w:t>
      </w:r>
      <w:r w:rsidR="00384A4A">
        <w:rPr>
          <w:rFonts w:cs="Times New Roman"/>
          <w:szCs w:val="24"/>
        </w:rPr>
        <w:t>8</w:t>
      </w:r>
      <w:r w:rsidR="00A95272">
        <w:rPr>
          <w:rFonts w:cs="Times New Roman"/>
          <w:szCs w:val="24"/>
        </w:rPr>
        <w:t xml:space="preserve"> to 4.66% </w:t>
      </w:r>
      <w:r w:rsidR="00A95272">
        <w:rPr>
          <w:rFonts w:cs="Times New Roman"/>
          <w:szCs w:val="24"/>
          <w:vertAlign w:val="superscript"/>
        </w:rPr>
        <w:t>235</w:t>
      </w:r>
      <w:r w:rsidR="00A95272">
        <w:rPr>
          <w:rFonts w:cs="Times New Roman"/>
          <w:szCs w:val="24"/>
        </w:rPr>
        <w:t xml:space="preserve">U. With this enrichment and LP configuration, LWROpt was used once more to optimize the CB configuration of the FeCrAl model. The withdrawal of CB steps is indicated in Figure 48 for the entire depletion sequence. </w:t>
      </w:r>
    </w:p>
    <w:p w14:paraId="3ACB3A50" w14:textId="77777777" w:rsidR="00A41304" w:rsidRDefault="00A41304" w:rsidP="00A41304">
      <w:pPr>
        <w:spacing w:line="360" w:lineRule="auto"/>
        <w:jc w:val="both"/>
      </w:pPr>
      <w:r>
        <w:t xml:space="preserve">Similar to the Zircaloy pattern shown in Figure 44, the CBs are fully withdrawn at the EOC. However when comparing the evolution of the burnup in Figure 44 and Figure 48, a major difference in the initial placement of assemblies is evident. The base case Zircaloy LP configuration contains once burnt assemblies in light blue placed similar to that of a ring of fire. With this type of layout, radial RPFs for the Zircaloy were maintained just below 1.60. The configuration of once-burnt assemblies in the FeCrAl LP however is more centrally located. This allowed for a maximization of excess reactivity and </w:t>
      </w:r>
      <w:r w:rsidRPr="000C4188">
        <w:t xml:space="preserve">increased cycle length. Despite the vastly different LP configuration, the design was still able to meet the same RPF limits as the base case due a flatter burnup distribution in due to its greater heavy metal loading. </w:t>
      </w:r>
    </w:p>
    <w:p w14:paraId="22651603" w14:textId="734B70C1" w:rsidR="00A41304" w:rsidRDefault="00A41304" w:rsidP="00A41304">
      <w:pPr>
        <w:spacing w:line="360" w:lineRule="auto"/>
        <w:jc w:val="both"/>
        <w:rPr>
          <w:rFonts w:cs="Times New Roman"/>
          <w:szCs w:val="24"/>
        </w:rPr>
      </w:pPr>
      <w:r>
        <w:rPr>
          <w:rFonts w:cs="Times New Roman"/>
          <w:szCs w:val="24"/>
        </w:rPr>
        <w:t xml:space="preserve">Once the loading and CB patterns for the full-core FeCrAl model were optimized, the coolant properties through core were compared to the base case Zircaloy model. As described in the methodology section, thermal hydraulic specifications of both designs were made consistent in regards the fluid properties, hydraulic diameter, inlet temperature and mass flow rate. Therefore, the Zircaloy and FeCrAl models were expected to produce similar void profiles. Figure 49 plots the average void fraction of all the fuel bundles in the core at middle of cycle (MOC).   </w:t>
      </w:r>
    </w:p>
    <w:p w14:paraId="1B0A4024" w14:textId="77777777" w:rsidR="00A41304" w:rsidRDefault="00A41304" w:rsidP="00A41304">
      <w:pPr>
        <w:spacing w:line="360" w:lineRule="auto"/>
        <w:jc w:val="both"/>
        <w:rPr>
          <w:rFonts w:cs="Times New Roman"/>
          <w:szCs w:val="24"/>
        </w:rPr>
      </w:pPr>
      <w:r>
        <w:rPr>
          <w:rFonts w:cs="Times New Roman"/>
          <w:szCs w:val="24"/>
        </w:rPr>
        <w:t xml:space="preserve">Void was plotted in Figure 49 with respect to the axial fuel nodes in the core. Node 4 represents the first fuel node moving up the core as the lower NAT zone. Consistent with standard BWR operation, the void fraction of the coolant starts near 0% (liquid phase) and peaks near the top of the core with nearing a 60% void. The plot shows that the fuel designs react similarly and no major anomalies were recorded. NESTLE does not incorporate mechanical properties of the cladding. Thus, future work must be done analyzing the different temperature distributions produced by each cladding material and how their varying thermal conductivities will affect the void distribution. </w:t>
      </w:r>
    </w:p>
    <w:p w14:paraId="0E610360" w14:textId="77777777" w:rsidR="00A41304" w:rsidRDefault="00A41304" w:rsidP="0091793B">
      <w:pPr>
        <w:spacing w:line="360" w:lineRule="auto"/>
        <w:jc w:val="both"/>
        <w:rPr>
          <w:rFonts w:cs="Times New Roman"/>
          <w:szCs w:val="24"/>
        </w:rPr>
      </w:pPr>
    </w:p>
    <w:p w14:paraId="25486B22" w14:textId="77777777" w:rsidR="00A95272" w:rsidRDefault="00A95272" w:rsidP="0091793B">
      <w:pPr>
        <w:spacing w:line="360" w:lineRule="auto"/>
        <w:jc w:val="both"/>
        <w:rPr>
          <w:rFonts w:cs="Times New Roman"/>
          <w:szCs w:val="24"/>
        </w:rPr>
      </w:pPr>
      <w:r>
        <w:rPr>
          <w:rFonts w:cs="Times New Roman"/>
          <w:noProof/>
          <w:szCs w:val="24"/>
        </w:rPr>
        <w:drawing>
          <wp:inline distT="0" distB="0" distL="0" distR="0" wp14:anchorId="72783EAD" wp14:editId="0A0979F2">
            <wp:extent cx="6144863" cy="1952625"/>
            <wp:effectExtent l="0" t="0" r="0" b="0"/>
            <wp:docPr id="2076" name="Picture 20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0" y="0"/>
                      <a:ext cx="6168818" cy="1960237"/>
                    </a:xfrm>
                    <a:prstGeom prst="rect">
                      <a:avLst/>
                    </a:prstGeom>
                    <a:noFill/>
                  </pic:spPr>
                </pic:pic>
              </a:graphicData>
            </a:graphic>
          </wp:inline>
        </w:drawing>
      </w:r>
    </w:p>
    <w:p w14:paraId="6642C87F" w14:textId="77777777" w:rsidR="00A95272" w:rsidRDefault="00A95272" w:rsidP="0091793B">
      <w:pPr>
        <w:spacing w:line="360" w:lineRule="auto"/>
        <w:jc w:val="both"/>
        <w:rPr>
          <w:rFonts w:cs="Times New Roman"/>
          <w:szCs w:val="24"/>
        </w:rPr>
      </w:pPr>
      <w:r>
        <w:rPr>
          <w:rFonts w:cs="Times New Roman"/>
          <w:noProof/>
          <w:szCs w:val="24"/>
        </w:rPr>
        <w:drawing>
          <wp:inline distT="0" distB="0" distL="0" distR="0" wp14:anchorId="2897FF93" wp14:editId="6A3468E4">
            <wp:extent cx="6134100" cy="1929866"/>
            <wp:effectExtent l="0" t="0" r="0" b="0"/>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69" cstate="print">
                      <a:extLst>
                        <a:ext uri="{28A0092B-C50C-407E-A947-70E740481C1C}">
                          <a14:useLocalDpi xmlns:a14="http://schemas.microsoft.com/office/drawing/2010/main" val="0"/>
                        </a:ext>
                      </a:extLst>
                    </a:blip>
                    <a:srcRect l="-2200" r="-1"/>
                    <a:stretch/>
                  </pic:blipFill>
                  <pic:spPr bwMode="auto">
                    <a:xfrm>
                      <a:off x="0" y="0"/>
                      <a:ext cx="6149436" cy="1934691"/>
                    </a:xfrm>
                    <a:prstGeom prst="rect">
                      <a:avLst/>
                    </a:prstGeom>
                    <a:noFill/>
                    <a:ln>
                      <a:noFill/>
                    </a:ln>
                    <a:extLst>
                      <a:ext uri="{53640926-AAD7-44D8-BBD7-CCE9431645EC}">
                        <a14:shadowObscured xmlns:a14="http://schemas.microsoft.com/office/drawing/2010/main"/>
                      </a:ext>
                    </a:extLst>
                  </pic:spPr>
                </pic:pic>
              </a:graphicData>
            </a:graphic>
          </wp:inline>
        </w:drawing>
      </w:r>
    </w:p>
    <w:p w14:paraId="2B12A57A" w14:textId="77777777" w:rsidR="00A95272" w:rsidRDefault="00A95272" w:rsidP="0091793B">
      <w:pPr>
        <w:spacing w:line="360" w:lineRule="auto"/>
        <w:jc w:val="both"/>
        <w:rPr>
          <w:rFonts w:cs="Times New Roman"/>
          <w:szCs w:val="24"/>
        </w:rPr>
      </w:pPr>
      <w:r>
        <w:rPr>
          <w:rFonts w:cs="Times New Roman"/>
          <w:noProof/>
          <w:szCs w:val="24"/>
        </w:rPr>
        <w:drawing>
          <wp:inline distT="0" distB="0" distL="0" distR="0" wp14:anchorId="77A8DF65" wp14:editId="248F2D77">
            <wp:extent cx="2136826" cy="1936750"/>
            <wp:effectExtent l="0" t="0" r="0" b="6350"/>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0" cstate="print">
                      <a:extLst>
                        <a:ext uri="{28A0092B-C50C-407E-A947-70E740481C1C}">
                          <a14:useLocalDpi xmlns:a14="http://schemas.microsoft.com/office/drawing/2010/main" val="0"/>
                        </a:ext>
                      </a:extLst>
                    </a:blip>
                    <a:srcRect l="-593"/>
                    <a:stretch/>
                  </pic:blipFill>
                  <pic:spPr bwMode="auto">
                    <a:xfrm>
                      <a:off x="0" y="0"/>
                      <a:ext cx="2143832" cy="1943100"/>
                    </a:xfrm>
                    <a:prstGeom prst="rect">
                      <a:avLst/>
                    </a:prstGeom>
                    <a:noFill/>
                    <a:ln>
                      <a:noFill/>
                    </a:ln>
                    <a:extLst>
                      <a:ext uri="{53640926-AAD7-44D8-BBD7-CCE9431645EC}">
                        <a14:shadowObscured xmlns:a14="http://schemas.microsoft.com/office/drawing/2010/main"/>
                      </a:ext>
                    </a:extLst>
                  </pic:spPr>
                </pic:pic>
              </a:graphicData>
            </a:graphic>
          </wp:inline>
        </w:drawing>
      </w:r>
    </w:p>
    <w:p w14:paraId="6CCF4A38" w14:textId="500F99DC" w:rsidR="006838F3" w:rsidRPr="00A41304" w:rsidRDefault="00A95272" w:rsidP="00A41304">
      <w:pPr>
        <w:spacing w:line="360" w:lineRule="auto"/>
      </w:pPr>
      <w:bookmarkStart w:id="66" w:name="_Toc416993487"/>
      <w:r>
        <w:t xml:space="preserve">Figure </w:t>
      </w:r>
      <w:fldSimple w:instr=" SEQ Figure \* ARABIC ">
        <w:r w:rsidR="00F3244B">
          <w:rPr>
            <w:noProof/>
          </w:rPr>
          <w:t>48</w:t>
        </w:r>
      </w:fldSimple>
      <w:r>
        <w:t>: Control blade withdrawal in notches for FeCrAl core</w:t>
      </w:r>
      <w:bookmarkEnd w:id="66"/>
    </w:p>
    <w:p w14:paraId="675F341D" w14:textId="77777777" w:rsidR="00CD297D" w:rsidRDefault="0064019A" w:rsidP="0091793B">
      <w:pPr>
        <w:spacing w:line="360" w:lineRule="auto"/>
        <w:rPr>
          <w:rFonts w:cs="Times New Roman"/>
          <w:szCs w:val="24"/>
        </w:rPr>
      </w:pPr>
      <w:r>
        <w:rPr>
          <w:noProof/>
        </w:rPr>
        <w:lastRenderedPageBreak/>
        <w:drawing>
          <wp:inline distT="0" distB="0" distL="0" distR="0" wp14:anchorId="23CFE6CE" wp14:editId="79D625A1">
            <wp:extent cx="4824132" cy="2934823"/>
            <wp:effectExtent l="0" t="0" r="14605" b="18415"/>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4A5F1A6C" w14:textId="77777777" w:rsidR="0064019A" w:rsidRDefault="0064019A" w:rsidP="0091793B">
      <w:pPr>
        <w:spacing w:line="360" w:lineRule="auto"/>
      </w:pPr>
      <w:bookmarkStart w:id="67" w:name="_Toc416993488"/>
      <w:r>
        <w:t xml:space="preserve">Figure </w:t>
      </w:r>
      <w:fldSimple w:instr=" SEQ Figure \* ARABIC ">
        <w:r w:rsidR="00F3244B">
          <w:rPr>
            <w:noProof/>
          </w:rPr>
          <w:t>49</w:t>
        </w:r>
      </w:fldSimple>
      <w:r>
        <w:t>: Bundle-averaged axial void distribution at MOC</w:t>
      </w:r>
      <w:bookmarkEnd w:id="67"/>
    </w:p>
    <w:p w14:paraId="337499F5" w14:textId="77777777" w:rsidR="00C274C9" w:rsidRDefault="00C274C9" w:rsidP="0091793B">
      <w:pPr>
        <w:spacing w:line="360" w:lineRule="auto"/>
        <w:jc w:val="both"/>
        <w:rPr>
          <w:rFonts w:cs="Times New Roman"/>
          <w:szCs w:val="24"/>
        </w:rPr>
      </w:pPr>
    </w:p>
    <w:p w14:paraId="36BC966D" w14:textId="2B91E545" w:rsidR="00D606FA" w:rsidRDefault="00D606FA" w:rsidP="0091793B">
      <w:pPr>
        <w:spacing w:line="360" w:lineRule="auto"/>
        <w:jc w:val="both"/>
        <w:rPr>
          <w:b/>
          <w:sz w:val="28"/>
        </w:rPr>
      </w:pPr>
      <w:r w:rsidRPr="00D606FA">
        <w:rPr>
          <w:b/>
          <w:sz w:val="28"/>
        </w:rPr>
        <w:t xml:space="preserve">VI.E. </w:t>
      </w:r>
      <w:r w:rsidR="001D553C">
        <w:rPr>
          <w:b/>
          <w:sz w:val="28"/>
        </w:rPr>
        <w:tab/>
      </w:r>
      <w:r w:rsidR="001D553C">
        <w:rPr>
          <w:b/>
          <w:sz w:val="28"/>
        </w:rPr>
        <w:tab/>
      </w:r>
      <w:r w:rsidRPr="00D606FA">
        <w:rPr>
          <w:b/>
          <w:sz w:val="28"/>
        </w:rPr>
        <w:t>Hybrid SiC/FeCrAl Core</w:t>
      </w:r>
    </w:p>
    <w:p w14:paraId="7BE3A0FF" w14:textId="001E9C30" w:rsidR="00F4256C" w:rsidRDefault="0000081E" w:rsidP="0091793B">
      <w:pPr>
        <w:spacing w:line="360" w:lineRule="auto"/>
        <w:jc w:val="both"/>
        <w:rPr>
          <w:rFonts w:cs="Times New Roman"/>
          <w:szCs w:val="24"/>
        </w:rPr>
      </w:pPr>
      <w:r>
        <w:rPr>
          <w:rFonts w:cs="Times New Roman"/>
          <w:szCs w:val="24"/>
        </w:rPr>
        <w:t>A side study was performed</w:t>
      </w:r>
      <w:r w:rsidR="00795A1A">
        <w:rPr>
          <w:rFonts w:cs="Times New Roman"/>
          <w:szCs w:val="24"/>
        </w:rPr>
        <w:t xml:space="preserve"> to</w:t>
      </w:r>
      <w:r>
        <w:rPr>
          <w:rFonts w:cs="Times New Roman"/>
          <w:szCs w:val="24"/>
        </w:rPr>
        <w:t xml:space="preserve"> investigat</w:t>
      </w:r>
      <w:r w:rsidR="00795A1A">
        <w:rPr>
          <w:rFonts w:cs="Times New Roman"/>
          <w:szCs w:val="24"/>
        </w:rPr>
        <w:t>e</w:t>
      </w:r>
      <w:r>
        <w:rPr>
          <w:rFonts w:cs="Times New Roman"/>
          <w:szCs w:val="24"/>
        </w:rPr>
        <w:t xml:space="preserve"> a hybrid ATF fuel bundle with FeCrAl cladding and a SiC </w:t>
      </w:r>
      <w:r w:rsidR="00F155F8" w:rsidRPr="00F155F8">
        <w:rPr>
          <w:rFonts w:cs="Times New Roman"/>
          <w:szCs w:val="24"/>
        </w:rPr>
        <w:t>channel box</w:t>
      </w:r>
      <w:r>
        <w:rPr>
          <w:rFonts w:cs="Times New Roman"/>
          <w:szCs w:val="24"/>
        </w:rPr>
        <w:t>. To improve the waterside corrosion properties of</w:t>
      </w:r>
      <w:r w:rsidR="00F4256C">
        <w:rPr>
          <w:rFonts w:cs="Times New Roman"/>
          <w:szCs w:val="24"/>
        </w:rPr>
        <w:t xml:space="preserve"> the </w:t>
      </w:r>
      <w:r w:rsidR="00F155F8" w:rsidRPr="00F155F8">
        <w:rPr>
          <w:rFonts w:cs="Times New Roman"/>
          <w:szCs w:val="24"/>
        </w:rPr>
        <w:t>channel box</w:t>
      </w:r>
      <w:r w:rsidR="00F4256C">
        <w:rPr>
          <w:rFonts w:cs="Times New Roman"/>
          <w:szCs w:val="24"/>
        </w:rPr>
        <w:t>, Ni and Cr were modeled as protective coated layers ar</w:t>
      </w:r>
      <w:r w:rsidR="00521D6C">
        <w:rPr>
          <w:rFonts w:cs="Times New Roman"/>
          <w:szCs w:val="24"/>
        </w:rPr>
        <w:t xml:space="preserve">ound the SiC, </w:t>
      </w:r>
      <w:r w:rsidR="00795A1A">
        <w:rPr>
          <w:rFonts w:cs="Times New Roman"/>
          <w:szCs w:val="24"/>
        </w:rPr>
        <w:t xml:space="preserve">as </w:t>
      </w:r>
      <w:r w:rsidR="00521D6C">
        <w:rPr>
          <w:rFonts w:cs="Times New Roman"/>
          <w:szCs w:val="24"/>
        </w:rPr>
        <w:t>shown in Figure 15</w:t>
      </w:r>
      <w:r w:rsidR="00F4256C">
        <w:rPr>
          <w:rFonts w:cs="Times New Roman"/>
          <w:szCs w:val="24"/>
        </w:rPr>
        <w:t>. Due to parasitic neutron absorptions from FeCrAl, the thickness of the cladding was modeled at 300 μm to allow additional heavy metal loading.</w:t>
      </w:r>
    </w:p>
    <w:p w14:paraId="66A448D3" w14:textId="77777777" w:rsidR="0000081E" w:rsidRDefault="00F4256C" w:rsidP="0091793B">
      <w:pPr>
        <w:spacing w:line="360" w:lineRule="auto"/>
        <w:jc w:val="both"/>
        <w:rPr>
          <w:rFonts w:cs="Times New Roman"/>
          <w:szCs w:val="24"/>
        </w:rPr>
      </w:pPr>
      <w:r>
        <w:rPr>
          <w:rFonts w:cs="Times New Roman"/>
          <w:szCs w:val="24"/>
        </w:rPr>
        <w:t xml:space="preserve">Initially, the reactivity </w:t>
      </w:r>
      <w:r w:rsidR="009104D2">
        <w:rPr>
          <w:rFonts w:cs="Times New Roman"/>
          <w:szCs w:val="24"/>
        </w:rPr>
        <w:t>penalty</w:t>
      </w:r>
      <w:r>
        <w:rPr>
          <w:rFonts w:cs="Times New Roman"/>
          <w:szCs w:val="24"/>
        </w:rPr>
        <w:t xml:space="preserve"> from the Ni and Cr layers was quantified prior to settin</w:t>
      </w:r>
      <w:r w:rsidR="009104D2">
        <w:rPr>
          <w:rFonts w:cs="Times New Roman"/>
          <w:szCs w:val="24"/>
        </w:rPr>
        <w:t>g up a parametric study. By quantifying each element</w:t>
      </w:r>
      <w:r w:rsidR="00EB0E20">
        <w:rPr>
          <w:rFonts w:cs="Times New Roman"/>
          <w:szCs w:val="24"/>
        </w:rPr>
        <w:t>’</w:t>
      </w:r>
      <w:r w:rsidR="009104D2">
        <w:rPr>
          <w:rFonts w:cs="Times New Roman"/>
          <w:szCs w:val="24"/>
        </w:rPr>
        <w:t xml:space="preserve">s effect on the eigenvalue calculation, determining the appropriate enrichment requirements would be easier to pinpoint. Figure </w:t>
      </w:r>
      <w:r w:rsidR="00521D6C">
        <w:rPr>
          <w:rFonts w:cs="Times New Roman"/>
          <w:szCs w:val="24"/>
        </w:rPr>
        <w:t>50</w:t>
      </w:r>
      <w:r w:rsidR="009104D2">
        <w:rPr>
          <w:rFonts w:cs="Times New Roman"/>
          <w:szCs w:val="24"/>
        </w:rPr>
        <w:t xml:space="preserve"> </w:t>
      </w:r>
      <w:r w:rsidR="001C5DE7">
        <w:rPr>
          <w:rFonts w:cs="Times New Roman"/>
          <w:szCs w:val="24"/>
        </w:rPr>
        <w:t>displays lattice physics results from</w:t>
      </w:r>
      <w:r w:rsidR="009104D2">
        <w:rPr>
          <w:rFonts w:cs="Times New Roman"/>
          <w:szCs w:val="24"/>
        </w:rPr>
        <w:t xml:space="preserve"> a </w:t>
      </w:r>
      <w:r w:rsidR="00DC0A3C">
        <w:rPr>
          <w:rFonts w:cs="Times New Roman"/>
          <w:szCs w:val="24"/>
        </w:rPr>
        <w:t>10 × 10</w:t>
      </w:r>
      <w:r w:rsidR="009104D2">
        <w:rPr>
          <w:rFonts w:cs="Times New Roman"/>
          <w:szCs w:val="24"/>
        </w:rPr>
        <w:t xml:space="preserve"> BWR fuel bundle modeled at 40% void with and without the Ni/Cr protective layers surrounding the </w:t>
      </w:r>
      <w:r w:rsidR="00F155F8" w:rsidRPr="00F155F8">
        <w:rPr>
          <w:rFonts w:cs="Times New Roman"/>
          <w:szCs w:val="24"/>
        </w:rPr>
        <w:t>channel box</w:t>
      </w:r>
      <w:r w:rsidR="009104D2">
        <w:rPr>
          <w:rFonts w:cs="Times New Roman"/>
          <w:szCs w:val="24"/>
        </w:rPr>
        <w:t xml:space="preserve">. CASMO4 was used to produce the following </w:t>
      </w:r>
      <w:r w:rsidR="001C5508">
        <w:rPr>
          <w:rFonts w:cs="Times New Roman"/>
          <w:szCs w:val="24"/>
        </w:rPr>
        <w:t>Δ</w:t>
      </w:r>
      <w:r w:rsidR="009104D2">
        <w:rPr>
          <w:rFonts w:cs="Times New Roman"/>
          <w:szCs w:val="24"/>
        </w:rPr>
        <w:t>k-infinity</w:t>
      </w:r>
      <w:r w:rsidR="001C5508">
        <w:rPr>
          <w:rFonts w:cs="Times New Roman"/>
          <w:szCs w:val="24"/>
        </w:rPr>
        <w:t xml:space="preserve"> penalty/advantage </w:t>
      </w:r>
      <w:r w:rsidR="009104D2">
        <w:rPr>
          <w:rFonts w:cs="Times New Roman"/>
          <w:szCs w:val="24"/>
        </w:rPr>
        <w:t xml:space="preserve">respect to </w:t>
      </w:r>
      <w:r w:rsidR="001C5508">
        <w:rPr>
          <w:rFonts w:cs="Times New Roman"/>
          <w:szCs w:val="24"/>
        </w:rPr>
        <w:t>EFPD</w:t>
      </w:r>
      <w:r w:rsidR="009104D2">
        <w:rPr>
          <w:rFonts w:cs="Times New Roman"/>
          <w:szCs w:val="24"/>
        </w:rPr>
        <w:t xml:space="preserve">. </w:t>
      </w:r>
      <w:r w:rsidR="008144A6">
        <w:rPr>
          <w:rFonts w:cs="Times New Roman"/>
          <w:szCs w:val="24"/>
        </w:rPr>
        <w:t xml:space="preserve">Although both models were depleted for 65 GWd/MTU, the hybrid bundles, containing a higher heavy metal loading, </w:t>
      </w:r>
      <w:r w:rsidR="00EB0E20">
        <w:rPr>
          <w:rFonts w:cs="Times New Roman"/>
          <w:szCs w:val="24"/>
        </w:rPr>
        <w:t>was depleted for a</w:t>
      </w:r>
      <w:r w:rsidR="008144A6">
        <w:rPr>
          <w:rFonts w:cs="Times New Roman"/>
          <w:szCs w:val="24"/>
        </w:rPr>
        <w:t xml:space="preserve"> greater cycle length</w:t>
      </w:r>
      <w:r w:rsidR="00EB0E20">
        <w:rPr>
          <w:rFonts w:cs="Times New Roman"/>
          <w:szCs w:val="24"/>
        </w:rPr>
        <w:t xml:space="preserve"> (EFPD)</w:t>
      </w:r>
      <w:r w:rsidR="008144A6">
        <w:rPr>
          <w:rFonts w:cs="Times New Roman"/>
          <w:szCs w:val="24"/>
        </w:rPr>
        <w:t xml:space="preserve">. Therefore the k-infinity values from the hybrid </w:t>
      </w:r>
      <w:r w:rsidR="008144A6">
        <w:rPr>
          <w:rFonts w:cs="Times New Roman"/>
          <w:szCs w:val="24"/>
        </w:rPr>
        <w:lastRenderedPageBreak/>
        <w:t xml:space="preserve">models were interpolated in order to match the EFPD of the Zircaloy base case prior to calculating the overall Δk penalty. </w:t>
      </w:r>
    </w:p>
    <w:p w14:paraId="478ABFF6" w14:textId="77777777" w:rsidR="001C5508" w:rsidRDefault="001C5508" w:rsidP="0091793B">
      <w:pPr>
        <w:spacing w:line="360" w:lineRule="auto"/>
        <w:jc w:val="both"/>
        <w:rPr>
          <w:rFonts w:cs="Times New Roman"/>
          <w:szCs w:val="24"/>
        </w:rPr>
      </w:pPr>
    </w:p>
    <w:p w14:paraId="30F31D21" w14:textId="77777777" w:rsidR="009104D2" w:rsidRDefault="00BD16C7" w:rsidP="00A26B7A">
      <w:pPr>
        <w:spacing w:line="360" w:lineRule="auto"/>
        <w:rPr>
          <w:rFonts w:cs="Times New Roman"/>
          <w:szCs w:val="24"/>
        </w:rPr>
      </w:pPr>
      <w:r>
        <w:rPr>
          <w:noProof/>
        </w:rPr>
        <w:drawing>
          <wp:inline distT="0" distB="0" distL="0" distR="0" wp14:anchorId="276E858E" wp14:editId="560659FF">
            <wp:extent cx="5291613" cy="2800350"/>
            <wp:effectExtent l="0" t="0" r="23495" b="19050"/>
            <wp:docPr id="7170" name="Chart 7170"/>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9B14FE1" w14:textId="3898C6BF" w:rsidR="00D606FA" w:rsidRDefault="00877571" w:rsidP="001C5508">
      <w:r>
        <w:rPr>
          <w:rFonts w:cs="Times New Roman"/>
          <w:szCs w:val="24"/>
        </w:rPr>
        <w:t xml:space="preserve"> </w:t>
      </w:r>
      <w:bookmarkStart w:id="68" w:name="_Toc416993489"/>
      <w:r w:rsidR="001C5508">
        <w:t xml:space="preserve">Figure </w:t>
      </w:r>
      <w:fldSimple w:instr=" SEQ Figure \* ARABIC ">
        <w:r w:rsidR="00F3244B">
          <w:rPr>
            <w:noProof/>
          </w:rPr>
          <w:t>50</w:t>
        </w:r>
      </w:fldSimple>
      <w:r w:rsidR="001C5508">
        <w:t xml:space="preserve">: </w:t>
      </w:r>
      <w:r w:rsidR="001C5508" w:rsidRPr="00394561">
        <w:t xml:space="preserve">Δk-infinity from Zircaloy-4 cladding and </w:t>
      </w:r>
      <w:r w:rsidR="00F155F8" w:rsidRPr="00F155F8">
        <w:t xml:space="preserve">channel box </w:t>
      </w:r>
      <w:r w:rsidR="001C5508">
        <w:t>for hybrid bundles</w:t>
      </w:r>
      <w:bookmarkEnd w:id="68"/>
    </w:p>
    <w:p w14:paraId="2252633A" w14:textId="77777777" w:rsidR="001C5508" w:rsidRDefault="001C5508" w:rsidP="001C5508"/>
    <w:p w14:paraId="4DB55E8B" w14:textId="77777777" w:rsidR="001C5508" w:rsidRDefault="001C5508" w:rsidP="00A43EC7">
      <w:pPr>
        <w:spacing w:line="360" w:lineRule="auto"/>
        <w:jc w:val="both"/>
      </w:pPr>
      <w:r>
        <w:t xml:space="preserve">Figure </w:t>
      </w:r>
      <w:r w:rsidR="00521D6C">
        <w:t>50</w:t>
      </w:r>
      <w:r>
        <w:t xml:space="preserve"> indicates a large reactivity penalty early in life when modeling the hybrid bundle design with and without the Cr/Ni layers. Similar to Figure 36, the neutronic penalty of the FeCrAl cladding is greatly reduced in the </w:t>
      </w:r>
      <w:r w:rsidR="00AE0914">
        <w:t>presence</w:t>
      </w:r>
      <w:r>
        <w:t xml:space="preserve"> of gadolinium. </w:t>
      </w:r>
      <w:r w:rsidR="00AE0914">
        <w:t xml:space="preserve">It does however delay the depletion of gadolinium, invoking a discontinuity at approximately 900 EFPD. Due to additional Pu bred from the harder neutron spectrum, the </w:t>
      </w:r>
      <w:r w:rsidR="00AE0914">
        <w:rPr>
          <w:rFonts w:cs="Times New Roman"/>
        </w:rPr>
        <w:t>Δ</w:t>
      </w:r>
      <w:r w:rsidR="00AE0914">
        <w:t xml:space="preserve">k penalty turns into an advantage near EOL. </w:t>
      </w:r>
    </w:p>
    <w:p w14:paraId="41F8D65C" w14:textId="77777777" w:rsidR="001C5508" w:rsidRDefault="00AE0914" w:rsidP="00A43EC7">
      <w:pPr>
        <w:spacing w:line="360" w:lineRule="auto"/>
        <w:jc w:val="both"/>
        <w:rPr>
          <w:rFonts w:eastAsiaTheme="minorEastAsia" w:cs="Times New Roman"/>
          <w:szCs w:val="24"/>
        </w:rPr>
      </w:pPr>
      <w:r>
        <w:rPr>
          <w:rFonts w:cs="Times New Roman"/>
          <w:szCs w:val="24"/>
        </w:rPr>
        <w:t>In simulating the</w:t>
      </w:r>
      <w:r w:rsidR="008144A6">
        <w:rPr>
          <w:rFonts w:cs="Times New Roman"/>
          <w:szCs w:val="24"/>
        </w:rPr>
        <w:t xml:space="preserve"> Cr and Ni protective layers, a</w:t>
      </w:r>
      <w:r>
        <w:rPr>
          <w:rFonts w:cs="Times New Roman"/>
          <w:szCs w:val="24"/>
        </w:rPr>
        <w:t xml:space="preserve"> 600-800 pcm Δk penalty is </w:t>
      </w:r>
      <w:r w:rsidR="008144A6">
        <w:rPr>
          <w:rFonts w:cs="Times New Roman"/>
          <w:szCs w:val="24"/>
        </w:rPr>
        <w:t>present due to additional parasitic neutron absorption. Despite this large penalty, manipulation of the fuel design to meet cycle length requirements of the Zircaloy design was performed. Therefore, the EOC reactivity method was utilized first to calculate the r</w:t>
      </w:r>
      <w:r w:rsidR="00EB0E20">
        <w:rPr>
          <w:rFonts w:cs="Times New Roman"/>
          <w:szCs w:val="24"/>
        </w:rPr>
        <w:t xml:space="preserve">equired enrichment equating to </w:t>
      </w:r>
      <w:r w:rsidR="008144A6">
        <w:rPr>
          <w:rFonts w:cs="Times New Roman"/>
          <w:szCs w:val="24"/>
        </w:rPr>
        <w:t xml:space="preserve">a 0.000 </w:t>
      </w:r>
      <m:oMath>
        <m:sSub>
          <m:sSubPr>
            <m:ctrlPr>
              <w:rPr>
                <w:rFonts w:ascii="Cambria Math" w:hAnsi="Cambria Math" w:cs="Times New Roman"/>
                <w:i/>
                <w:szCs w:val="24"/>
              </w:rPr>
            </m:ctrlPr>
          </m:sSubPr>
          <m:e>
            <m:acc>
              <m:accPr>
                <m:chr m:val="̅"/>
                <m:ctrlPr>
                  <w:rPr>
                    <w:rFonts w:ascii="Cambria Math" w:hAnsi="Cambria Math" w:cs="Times New Roman"/>
                    <w:i/>
                    <w:szCs w:val="24"/>
                  </w:rPr>
                </m:ctrlPr>
              </m:accPr>
              <m:e>
                <m:r>
                  <w:rPr>
                    <w:rFonts w:ascii="Cambria Math" w:hAnsi="Cambria Math" w:cs="Times New Roman"/>
                    <w:szCs w:val="24"/>
                  </w:rPr>
                  <m:t>Δk</m:t>
                </m:r>
              </m:e>
            </m:acc>
          </m:e>
          <m:sub>
            <m:r>
              <w:rPr>
                <w:rFonts w:ascii="Cambria Math" w:hAnsi="Cambria Math" w:cs="Times New Roman"/>
                <w:szCs w:val="24"/>
              </w:rPr>
              <m:t>bwr</m:t>
            </m:r>
          </m:sub>
        </m:sSub>
      </m:oMath>
      <w:r w:rsidR="00786082">
        <w:rPr>
          <w:rFonts w:eastAsiaTheme="minorEastAsia" w:cs="Times New Roman"/>
          <w:szCs w:val="24"/>
        </w:rPr>
        <w:t xml:space="preserve"> value. Next, after cross-section data for each of the five axial slices in the bundle was obtained</w:t>
      </w:r>
      <w:r w:rsidR="00EB0E20">
        <w:rPr>
          <w:rFonts w:eastAsiaTheme="minorEastAsia" w:cs="Times New Roman"/>
          <w:szCs w:val="24"/>
        </w:rPr>
        <w:t>,</w:t>
      </w:r>
      <w:r w:rsidR="00EB0E20" w:rsidRPr="00EB0E20">
        <w:rPr>
          <w:rFonts w:eastAsiaTheme="minorEastAsia" w:cs="Times New Roman"/>
          <w:szCs w:val="24"/>
        </w:rPr>
        <w:t xml:space="preserve"> </w:t>
      </w:r>
      <w:r w:rsidR="00EB0E20">
        <w:rPr>
          <w:rFonts w:eastAsiaTheme="minorEastAsia" w:cs="Times New Roman"/>
          <w:szCs w:val="24"/>
        </w:rPr>
        <w:t>a full-core calculation was performed with NESTLE</w:t>
      </w:r>
      <w:r w:rsidR="00786082">
        <w:rPr>
          <w:rFonts w:eastAsiaTheme="minorEastAsia" w:cs="Times New Roman"/>
          <w:szCs w:val="24"/>
        </w:rPr>
        <w:t xml:space="preserve">. Enrichment was thus changed </w:t>
      </w:r>
      <w:r w:rsidR="00786082">
        <w:rPr>
          <w:rFonts w:eastAsiaTheme="minorEastAsia" w:cs="Times New Roman"/>
          <w:szCs w:val="24"/>
        </w:rPr>
        <w:lastRenderedPageBreak/>
        <w:t xml:space="preserve">until an EOC k-effective value of 1.00 was calculated. Lastly, </w:t>
      </w:r>
      <w:r w:rsidR="00A43EC7">
        <w:rPr>
          <w:rFonts w:eastAsiaTheme="minorEastAsia" w:cs="Times New Roman"/>
          <w:szCs w:val="24"/>
        </w:rPr>
        <w:t xml:space="preserve">the same was done </w:t>
      </w:r>
      <w:r w:rsidR="00786082">
        <w:rPr>
          <w:rFonts w:eastAsiaTheme="minorEastAsia" w:cs="Times New Roman"/>
          <w:szCs w:val="24"/>
        </w:rPr>
        <w:t xml:space="preserve">using the LP optimized in Figure </w:t>
      </w:r>
      <w:r w:rsidR="00521D6C">
        <w:rPr>
          <w:rFonts w:eastAsiaTheme="minorEastAsia" w:cs="Times New Roman"/>
          <w:szCs w:val="24"/>
        </w:rPr>
        <w:t>47</w:t>
      </w:r>
      <w:r w:rsidR="00786082">
        <w:rPr>
          <w:rFonts w:eastAsiaTheme="minorEastAsia" w:cs="Times New Roman"/>
          <w:szCs w:val="24"/>
        </w:rPr>
        <w:t>b</w:t>
      </w:r>
      <w:r w:rsidR="00A43EC7">
        <w:rPr>
          <w:rFonts w:eastAsiaTheme="minorEastAsia" w:cs="Times New Roman"/>
          <w:szCs w:val="24"/>
        </w:rPr>
        <w:t xml:space="preserve"> for </w:t>
      </w:r>
      <w:r w:rsidR="00786082">
        <w:rPr>
          <w:rFonts w:eastAsiaTheme="minorEastAsia" w:cs="Times New Roman"/>
          <w:szCs w:val="24"/>
        </w:rPr>
        <w:t xml:space="preserve">the FeCral </w:t>
      </w:r>
      <w:r w:rsidR="00F155F8" w:rsidRPr="00F155F8">
        <w:rPr>
          <w:rFonts w:eastAsiaTheme="minorEastAsia" w:cs="Times New Roman"/>
          <w:szCs w:val="24"/>
        </w:rPr>
        <w:t>channel box</w:t>
      </w:r>
      <w:r w:rsidR="00786082">
        <w:rPr>
          <w:rFonts w:eastAsiaTheme="minorEastAsia" w:cs="Times New Roman"/>
          <w:szCs w:val="24"/>
        </w:rPr>
        <w:t xml:space="preserve"> and cladded</w:t>
      </w:r>
      <w:r w:rsidR="00A43EC7">
        <w:rPr>
          <w:rFonts w:eastAsiaTheme="minorEastAsia" w:cs="Times New Roman"/>
          <w:szCs w:val="24"/>
        </w:rPr>
        <w:t xml:space="preserve"> core.</w:t>
      </w:r>
      <w:r w:rsidR="00786082">
        <w:rPr>
          <w:rFonts w:eastAsiaTheme="minorEastAsia" w:cs="Times New Roman"/>
          <w:szCs w:val="24"/>
        </w:rPr>
        <w:t xml:space="preserve">  </w:t>
      </w:r>
    </w:p>
    <w:p w14:paraId="0244556D" w14:textId="77777777" w:rsidR="00786082" w:rsidRDefault="00786082" w:rsidP="00AE0914">
      <w:pPr>
        <w:jc w:val="both"/>
        <w:rPr>
          <w:rFonts w:eastAsiaTheme="minorEastAsia" w:cs="Times New Roman"/>
          <w:szCs w:val="24"/>
        </w:rPr>
      </w:pPr>
    </w:p>
    <w:p w14:paraId="128DED73" w14:textId="77777777" w:rsidR="00786082" w:rsidRDefault="00786082" w:rsidP="00786082">
      <w:pPr>
        <w:rPr>
          <w:rFonts w:cs="Times New Roman"/>
          <w:szCs w:val="24"/>
        </w:rPr>
      </w:pPr>
      <w:bookmarkStart w:id="69" w:name="_Toc416993439"/>
      <w:r>
        <w:t xml:space="preserve">Table </w:t>
      </w:r>
      <w:fldSimple w:instr=" SEQ Table \* ROMAN ">
        <w:r w:rsidR="00EC7A3E">
          <w:rPr>
            <w:noProof/>
          </w:rPr>
          <w:t>XVI</w:t>
        </w:r>
      </w:fldSimple>
      <w:r>
        <w:t>: Enrichment Requirements for Hybrid BWR Design</w:t>
      </w:r>
      <w:bookmarkEnd w:id="69"/>
    </w:p>
    <w:tbl>
      <w:tblPr>
        <w:tblW w:w="6481" w:type="dxa"/>
        <w:jc w:val="center"/>
        <w:tblInd w:w="93" w:type="dxa"/>
        <w:tblLook w:val="04A0" w:firstRow="1" w:lastRow="0" w:firstColumn="1" w:lastColumn="0" w:noHBand="0" w:noVBand="1"/>
      </w:tblPr>
      <w:tblGrid>
        <w:gridCol w:w="3220"/>
        <w:gridCol w:w="3261"/>
      </w:tblGrid>
      <w:tr w:rsidR="00F30847" w:rsidRPr="00F30847" w14:paraId="7B573764" w14:textId="77777777" w:rsidTr="005A1894">
        <w:trPr>
          <w:trHeight w:val="351"/>
          <w:jc w:val="center"/>
        </w:trPr>
        <w:tc>
          <w:tcPr>
            <w:tcW w:w="3220" w:type="dxa"/>
            <w:tcBorders>
              <w:top w:val="single" w:sz="4" w:space="0" w:color="auto"/>
              <w:left w:val="nil"/>
              <w:bottom w:val="single" w:sz="4" w:space="0" w:color="auto"/>
              <w:right w:val="nil"/>
            </w:tcBorders>
            <w:shd w:val="clear" w:color="auto" w:fill="F2F2F2" w:themeFill="background1" w:themeFillShade="F2"/>
            <w:noWrap/>
            <w:vAlign w:val="center"/>
            <w:hideMark/>
          </w:tcPr>
          <w:p w14:paraId="69DB06C1" w14:textId="77777777" w:rsidR="00F30847" w:rsidRPr="00F30847" w:rsidRDefault="00D45FE6" w:rsidP="00D45FE6">
            <w:pPr>
              <w:spacing w:after="0" w:line="240" w:lineRule="auto"/>
              <w:rPr>
                <w:rFonts w:eastAsia="Times New Roman" w:cs="Times New Roman"/>
                <w:color w:val="000000"/>
                <w:szCs w:val="24"/>
              </w:rPr>
            </w:pPr>
            <w:r>
              <w:rPr>
                <w:rFonts w:eastAsia="Times New Roman" w:cs="Times New Roman"/>
                <w:color w:val="000000"/>
                <w:szCs w:val="24"/>
              </w:rPr>
              <w:t>Method</w:t>
            </w:r>
          </w:p>
        </w:tc>
        <w:tc>
          <w:tcPr>
            <w:tcW w:w="3261" w:type="dxa"/>
            <w:tcBorders>
              <w:top w:val="single" w:sz="4" w:space="0" w:color="auto"/>
              <w:left w:val="nil"/>
              <w:bottom w:val="single" w:sz="4" w:space="0" w:color="auto"/>
              <w:right w:val="nil"/>
            </w:tcBorders>
            <w:shd w:val="clear" w:color="auto" w:fill="F2F2F2" w:themeFill="background1" w:themeFillShade="F2"/>
            <w:noWrap/>
            <w:vAlign w:val="center"/>
            <w:hideMark/>
          </w:tcPr>
          <w:p w14:paraId="129F10E1" w14:textId="77777777" w:rsidR="00F30847" w:rsidRPr="00F30847" w:rsidRDefault="00D45FE6" w:rsidP="00D45FE6">
            <w:pPr>
              <w:spacing w:after="0" w:line="240" w:lineRule="auto"/>
              <w:rPr>
                <w:rFonts w:eastAsia="Times New Roman" w:cs="Times New Roman"/>
                <w:color w:val="000000"/>
                <w:szCs w:val="24"/>
              </w:rPr>
            </w:pPr>
            <w:r>
              <w:rPr>
                <w:rFonts w:eastAsia="Times New Roman" w:cs="Times New Roman"/>
                <w:color w:val="000000"/>
                <w:szCs w:val="24"/>
              </w:rPr>
              <w:t xml:space="preserve">Required Bundle </w:t>
            </w:r>
            <w:r w:rsidR="00F30847" w:rsidRPr="00F30847">
              <w:rPr>
                <w:rFonts w:eastAsia="Times New Roman" w:cs="Times New Roman"/>
                <w:color w:val="000000"/>
                <w:szCs w:val="24"/>
              </w:rPr>
              <w:t>Enrichment</w:t>
            </w:r>
          </w:p>
        </w:tc>
      </w:tr>
      <w:tr w:rsidR="00F30847" w:rsidRPr="00F30847" w14:paraId="1F484135" w14:textId="77777777" w:rsidTr="005A1894">
        <w:trPr>
          <w:trHeight w:val="351"/>
          <w:jc w:val="center"/>
        </w:trPr>
        <w:tc>
          <w:tcPr>
            <w:tcW w:w="3220" w:type="dxa"/>
            <w:tcBorders>
              <w:top w:val="nil"/>
              <w:left w:val="nil"/>
              <w:bottom w:val="nil"/>
              <w:right w:val="nil"/>
            </w:tcBorders>
            <w:shd w:val="clear" w:color="auto" w:fill="auto"/>
            <w:noWrap/>
            <w:vAlign w:val="center"/>
            <w:hideMark/>
          </w:tcPr>
          <w:p w14:paraId="5BF4E53F" w14:textId="77777777" w:rsidR="00F30847" w:rsidRPr="00F30847" w:rsidRDefault="00D45FE6" w:rsidP="00D45FE6">
            <w:pPr>
              <w:spacing w:after="0" w:line="240" w:lineRule="auto"/>
              <w:rPr>
                <w:rFonts w:eastAsia="Times New Roman" w:cs="Times New Roman"/>
                <w:color w:val="000000"/>
                <w:szCs w:val="24"/>
              </w:rPr>
            </w:pPr>
            <w:r>
              <w:rPr>
                <w:rFonts w:eastAsia="Times New Roman" w:cs="Times New Roman"/>
                <w:color w:val="000000"/>
                <w:szCs w:val="24"/>
              </w:rPr>
              <w:t>EOC Lattice Physics</w:t>
            </w:r>
          </w:p>
        </w:tc>
        <w:tc>
          <w:tcPr>
            <w:tcW w:w="3261" w:type="dxa"/>
            <w:tcBorders>
              <w:top w:val="nil"/>
              <w:left w:val="nil"/>
              <w:bottom w:val="nil"/>
              <w:right w:val="nil"/>
            </w:tcBorders>
            <w:shd w:val="clear" w:color="auto" w:fill="auto"/>
            <w:noWrap/>
            <w:vAlign w:val="center"/>
            <w:hideMark/>
          </w:tcPr>
          <w:p w14:paraId="5D0B8DB5" w14:textId="77777777" w:rsidR="00F30847" w:rsidRPr="00F30847" w:rsidRDefault="00F30847" w:rsidP="00D45FE6">
            <w:pPr>
              <w:spacing w:after="0" w:line="240" w:lineRule="auto"/>
              <w:rPr>
                <w:rFonts w:eastAsia="Times New Roman" w:cs="Times New Roman"/>
                <w:color w:val="000000"/>
                <w:szCs w:val="24"/>
              </w:rPr>
            </w:pPr>
            <w:r>
              <w:rPr>
                <w:rFonts w:eastAsia="Times New Roman" w:cs="Times New Roman"/>
                <w:color w:val="000000"/>
                <w:szCs w:val="24"/>
              </w:rPr>
              <w:t>4.15%</w:t>
            </w:r>
          </w:p>
        </w:tc>
      </w:tr>
      <w:tr w:rsidR="00F30847" w:rsidRPr="00F30847" w14:paraId="3086101C" w14:textId="77777777" w:rsidTr="005A1894">
        <w:trPr>
          <w:trHeight w:val="351"/>
          <w:jc w:val="center"/>
        </w:trPr>
        <w:tc>
          <w:tcPr>
            <w:tcW w:w="3220" w:type="dxa"/>
            <w:tcBorders>
              <w:top w:val="nil"/>
              <w:left w:val="nil"/>
              <w:bottom w:val="nil"/>
              <w:right w:val="nil"/>
            </w:tcBorders>
            <w:shd w:val="clear" w:color="auto" w:fill="auto"/>
            <w:noWrap/>
            <w:vAlign w:val="center"/>
            <w:hideMark/>
          </w:tcPr>
          <w:p w14:paraId="31FA49AC" w14:textId="77777777" w:rsidR="00F30847" w:rsidRPr="00F30847" w:rsidRDefault="00F30847" w:rsidP="00D45FE6">
            <w:pPr>
              <w:spacing w:after="0" w:line="240" w:lineRule="auto"/>
              <w:rPr>
                <w:rFonts w:eastAsia="Times New Roman" w:cs="Times New Roman"/>
                <w:color w:val="000000"/>
                <w:szCs w:val="24"/>
              </w:rPr>
            </w:pPr>
            <w:r w:rsidRPr="00F30847">
              <w:rPr>
                <w:rFonts w:eastAsia="Times New Roman" w:cs="Times New Roman"/>
                <w:color w:val="000000"/>
                <w:szCs w:val="24"/>
              </w:rPr>
              <w:t>Full-core depletion</w:t>
            </w:r>
          </w:p>
        </w:tc>
        <w:tc>
          <w:tcPr>
            <w:tcW w:w="3261" w:type="dxa"/>
            <w:tcBorders>
              <w:top w:val="nil"/>
              <w:left w:val="nil"/>
              <w:bottom w:val="nil"/>
              <w:right w:val="nil"/>
            </w:tcBorders>
            <w:shd w:val="clear" w:color="auto" w:fill="auto"/>
            <w:noWrap/>
            <w:vAlign w:val="center"/>
            <w:hideMark/>
          </w:tcPr>
          <w:p w14:paraId="69E926E5" w14:textId="77777777" w:rsidR="00F30847" w:rsidRPr="00D45FE6" w:rsidRDefault="00F30847" w:rsidP="00D45FE6">
            <w:pPr>
              <w:spacing w:after="0" w:line="240" w:lineRule="auto"/>
              <w:rPr>
                <w:rFonts w:eastAsia="Times New Roman" w:cs="Times New Roman"/>
                <w:color w:val="000000"/>
                <w:szCs w:val="24"/>
              </w:rPr>
            </w:pPr>
            <w:r w:rsidRPr="00D45FE6">
              <w:rPr>
                <w:rFonts w:eastAsia="Times New Roman" w:cs="Times New Roman"/>
                <w:color w:val="000000"/>
                <w:szCs w:val="24"/>
              </w:rPr>
              <w:t>4.</w:t>
            </w:r>
            <w:r w:rsidR="00D45FE6" w:rsidRPr="00D45FE6">
              <w:rPr>
                <w:rFonts w:eastAsia="Times New Roman" w:cs="Times New Roman"/>
                <w:color w:val="000000"/>
                <w:szCs w:val="24"/>
              </w:rPr>
              <w:t>13</w:t>
            </w:r>
            <w:r w:rsidRPr="00D45FE6">
              <w:rPr>
                <w:rFonts w:eastAsia="Times New Roman" w:cs="Times New Roman"/>
                <w:color w:val="000000"/>
                <w:szCs w:val="24"/>
              </w:rPr>
              <w:t>%</w:t>
            </w:r>
          </w:p>
        </w:tc>
      </w:tr>
      <w:tr w:rsidR="00F30847" w:rsidRPr="00F30847" w14:paraId="0CC1D736" w14:textId="77777777" w:rsidTr="005A1894">
        <w:trPr>
          <w:trHeight w:val="351"/>
          <w:jc w:val="center"/>
        </w:trPr>
        <w:tc>
          <w:tcPr>
            <w:tcW w:w="3220" w:type="dxa"/>
            <w:tcBorders>
              <w:top w:val="nil"/>
              <w:left w:val="nil"/>
              <w:bottom w:val="single" w:sz="4" w:space="0" w:color="auto"/>
              <w:right w:val="nil"/>
            </w:tcBorders>
            <w:shd w:val="clear" w:color="auto" w:fill="auto"/>
            <w:noWrap/>
            <w:vAlign w:val="center"/>
            <w:hideMark/>
          </w:tcPr>
          <w:p w14:paraId="2224D1BF" w14:textId="77777777" w:rsidR="00F30847" w:rsidRPr="00F30847" w:rsidRDefault="00F30847" w:rsidP="00D45FE6">
            <w:pPr>
              <w:spacing w:after="0" w:line="240" w:lineRule="auto"/>
              <w:rPr>
                <w:rFonts w:eastAsia="Times New Roman" w:cs="Times New Roman"/>
                <w:color w:val="000000"/>
                <w:szCs w:val="24"/>
              </w:rPr>
            </w:pPr>
            <w:r w:rsidRPr="00F30847">
              <w:rPr>
                <w:rFonts w:eastAsia="Times New Roman" w:cs="Times New Roman"/>
                <w:color w:val="000000"/>
                <w:szCs w:val="24"/>
              </w:rPr>
              <w:t>Shuffle Optimization</w:t>
            </w:r>
          </w:p>
        </w:tc>
        <w:tc>
          <w:tcPr>
            <w:tcW w:w="3261" w:type="dxa"/>
            <w:tcBorders>
              <w:top w:val="nil"/>
              <w:left w:val="nil"/>
              <w:bottom w:val="single" w:sz="4" w:space="0" w:color="auto"/>
              <w:right w:val="nil"/>
            </w:tcBorders>
            <w:shd w:val="clear" w:color="auto" w:fill="auto"/>
            <w:noWrap/>
            <w:vAlign w:val="center"/>
            <w:hideMark/>
          </w:tcPr>
          <w:p w14:paraId="798F627A" w14:textId="77777777" w:rsidR="00F30847" w:rsidRPr="00F30847" w:rsidRDefault="00F30847" w:rsidP="00D45FE6">
            <w:pPr>
              <w:spacing w:after="0" w:line="240" w:lineRule="auto"/>
              <w:rPr>
                <w:rFonts w:eastAsia="Times New Roman" w:cs="Times New Roman"/>
                <w:color w:val="000000"/>
                <w:szCs w:val="24"/>
              </w:rPr>
            </w:pPr>
            <w:r>
              <w:rPr>
                <w:rFonts w:eastAsia="Times New Roman" w:cs="Times New Roman"/>
                <w:color w:val="000000"/>
                <w:szCs w:val="24"/>
              </w:rPr>
              <w:t>3.98%</w:t>
            </w:r>
          </w:p>
        </w:tc>
      </w:tr>
    </w:tbl>
    <w:p w14:paraId="0369F3E2" w14:textId="77777777" w:rsidR="0063423B" w:rsidRDefault="0063423B" w:rsidP="0091793B">
      <w:pPr>
        <w:spacing w:line="360" w:lineRule="auto"/>
        <w:jc w:val="both"/>
        <w:rPr>
          <w:rFonts w:cs="Times New Roman"/>
          <w:szCs w:val="24"/>
        </w:rPr>
      </w:pPr>
    </w:p>
    <w:p w14:paraId="12BDE099" w14:textId="77777777" w:rsidR="00812D95" w:rsidRDefault="00A43EC7" w:rsidP="0091793B">
      <w:pPr>
        <w:spacing w:line="360" w:lineRule="auto"/>
        <w:jc w:val="both"/>
        <w:rPr>
          <w:rFonts w:cs="Times New Roman"/>
          <w:szCs w:val="24"/>
        </w:rPr>
      </w:pPr>
      <w:r>
        <w:rPr>
          <w:rFonts w:cs="Times New Roman"/>
          <w:szCs w:val="24"/>
        </w:rPr>
        <w:t>Table XVII</w:t>
      </w:r>
      <w:r w:rsidR="00786082">
        <w:rPr>
          <w:rFonts w:cs="Times New Roman"/>
          <w:szCs w:val="24"/>
        </w:rPr>
        <w:t xml:space="preserve"> </w:t>
      </w:r>
      <w:r w:rsidR="00EB0E20">
        <w:rPr>
          <w:rFonts w:cs="Times New Roman"/>
          <w:szCs w:val="24"/>
        </w:rPr>
        <w:t>is consistent</w:t>
      </w:r>
      <w:r w:rsidR="00786082">
        <w:rPr>
          <w:rFonts w:cs="Times New Roman"/>
          <w:szCs w:val="24"/>
        </w:rPr>
        <w:t xml:space="preserve"> </w:t>
      </w:r>
      <w:r w:rsidR="00EB0E20">
        <w:rPr>
          <w:rFonts w:cs="Times New Roman"/>
          <w:szCs w:val="24"/>
        </w:rPr>
        <w:t>with</w:t>
      </w:r>
      <w:r>
        <w:rPr>
          <w:rFonts w:cs="Times New Roman"/>
          <w:szCs w:val="24"/>
        </w:rPr>
        <w:t xml:space="preserve"> the pre</w:t>
      </w:r>
      <w:r w:rsidR="00EB0E20">
        <w:rPr>
          <w:rFonts w:cs="Times New Roman"/>
          <w:szCs w:val="24"/>
        </w:rPr>
        <w:t xml:space="preserve">vious parametric study </w:t>
      </w:r>
      <w:r>
        <w:rPr>
          <w:rFonts w:cs="Times New Roman"/>
          <w:szCs w:val="24"/>
        </w:rPr>
        <w:t>conclud</w:t>
      </w:r>
      <w:r w:rsidR="00812D95">
        <w:rPr>
          <w:rFonts w:cs="Times New Roman"/>
          <w:szCs w:val="24"/>
        </w:rPr>
        <w:t>ed with the results in Figure 43</w:t>
      </w:r>
      <w:r w:rsidR="00786082">
        <w:rPr>
          <w:rFonts w:cs="Times New Roman"/>
          <w:szCs w:val="24"/>
        </w:rPr>
        <w:t xml:space="preserve">. </w:t>
      </w:r>
      <w:r>
        <w:rPr>
          <w:rFonts w:cs="Times New Roman"/>
          <w:szCs w:val="24"/>
        </w:rPr>
        <w:t xml:space="preserve">The EOC reactivity method produced enrichment requirements nearly identical to what was needed in the full-core analysis. Also using an optimized </w:t>
      </w:r>
      <w:r w:rsidR="00D65CDA">
        <w:rPr>
          <w:rFonts w:cs="Times New Roman"/>
          <w:szCs w:val="24"/>
        </w:rPr>
        <w:t>LP</w:t>
      </w:r>
      <w:r>
        <w:rPr>
          <w:rFonts w:cs="Times New Roman"/>
          <w:szCs w:val="24"/>
        </w:rPr>
        <w:t xml:space="preserve"> for FeCrAl cladding, additional reactivity was found, thus reducing the enrichment requirements in the fuel bundles. </w:t>
      </w:r>
    </w:p>
    <w:p w14:paraId="195E099A" w14:textId="77777777" w:rsidR="006319B9" w:rsidRDefault="006319B9" w:rsidP="0091793B">
      <w:pPr>
        <w:spacing w:line="360" w:lineRule="auto"/>
        <w:jc w:val="both"/>
        <w:rPr>
          <w:rFonts w:cs="Times New Roman"/>
          <w:szCs w:val="24"/>
        </w:rPr>
      </w:pPr>
    </w:p>
    <w:p w14:paraId="47A31F61" w14:textId="27491643" w:rsidR="00597177" w:rsidRPr="00117FB3" w:rsidRDefault="00EC7A3E" w:rsidP="0091793B">
      <w:pPr>
        <w:spacing w:line="360" w:lineRule="auto"/>
        <w:jc w:val="both"/>
        <w:rPr>
          <w:rFonts w:cs="Times New Roman"/>
          <w:szCs w:val="24"/>
        </w:rPr>
      </w:pPr>
      <w:r>
        <w:rPr>
          <w:rFonts w:cs="Times New Roman"/>
          <w:b/>
          <w:sz w:val="28"/>
          <w:szCs w:val="24"/>
        </w:rPr>
        <w:t>VI.</w:t>
      </w:r>
      <w:r w:rsidR="00CD06E6">
        <w:rPr>
          <w:rFonts w:cs="Times New Roman"/>
          <w:b/>
          <w:sz w:val="28"/>
          <w:szCs w:val="24"/>
        </w:rPr>
        <w:t>F</w:t>
      </w:r>
      <w:r w:rsidR="004F786A" w:rsidRPr="004F786A">
        <w:rPr>
          <w:rFonts w:cs="Times New Roman"/>
          <w:b/>
          <w:sz w:val="28"/>
          <w:szCs w:val="24"/>
        </w:rPr>
        <w:t xml:space="preserve">. </w:t>
      </w:r>
      <w:r w:rsidR="001D553C">
        <w:rPr>
          <w:rFonts w:cs="Times New Roman"/>
          <w:b/>
          <w:sz w:val="28"/>
          <w:szCs w:val="24"/>
        </w:rPr>
        <w:tab/>
      </w:r>
      <w:r w:rsidR="001D553C">
        <w:rPr>
          <w:rFonts w:cs="Times New Roman"/>
          <w:b/>
          <w:sz w:val="28"/>
          <w:szCs w:val="24"/>
        </w:rPr>
        <w:tab/>
      </w:r>
      <w:r w:rsidR="00425594">
        <w:rPr>
          <w:rFonts w:cs="Times New Roman"/>
          <w:b/>
          <w:sz w:val="28"/>
          <w:szCs w:val="24"/>
        </w:rPr>
        <w:t>Fuel Performance Results</w:t>
      </w:r>
      <w:r w:rsidR="00513C09">
        <w:rPr>
          <w:rFonts w:cs="Times New Roman"/>
          <w:b/>
          <w:sz w:val="28"/>
          <w:szCs w:val="24"/>
        </w:rPr>
        <w:t xml:space="preserve"> </w:t>
      </w:r>
    </w:p>
    <w:p w14:paraId="57F79C30" w14:textId="72A7E95E" w:rsidR="00EC7A3E" w:rsidRPr="00EC7A3E" w:rsidRDefault="00CD06E6" w:rsidP="0091793B">
      <w:pPr>
        <w:spacing w:line="360" w:lineRule="auto"/>
        <w:jc w:val="both"/>
        <w:rPr>
          <w:rFonts w:cs="Times New Roman"/>
          <w:b/>
          <w:szCs w:val="24"/>
        </w:rPr>
      </w:pPr>
      <w:r>
        <w:rPr>
          <w:rFonts w:cs="Times New Roman"/>
          <w:b/>
          <w:szCs w:val="24"/>
        </w:rPr>
        <w:t>VI.F</w:t>
      </w:r>
      <w:r w:rsidR="00EC7A3E" w:rsidRPr="00EC7A3E">
        <w:rPr>
          <w:rFonts w:cs="Times New Roman"/>
          <w:b/>
          <w:szCs w:val="24"/>
        </w:rPr>
        <w:t xml:space="preserve">.1. </w:t>
      </w:r>
      <w:r w:rsidR="001D553C">
        <w:rPr>
          <w:rFonts w:cs="Times New Roman"/>
          <w:b/>
          <w:szCs w:val="24"/>
        </w:rPr>
        <w:tab/>
      </w:r>
      <w:r w:rsidR="00EC7A3E" w:rsidRPr="00EC7A3E">
        <w:rPr>
          <w:rFonts w:cs="Times New Roman"/>
          <w:b/>
          <w:szCs w:val="24"/>
        </w:rPr>
        <w:t>Fuel Rod Power History Calculations</w:t>
      </w:r>
    </w:p>
    <w:p w14:paraId="512FB002" w14:textId="77777777" w:rsidR="007B12B5" w:rsidRDefault="00597177" w:rsidP="0091793B">
      <w:pPr>
        <w:spacing w:line="360" w:lineRule="auto"/>
        <w:jc w:val="both"/>
        <w:rPr>
          <w:rFonts w:cs="Times New Roman"/>
          <w:szCs w:val="24"/>
        </w:rPr>
      </w:pPr>
      <w:r w:rsidRPr="00D00A8B">
        <w:rPr>
          <w:rFonts w:cs="Times New Roman"/>
          <w:szCs w:val="24"/>
        </w:rPr>
        <w:t>As aforementioned in the methodology section, the hottest burning pin cell</w:t>
      </w:r>
      <w:r w:rsidR="006319B9">
        <w:rPr>
          <w:rFonts w:cs="Times New Roman"/>
          <w:szCs w:val="24"/>
        </w:rPr>
        <w:t xml:space="preserve"> </w:t>
      </w:r>
      <w:r w:rsidRPr="00D00A8B">
        <w:rPr>
          <w:rFonts w:cs="Times New Roman"/>
          <w:szCs w:val="24"/>
        </w:rPr>
        <w:t xml:space="preserve">within the hottest burning assembly was chosen from the CASMO and NESTLE depletion results as the limiting fuel rod in the fuel performance model. By determining this, the linear heat rate of the hottest pin was calculated </w:t>
      </w:r>
      <w:r w:rsidR="006319B9">
        <w:rPr>
          <w:rFonts w:cs="Times New Roman"/>
          <w:szCs w:val="24"/>
        </w:rPr>
        <w:t>throughout the</w:t>
      </w:r>
      <w:r w:rsidRPr="00D00A8B">
        <w:rPr>
          <w:rFonts w:cs="Times New Roman"/>
          <w:szCs w:val="24"/>
        </w:rPr>
        <w:t xml:space="preserve"> entire lifetime</w:t>
      </w:r>
      <w:r w:rsidR="006319B9">
        <w:rPr>
          <w:rFonts w:cs="Times New Roman"/>
          <w:szCs w:val="24"/>
        </w:rPr>
        <w:t xml:space="preserve"> of the fuel</w:t>
      </w:r>
      <w:r w:rsidRPr="00D00A8B">
        <w:rPr>
          <w:rFonts w:cs="Times New Roman"/>
          <w:szCs w:val="24"/>
        </w:rPr>
        <w:t>. Since the full-core model was an equilibrium core, and multiple cycles were not performed, the fuel assembly with the highest radial RPF was chosen and follow</w:t>
      </w:r>
      <w:r w:rsidR="006319B9">
        <w:rPr>
          <w:rFonts w:cs="Times New Roman"/>
          <w:szCs w:val="24"/>
        </w:rPr>
        <w:t>ed</w:t>
      </w:r>
      <w:r w:rsidRPr="00D00A8B">
        <w:rPr>
          <w:rFonts w:cs="Times New Roman"/>
          <w:szCs w:val="24"/>
        </w:rPr>
        <w:t xml:space="preserve"> for two additional cycles. This approximation was under the assumption that </w:t>
      </w:r>
      <w:r w:rsidR="006319B9">
        <w:rPr>
          <w:rFonts w:cs="Times New Roman"/>
          <w:szCs w:val="24"/>
        </w:rPr>
        <w:t xml:space="preserve">the </w:t>
      </w:r>
      <w:r w:rsidRPr="00D00A8B">
        <w:rPr>
          <w:rFonts w:cs="Times New Roman"/>
          <w:szCs w:val="24"/>
        </w:rPr>
        <w:t>equilibrium core will operate with similar exposure values for three straight cycles. Therefore, the following three assemblies were used to determine the li</w:t>
      </w:r>
      <w:r w:rsidR="007B12B5">
        <w:rPr>
          <w:rFonts w:cs="Times New Roman"/>
          <w:szCs w:val="24"/>
        </w:rPr>
        <w:t>miting fuel rod in the reactor.</w:t>
      </w:r>
    </w:p>
    <w:p w14:paraId="2D801D03" w14:textId="77777777" w:rsidR="0058760F" w:rsidRDefault="0058760F" w:rsidP="0091793B">
      <w:pPr>
        <w:spacing w:line="360" w:lineRule="auto"/>
        <w:jc w:val="both"/>
        <w:rPr>
          <w:rFonts w:cs="Times New Roman"/>
          <w:szCs w:val="24"/>
        </w:rPr>
      </w:pPr>
    </w:p>
    <w:p w14:paraId="26E5BF3A" w14:textId="77777777" w:rsidR="007B12B5" w:rsidRDefault="008A6484" w:rsidP="0091793B">
      <w:pPr>
        <w:spacing w:line="360" w:lineRule="auto"/>
        <w:rPr>
          <w:rFonts w:cs="Times New Roman"/>
          <w:szCs w:val="24"/>
        </w:rPr>
      </w:pPr>
      <w:r>
        <w:rPr>
          <w:rFonts w:cs="Times New Roman"/>
          <w:noProof/>
          <w:szCs w:val="24"/>
        </w:rPr>
        <w:lastRenderedPageBreak/>
        <w:drawing>
          <wp:inline distT="0" distB="0" distL="0" distR="0" wp14:anchorId="4CB77B6E" wp14:editId="3607051A">
            <wp:extent cx="5114925" cy="2249912"/>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5116415" cy="2250568"/>
                    </a:xfrm>
                    <a:prstGeom prst="rect">
                      <a:avLst/>
                    </a:prstGeom>
                    <a:noFill/>
                  </pic:spPr>
                </pic:pic>
              </a:graphicData>
            </a:graphic>
          </wp:inline>
        </w:drawing>
      </w:r>
    </w:p>
    <w:p w14:paraId="56E5E451" w14:textId="77777777" w:rsidR="00302E2E" w:rsidRDefault="00932EB1" w:rsidP="0091793B">
      <w:pPr>
        <w:spacing w:line="360" w:lineRule="auto"/>
      </w:pPr>
      <w:bookmarkStart w:id="70" w:name="_Toc416993490"/>
      <w:r>
        <w:t xml:space="preserve">Figure </w:t>
      </w:r>
      <w:fldSimple w:instr=" SEQ Figure \* ARABIC ">
        <w:r w:rsidR="00F3244B">
          <w:rPr>
            <w:noProof/>
          </w:rPr>
          <w:t>51</w:t>
        </w:r>
      </w:fldSimple>
      <w:r>
        <w:t xml:space="preserve">: </w:t>
      </w:r>
      <w:r w:rsidRPr="00E40F0F">
        <w:t xml:space="preserve">Equilibrium core exposure values for Zircaloy </w:t>
      </w:r>
      <w:r w:rsidR="00C13A66">
        <w:t>base case</w:t>
      </w:r>
      <w:r w:rsidRPr="00E40F0F">
        <w:t xml:space="preserve"> model</w:t>
      </w:r>
      <w:bookmarkEnd w:id="70"/>
    </w:p>
    <w:p w14:paraId="4C74E5DF" w14:textId="77777777" w:rsidR="0058760F" w:rsidRDefault="0058760F" w:rsidP="0091793B">
      <w:pPr>
        <w:spacing w:line="360" w:lineRule="auto"/>
        <w:rPr>
          <w:rFonts w:cs="Times New Roman"/>
          <w:szCs w:val="24"/>
        </w:rPr>
      </w:pPr>
    </w:p>
    <w:p w14:paraId="3BA36BD0" w14:textId="77777777" w:rsidR="009A5AB8" w:rsidRDefault="00597177" w:rsidP="0091793B">
      <w:pPr>
        <w:spacing w:line="360" w:lineRule="auto"/>
        <w:jc w:val="both"/>
        <w:rPr>
          <w:rFonts w:cs="Times New Roman"/>
          <w:szCs w:val="24"/>
        </w:rPr>
      </w:pPr>
      <w:r>
        <w:rPr>
          <w:rFonts w:cs="Times New Roman"/>
          <w:szCs w:val="24"/>
        </w:rPr>
        <w:t>Th</w:t>
      </w:r>
      <w:r w:rsidR="007B12B5">
        <w:rPr>
          <w:rFonts w:cs="Times New Roman"/>
          <w:szCs w:val="24"/>
        </w:rPr>
        <w:t>e fresh feed assembly in cell B6</w:t>
      </w:r>
      <w:r>
        <w:rPr>
          <w:rFonts w:cs="Times New Roman"/>
          <w:szCs w:val="24"/>
        </w:rPr>
        <w:t xml:space="preserve"> contained the hottest RPF throughout the 12.8 GWd/MTU depletion cycle. Since the EOC burnup for that assembly was </w:t>
      </w:r>
      <w:r w:rsidR="008A6484">
        <w:rPr>
          <w:rFonts w:cs="Times New Roman"/>
          <w:szCs w:val="24"/>
        </w:rPr>
        <w:t>17</w:t>
      </w:r>
      <w:r>
        <w:rPr>
          <w:rFonts w:cs="Times New Roman"/>
          <w:szCs w:val="24"/>
        </w:rPr>
        <w:t xml:space="preserve"> GWd/MTU, it was assume</w:t>
      </w:r>
      <w:r w:rsidR="007B12B5">
        <w:rPr>
          <w:rFonts w:cs="Times New Roman"/>
          <w:szCs w:val="24"/>
        </w:rPr>
        <w:t>d that it would move to cell J2</w:t>
      </w:r>
      <w:r>
        <w:rPr>
          <w:rFonts w:cs="Times New Roman"/>
          <w:szCs w:val="24"/>
        </w:rPr>
        <w:t xml:space="preserve"> the following cy</w:t>
      </w:r>
      <w:r w:rsidR="009C05B6">
        <w:rPr>
          <w:rFonts w:cs="Times New Roman"/>
          <w:szCs w:val="24"/>
        </w:rPr>
        <w:t>cle. As</w:t>
      </w:r>
      <w:r w:rsidR="007B12B5">
        <w:rPr>
          <w:rFonts w:cs="Times New Roman"/>
          <w:szCs w:val="24"/>
        </w:rPr>
        <w:t xml:space="preserve"> the EOC</w:t>
      </w:r>
      <w:r w:rsidR="008A6484">
        <w:rPr>
          <w:rFonts w:cs="Times New Roman"/>
          <w:szCs w:val="24"/>
        </w:rPr>
        <w:t xml:space="preserve"> burnup for assembly J2 was 29 GWd/MTU</w:t>
      </w:r>
      <w:r w:rsidR="009C05B6">
        <w:rPr>
          <w:rFonts w:cs="Times New Roman"/>
          <w:szCs w:val="24"/>
        </w:rPr>
        <w:t>, the bundle wa</w:t>
      </w:r>
      <w:r w:rsidR="008A6484">
        <w:rPr>
          <w:rFonts w:cs="Times New Roman"/>
          <w:szCs w:val="24"/>
        </w:rPr>
        <w:t>s assumed to move to location A6</w:t>
      </w:r>
      <w:r w:rsidR="009C05B6">
        <w:rPr>
          <w:rFonts w:cs="Times New Roman"/>
          <w:szCs w:val="24"/>
        </w:rPr>
        <w:t xml:space="preserve">. Therefore, the RPF values for these assemblies were gathered at each axial node in the reactor </w:t>
      </w:r>
      <w:r w:rsidR="00302E2E">
        <w:rPr>
          <w:rFonts w:cs="Times New Roman"/>
          <w:szCs w:val="24"/>
        </w:rPr>
        <w:t>f</w:t>
      </w:r>
      <w:r w:rsidR="007B12B5">
        <w:rPr>
          <w:rFonts w:cs="Times New Roman"/>
          <w:szCs w:val="24"/>
        </w:rPr>
        <w:t>rom birth t</w:t>
      </w:r>
      <w:r w:rsidR="008A6484">
        <w:rPr>
          <w:rFonts w:cs="Times New Roman"/>
          <w:szCs w:val="24"/>
        </w:rPr>
        <w:t>o an exposure of 43</w:t>
      </w:r>
      <w:r w:rsidR="00302E2E">
        <w:rPr>
          <w:rFonts w:cs="Times New Roman"/>
          <w:szCs w:val="24"/>
        </w:rPr>
        <w:t xml:space="preserve"> GWd/MTU</w:t>
      </w:r>
      <w:r w:rsidR="009C05B6">
        <w:rPr>
          <w:rFonts w:cs="Times New Roman"/>
          <w:szCs w:val="24"/>
        </w:rPr>
        <w:t>.</w:t>
      </w:r>
      <w:r w:rsidR="005E4A2C">
        <w:rPr>
          <w:rFonts w:cs="Times New Roman"/>
          <w:szCs w:val="24"/>
        </w:rPr>
        <w:t xml:space="preserve"> Transitioning to the lattice physics results, </w:t>
      </w:r>
      <w:r w:rsidR="00812D95">
        <w:rPr>
          <w:rFonts w:cs="Times New Roman"/>
          <w:szCs w:val="24"/>
        </w:rPr>
        <w:t>Figure 52</w:t>
      </w:r>
      <w:r w:rsidR="005E4A2C">
        <w:rPr>
          <w:rFonts w:cs="Times New Roman"/>
          <w:szCs w:val="24"/>
        </w:rPr>
        <w:t xml:space="preserve"> displays the </w:t>
      </w:r>
      <w:r w:rsidR="00812D95">
        <w:rPr>
          <w:rFonts w:cs="Times New Roman"/>
          <w:szCs w:val="24"/>
        </w:rPr>
        <w:t>10 × 10</w:t>
      </w:r>
      <w:r w:rsidR="005E4A2C">
        <w:rPr>
          <w:rFonts w:cs="Times New Roman"/>
          <w:szCs w:val="24"/>
        </w:rPr>
        <w:t xml:space="preserve"> array of fuel pins at BOL with their respective relat</w:t>
      </w:r>
      <w:r w:rsidR="007B12B5">
        <w:rPr>
          <w:rFonts w:cs="Times New Roman"/>
          <w:szCs w:val="24"/>
        </w:rPr>
        <w:t>ive peaking factors.</w:t>
      </w:r>
    </w:p>
    <w:p w14:paraId="3C829A98" w14:textId="6C5F66E1" w:rsidR="00572964" w:rsidRDefault="00A41304" w:rsidP="0091793B">
      <w:pPr>
        <w:spacing w:line="360" w:lineRule="auto"/>
        <w:jc w:val="both"/>
        <w:rPr>
          <w:rFonts w:cs="Times New Roman"/>
          <w:szCs w:val="24"/>
        </w:rPr>
      </w:pPr>
      <w:r>
        <w:rPr>
          <w:rFonts w:cs="Times New Roman"/>
          <w:szCs w:val="24"/>
        </w:rPr>
        <w:t>The hottest burning pin from the 10 × 10 array produced a RPF of 1.48 in relation to 92 pins in the lattice. As the array is symmetric across the diagonal center, only the bottom half was outputted. By fitting the RPFs to the hottest burning pin cell throughout the lattice physics depletion output, the hottest fuel rod was determined. Back-calculating the power of each node according to the 1910 MW core, the linear heat rate for the entire lifetime of the limiting pin was determined and exported into BISON-CASL. This method was done for case 1 and case 2 of the FeCrAl core designs as well. Each of the RPFs throughout the CASMO depletion was interpolated to match the burnup values of the full-core depletion sequence. Figure 53 displays the linear heat rates as a function of axial height. Although LHRs were recorded for at every time step, the figure tracks the power history of assembly B6 at BOL, MOL and EOL.</w:t>
      </w:r>
    </w:p>
    <w:tbl>
      <w:tblPr>
        <w:tblW w:w="0" w:type="auto"/>
        <w:jc w:val="center"/>
        <w:tblLook w:val="04A0" w:firstRow="1" w:lastRow="0" w:firstColumn="1" w:lastColumn="0" w:noHBand="0" w:noVBand="1"/>
      </w:tblPr>
      <w:tblGrid>
        <w:gridCol w:w="636"/>
        <w:gridCol w:w="636"/>
        <w:gridCol w:w="636"/>
        <w:gridCol w:w="636"/>
        <w:gridCol w:w="636"/>
        <w:gridCol w:w="636"/>
        <w:gridCol w:w="636"/>
        <w:gridCol w:w="636"/>
        <w:gridCol w:w="636"/>
        <w:gridCol w:w="636"/>
      </w:tblGrid>
      <w:tr w:rsidR="0054081B" w:rsidRPr="0054081B" w14:paraId="39720A37" w14:textId="77777777" w:rsidTr="00AE0914">
        <w:trPr>
          <w:trHeight w:val="414"/>
          <w:jc w:val="center"/>
        </w:trPr>
        <w:tc>
          <w:tcPr>
            <w:tcW w:w="0" w:type="auto"/>
            <w:tcBorders>
              <w:top w:val="nil"/>
              <w:left w:val="nil"/>
              <w:bottom w:val="nil"/>
              <w:right w:val="nil"/>
            </w:tcBorders>
            <w:shd w:val="clear" w:color="000000" w:fill="FBBBBE"/>
            <w:noWrap/>
            <w:vAlign w:val="bottom"/>
            <w:hideMark/>
          </w:tcPr>
          <w:p w14:paraId="7971899D"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lastRenderedPageBreak/>
              <w:t>1.23</w:t>
            </w:r>
          </w:p>
        </w:tc>
        <w:tc>
          <w:tcPr>
            <w:tcW w:w="0" w:type="auto"/>
            <w:tcBorders>
              <w:top w:val="nil"/>
              <w:left w:val="nil"/>
              <w:bottom w:val="nil"/>
              <w:right w:val="nil"/>
            </w:tcBorders>
            <w:shd w:val="clear" w:color="auto" w:fill="auto"/>
            <w:noWrap/>
            <w:vAlign w:val="bottom"/>
            <w:hideMark/>
          </w:tcPr>
          <w:p w14:paraId="13B9486B"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461BF86D"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3A165958"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066E6674"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545D2FAE"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15FB0140"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596BC253"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160ACE56"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379A6719" w14:textId="77777777" w:rsidR="0054081B" w:rsidRPr="0054081B" w:rsidRDefault="0054081B" w:rsidP="00AE0914">
            <w:pPr>
              <w:spacing w:after="0" w:line="360" w:lineRule="auto"/>
              <w:rPr>
                <w:rFonts w:ascii="Calibri" w:eastAsia="Times New Roman" w:hAnsi="Calibri" w:cs="Times New Roman"/>
                <w:color w:val="000000"/>
                <w:sz w:val="22"/>
              </w:rPr>
            </w:pPr>
          </w:p>
        </w:tc>
      </w:tr>
      <w:tr w:rsidR="0054081B" w:rsidRPr="0054081B" w14:paraId="5DCCD71C" w14:textId="77777777" w:rsidTr="00AE0914">
        <w:trPr>
          <w:trHeight w:val="414"/>
          <w:jc w:val="center"/>
        </w:trPr>
        <w:tc>
          <w:tcPr>
            <w:tcW w:w="0" w:type="auto"/>
            <w:tcBorders>
              <w:top w:val="nil"/>
              <w:left w:val="nil"/>
              <w:bottom w:val="nil"/>
              <w:right w:val="nil"/>
            </w:tcBorders>
            <w:shd w:val="clear" w:color="000000" w:fill="FA9B9D"/>
            <w:noWrap/>
            <w:vAlign w:val="bottom"/>
            <w:hideMark/>
          </w:tcPr>
          <w:p w14:paraId="66FEBB8A"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1.33</w:t>
            </w:r>
          </w:p>
        </w:tc>
        <w:tc>
          <w:tcPr>
            <w:tcW w:w="0" w:type="auto"/>
            <w:tcBorders>
              <w:top w:val="nil"/>
              <w:left w:val="nil"/>
              <w:bottom w:val="nil"/>
              <w:right w:val="nil"/>
            </w:tcBorders>
            <w:shd w:val="clear" w:color="000000" w:fill="F97477"/>
            <w:noWrap/>
            <w:vAlign w:val="bottom"/>
            <w:hideMark/>
          </w:tcPr>
          <w:p w14:paraId="556D9BFC"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1.45</w:t>
            </w:r>
          </w:p>
        </w:tc>
        <w:tc>
          <w:tcPr>
            <w:tcW w:w="0" w:type="auto"/>
            <w:tcBorders>
              <w:top w:val="nil"/>
              <w:left w:val="nil"/>
              <w:bottom w:val="nil"/>
              <w:right w:val="nil"/>
            </w:tcBorders>
            <w:shd w:val="clear" w:color="auto" w:fill="auto"/>
            <w:noWrap/>
            <w:vAlign w:val="bottom"/>
            <w:hideMark/>
          </w:tcPr>
          <w:p w14:paraId="6906003D"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2644215E"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1EC0DAA2"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67903744"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22A5114F"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3195C2DD"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596176D8"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0B191F27" w14:textId="77777777" w:rsidR="0054081B" w:rsidRPr="0054081B" w:rsidRDefault="0054081B" w:rsidP="00AE0914">
            <w:pPr>
              <w:spacing w:after="0" w:line="360" w:lineRule="auto"/>
              <w:rPr>
                <w:rFonts w:ascii="Calibri" w:eastAsia="Times New Roman" w:hAnsi="Calibri" w:cs="Times New Roman"/>
                <w:color w:val="000000"/>
                <w:sz w:val="22"/>
              </w:rPr>
            </w:pPr>
          </w:p>
        </w:tc>
      </w:tr>
      <w:tr w:rsidR="0054081B" w:rsidRPr="0054081B" w14:paraId="5F07C50C" w14:textId="77777777" w:rsidTr="00AE0914">
        <w:trPr>
          <w:trHeight w:val="414"/>
          <w:jc w:val="center"/>
        </w:trPr>
        <w:tc>
          <w:tcPr>
            <w:tcW w:w="0" w:type="auto"/>
            <w:tcBorders>
              <w:top w:val="nil"/>
              <w:left w:val="nil"/>
              <w:bottom w:val="nil"/>
              <w:right w:val="nil"/>
            </w:tcBorders>
            <w:shd w:val="clear" w:color="000000" w:fill="F98587"/>
            <w:noWrap/>
            <w:vAlign w:val="bottom"/>
            <w:hideMark/>
          </w:tcPr>
          <w:p w14:paraId="16653301"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1.39</w:t>
            </w:r>
          </w:p>
        </w:tc>
        <w:tc>
          <w:tcPr>
            <w:tcW w:w="0" w:type="auto"/>
            <w:tcBorders>
              <w:top w:val="nil"/>
              <w:left w:val="nil"/>
              <w:bottom w:val="nil"/>
              <w:right w:val="nil"/>
            </w:tcBorders>
            <w:shd w:val="clear" w:color="000000" w:fill="FCEAED"/>
            <w:noWrap/>
            <w:vAlign w:val="bottom"/>
            <w:hideMark/>
          </w:tcPr>
          <w:p w14:paraId="43625B12"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1.08</w:t>
            </w:r>
          </w:p>
        </w:tc>
        <w:tc>
          <w:tcPr>
            <w:tcW w:w="0" w:type="auto"/>
            <w:tcBorders>
              <w:top w:val="nil"/>
              <w:left w:val="nil"/>
              <w:bottom w:val="nil"/>
              <w:right w:val="nil"/>
            </w:tcBorders>
            <w:shd w:val="clear" w:color="000000" w:fill="9AB7DC"/>
            <w:noWrap/>
            <w:vAlign w:val="bottom"/>
            <w:hideMark/>
          </w:tcPr>
          <w:p w14:paraId="2F4C93BD"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0.40</w:t>
            </w:r>
          </w:p>
        </w:tc>
        <w:tc>
          <w:tcPr>
            <w:tcW w:w="0" w:type="auto"/>
            <w:tcBorders>
              <w:top w:val="nil"/>
              <w:left w:val="nil"/>
              <w:bottom w:val="nil"/>
              <w:right w:val="nil"/>
            </w:tcBorders>
            <w:shd w:val="clear" w:color="auto" w:fill="auto"/>
            <w:noWrap/>
            <w:vAlign w:val="bottom"/>
            <w:hideMark/>
          </w:tcPr>
          <w:p w14:paraId="27CC771A"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6A01F82F"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689B17CF"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20ED6041"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4D926159"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03AD74F8"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306CF535" w14:textId="77777777" w:rsidR="0054081B" w:rsidRPr="0054081B" w:rsidRDefault="0054081B" w:rsidP="00AE0914">
            <w:pPr>
              <w:spacing w:after="0" w:line="360" w:lineRule="auto"/>
              <w:rPr>
                <w:rFonts w:ascii="Calibri" w:eastAsia="Times New Roman" w:hAnsi="Calibri" w:cs="Times New Roman"/>
                <w:color w:val="000000"/>
                <w:sz w:val="22"/>
              </w:rPr>
            </w:pPr>
          </w:p>
        </w:tc>
      </w:tr>
      <w:tr w:rsidR="0054081B" w:rsidRPr="0054081B" w14:paraId="487398D8" w14:textId="77777777" w:rsidTr="00AE0914">
        <w:trPr>
          <w:trHeight w:val="414"/>
          <w:jc w:val="center"/>
        </w:trPr>
        <w:tc>
          <w:tcPr>
            <w:tcW w:w="0" w:type="auto"/>
            <w:tcBorders>
              <w:top w:val="single" w:sz="8" w:space="0" w:color="auto"/>
              <w:left w:val="single" w:sz="8" w:space="0" w:color="auto"/>
              <w:bottom w:val="single" w:sz="8" w:space="0" w:color="auto"/>
              <w:right w:val="single" w:sz="8" w:space="0" w:color="auto"/>
            </w:tcBorders>
            <w:shd w:val="clear" w:color="000000" w:fill="F8696B"/>
            <w:noWrap/>
            <w:vAlign w:val="bottom"/>
            <w:hideMark/>
          </w:tcPr>
          <w:p w14:paraId="481F528C"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1.48</w:t>
            </w:r>
          </w:p>
        </w:tc>
        <w:tc>
          <w:tcPr>
            <w:tcW w:w="0" w:type="auto"/>
            <w:tcBorders>
              <w:top w:val="nil"/>
              <w:left w:val="nil"/>
              <w:bottom w:val="nil"/>
              <w:right w:val="nil"/>
            </w:tcBorders>
            <w:shd w:val="clear" w:color="000000" w:fill="FBD6D9"/>
            <w:noWrap/>
            <w:vAlign w:val="bottom"/>
            <w:hideMark/>
          </w:tcPr>
          <w:p w14:paraId="74AEA1FE"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1.14</w:t>
            </w:r>
          </w:p>
        </w:tc>
        <w:tc>
          <w:tcPr>
            <w:tcW w:w="0" w:type="auto"/>
            <w:tcBorders>
              <w:top w:val="nil"/>
              <w:left w:val="nil"/>
              <w:bottom w:val="nil"/>
              <w:right w:val="nil"/>
            </w:tcBorders>
            <w:shd w:val="clear" w:color="000000" w:fill="CDDAEE"/>
            <w:noWrap/>
            <w:vAlign w:val="bottom"/>
            <w:hideMark/>
          </w:tcPr>
          <w:p w14:paraId="6A898502"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0.73</w:t>
            </w:r>
          </w:p>
        </w:tc>
        <w:tc>
          <w:tcPr>
            <w:tcW w:w="0" w:type="auto"/>
            <w:tcBorders>
              <w:top w:val="nil"/>
              <w:left w:val="nil"/>
              <w:bottom w:val="nil"/>
              <w:right w:val="nil"/>
            </w:tcBorders>
            <w:shd w:val="clear" w:color="000000" w:fill="A1BBDE"/>
            <w:noWrap/>
            <w:vAlign w:val="bottom"/>
            <w:hideMark/>
          </w:tcPr>
          <w:p w14:paraId="38C081C2"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0.45</w:t>
            </w:r>
          </w:p>
        </w:tc>
        <w:tc>
          <w:tcPr>
            <w:tcW w:w="0" w:type="auto"/>
            <w:tcBorders>
              <w:top w:val="nil"/>
              <w:left w:val="nil"/>
              <w:bottom w:val="nil"/>
              <w:right w:val="nil"/>
            </w:tcBorders>
            <w:shd w:val="clear" w:color="auto" w:fill="auto"/>
            <w:noWrap/>
            <w:vAlign w:val="bottom"/>
            <w:hideMark/>
          </w:tcPr>
          <w:p w14:paraId="4C3EB5C2"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1CCFBBDB"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68667502"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3DA3AD43"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4B3AAD85"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251F9A6A" w14:textId="77777777" w:rsidR="0054081B" w:rsidRPr="0054081B" w:rsidRDefault="0054081B" w:rsidP="00AE0914">
            <w:pPr>
              <w:spacing w:after="0" w:line="360" w:lineRule="auto"/>
              <w:rPr>
                <w:rFonts w:ascii="Calibri" w:eastAsia="Times New Roman" w:hAnsi="Calibri" w:cs="Times New Roman"/>
                <w:color w:val="000000"/>
                <w:sz w:val="22"/>
              </w:rPr>
            </w:pPr>
          </w:p>
        </w:tc>
      </w:tr>
      <w:tr w:rsidR="0054081B" w:rsidRPr="0054081B" w14:paraId="66BA2728" w14:textId="77777777" w:rsidTr="00AE0914">
        <w:trPr>
          <w:trHeight w:val="414"/>
          <w:jc w:val="center"/>
        </w:trPr>
        <w:tc>
          <w:tcPr>
            <w:tcW w:w="0" w:type="auto"/>
            <w:tcBorders>
              <w:top w:val="nil"/>
              <w:left w:val="nil"/>
              <w:bottom w:val="nil"/>
              <w:right w:val="nil"/>
            </w:tcBorders>
            <w:shd w:val="clear" w:color="000000" w:fill="F97B7D"/>
            <w:noWrap/>
            <w:vAlign w:val="bottom"/>
            <w:hideMark/>
          </w:tcPr>
          <w:p w14:paraId="15BB6320"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1.43</w:t>
            </w:r>
          </w:p>
        </w:tc>
        <w:tc>
          <w:tcPr>
            <w:tcW w:w="0" w:type="auto"/>
            <w:tcBorders>
              <w:top w:val="nil"/>
              <w:left w:val="nil"/>
              <w:bottom w:val="nil"/>
              <w:right w:val="nil"/>
            </w:tcBorders>
            <w:shd w:val="clear" w:color="000000" w:fill="F0F3FA"/>
            <w:noWrap/>
            <w:vAlign w:val="bottom"/>
            <w:hideMark/>
          </w:tcPr>
          <w:p w14:paraId="50D66F22"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0.95</w:t>
            </w:r>
          </w:p>
        </w:tc>
        <w:tc>
          <w:tcPr>
            <w:tcW w:w="0" w:type="auto"/>
            <w:tcBorders>
              <w:top w:val="nil"/>
              <w:left w:val="nil"/>
              <w:bottom w:val="nil"/>
              <w:right w:val="nil"/>
            </w:tcBorders>
            <w:shd w:val="clear" w:color="000000" w:fill="98B6DC"/>
            <w:noWrap/>
            <w:vAlign w:val="bottom"/>
            <w:hideMark/>
          </w:tcPr>
          <w:p w14:paraId="4D724125"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0.40</w:t>
            </w:r>
          </w:p>
        </w:tc>
        <w:tc>
          <w:tcPr>
            <w:tcW w:w="0" w:type="auto"/>
            <w:tcBorders>
              <w:top w:val="nil"/>
              <w:left w:val="nil"/>
              <w:bottom w:val="nil"/>
              <w:right w:val="nil"/>
            </w:tcBorders>
            <w:shd w:val="clear" w:color="000000" w:fill="F1F4FB"/>
            <w:noWrap/>
            <w:vAlign w:val="bottom"/>
            <w:hideMark/>
          </w:tcPr>
          <w:p w14:paraId="333A0175"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0.96</w:t>
            </w:r>
          </w:p>
        </w:tc>
        <w:tc>
          <w:tcPr>
            <w:tcW w:w="0" w:type="auto"/>
            <w:tcBorders>
              <w:top w:val="nil"/>
              <w:left w:val="nil"/>
              <w:bottom w:val="nil"/>
              <w:right w:val="nil"/>
            </w:tcBorders>
            <w:shd w:val="clear" w:color="000000" w:fill="FCF7FA"/>
            <w:noWrap/>
            <w:vAlign w:val="bottom"/>
            <w:hideMark/>
          </w:tcPr>
          <w:p w14:paraId="5356B740"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1.04</w:t>
            </w:r>
          </w:p>
        </w:tc>
        <w:tc>
          <w:tcPr>
            <w:tcW w:w="0" w:type="auto"/>
            <w:tcBorders>
              <w:top w:val="nil"/>
              <w:left w:val="nil"/>
              <w:bottom w:val="nil"/>
              <w:right w:val="nil"/>
            </w:tcBorders>
            <w:shd w:val="clear" w:color="auto" w:fill="auto"/>
            <w:noWrap/>
            <w:vAlign w:val="bottom"/>
            <w:hideMark/>
          </w:tcPr>
          <w:p w14:paraId="40C0F29C"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452814C7"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2DB1E26C"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1C4811B1"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13DB7F95" w14:textId="77777777" w:rsidR="0054081B" w:rsidRPr="0054081B" w:rsidRDefault="0054081B" w:rsidP="00AE0914">
            <w:pPr>
              <w:spacing w:after="0" w:line="360" w:lineRule="auto"/>
              <w:rPr>
                <w:rFonts w:ascii="Calibri" w:eastAsia="Times New Roman" w:hAnsi="Calibri" w:cs="Times New Roman"/>
                <w:color w:val="000000"/>
                <w:sz w:val="22"/>
              </w:rPr>
            </w:pPr>
          </w:p>
        </w:tc>
      </w:tr>
      <w:tr w:rsidR="0054081B" w:rsidRPr="0054081B" w14:paraId="5598E15F" w14:textId="77777777" w:rsidTr="00AE0914">
        <w:trPr>
          <w:trHeight w:val="414"/>
          <w:jc w:val="center"/>
        </w:trPr>
        <w:tc>
          <w:tcPr>
            <w:tcW w:w="0" w:type="auto"/>
            <w:tcBorders>
              <w:top w:val="nil"/>
              <w:left w:val="nil"/>
              <w:bottom w:val="nil"/>
              <w:right w:val="nil"/>
            </w:tcBorders>
            <w:shd w:val="clear" w:color="000000" w:fill="F9787A"/>
            <w:noWrap/>
            <w:vAlign w:val="bottom"/>
            <w:hideMark/>
          </w:tcPr>
          <w:p w14:paraId="0E7D13EF"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1.43</w:t>
            </w:r>
          </w:p>
        </w:tc>
        <w:tc>
          <w:tcPr>
            <w:tcW w:w="0" w:type="auto"/>
            <w:tcBorders>
              <w:top w:val="nil"/>
              <w:left w:val="nil"/>
              <w:bottom w:val="nil"/>
              <w:right w:val="nil"/>
            </w:tcBorders>
            <w:shd w:val="clear" w:color="000000" w:fill="F7F8FD"/>
            <w:noWrap/>
            <w:vAlign w:val="bottom"/>
            <w:hideMark/>
          </w:tcPr>
          <w:p w14:paraId="6F72689A"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0.99</w:t>
            </w:r>
          </w:p>
        </w:tc>
        <w:tc>
          <w:tcPr>
            <w:tcW w:w="0" w:type="auto"/>
            <w:tcBorders>
              <w:top w:val="nil"/>
              <w:left w:val="nil"/>
              <w:bottom w:val="nil"/>
              <w:right w:val="nil"/>
            </w:tcBorders>
            <w:shd w:val="clear" w:color="000000" w:fill="FCF0F3"/>
            <w:noWrap/>
            <w:vAlign w:val="bottom"/>
            <w:hideMark/>
          </w:tcPr>
          <w:p w14:paraId="1323BF4E"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1.06</w:t>
            </w:r>
          </w:p>
        </w:tc>
        <w:tc>
          <w:tcPr>
            <w:tcW w:w="0" w:type="auto"/>
            <w:tcBorders>
              <w:top w:val="nil"/>
              <w:left w:val="nil"/>
              <w:bottom w:val="nil"/>
              <w:right w:val="nil"/>
            </w:tcBorders>
            <w:shd w:val="clear" w:color="000000" w:fill="5A8AC6"/>
            <w:noWrap/>
            <w:vAlign w:val="bottom"/>
            <w:hideMark/>
          </w:tcPr>
          <w:p w14:paraId="5D6EC16A" w14:textId="77777777" w:rsidR="0054081B" w:rsidRPr="0054081B" w:rsidRDefault="0054081B" w:rsidP="00AE0914">
            <w:pPr>
              <w:spacing w:after="0" w:line="360" w:lineRule="auto"/>
              <w:rPr>
                <w:rFonts w:eastAsia="Times New Roman" w:cs="Times New Roman"/>
                <w:color w:val="000000"/>
                <w:szCs w:val="24"/>
              </w:rPr>
            </w:pPr>
          </w:p>
        </w:tc>
        <w:tc>
          <w:tcPr>
            <w:tcW w:w="0" w:type="auto"/>
            <w:tcBorders>
              <w:top w:val="nil"/>
              <w:left w:val="nil"/>
              <w:bottom w:val="nil"/>
              <w:right w:val="nil"/>
            </w:tcBorders>
            <w:shd w:val="clear" w:color="000000" w:fill="5A8AC6"/>
            <w:noWrap/>
            <w:vAlign w:val="bottom"/>
            <w:hideMark/>
          </w:tcPr>
          <w:p w14:paraId="7CFEF48B" w14:textId="77777777" w:rsidR="0054081B" w:rsidRPr="0054081B" w:rsidRDefault="0054081B" w:rsidP="00AE0914">
            <w:pPr>
              <w:spacing w:after="0" w:line="360" w:lineRule="auto"/>
              <w:rPr>
                <w:rFonts w:eastAsia="Times New Roman" w:cs="Times New Roman"/>
                <w:color w:val="000000"/>
                <w:szCs w:val="24"/>
              </w:rPr>
            </w:pPr>
          </w:p>
        </w:tc>
        <w:tc>
          <w:tcPr>
            <w:tcW w:w="0" w:type="auto"/>
            <w:tcBorders>
              <w:top w:val="nil"/>
              <w:left w:val="nil"/>
              <w:bottom w:val="nil"/>
              <w:right w:val="nil"/>
            </w:tcBorders>
            <w:shd w:val="clear" w:color="000000" w:fill="FCFCFF"/>
            <w:noWrap/>
            <w:vAlign w:val="bottom"/>
            <w:hideMark/>
          </w:tcPr>
          <w:p w14:paraId="5BF86E0F"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1.02</w:t>
            </w:r>
          </w:p>
        </w:tc>
        <w:tc>
          <w:tcPr>
            <w:tcW w:w="0" w:type="auto"/>
            <w:tcBorders>
              <w:top w:val="nil"/>
              <w:left w:val="nil"/>
              <w:bottom w:val="nil"/>
              <w:right w:val="nil"/>
            </w:tcBorders>
            <w:shd w:val="clear" w:color="auto" w:fill="auto"/>
            <w:noWrap/>
            <w:vAlign w:val="bottom"/>
            <w:hideMark/>
          </w:tcPr>
          <w:p w14:paraId="64A30F23"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5E889BD0"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39CE5C32"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3CB3B7A4" w14:textId="77777777" w:rsidR="0054081B" w:rsidRPr="0054081B" w:rsidRDefault="0054081B" w:rsidP="00AE0914">
            <w:pPr>
              <w:spacing w:after="0" w:line="360" w:lineRule="auto"/>
              <w:rPr>
                <w:rFonts w:ascii="Calibri" w:eastAsia="Times New Roman" w:hAnsi="Calibri" w:cs="Times New Roman"/>
                <w:color w:val="000000"/>
                <w:sz w:val="22"/>
              </w:rPr>
            </w:pPr>
          </w:p>
        </w:tc>
      </w:tr>
      <w:tr w:rsidR="0054081B" w:rsidRPr="0054081B" w14:paraId="6C64D168" w14:textId="77777777" w:rsidTr="00AE0914">
        <w:trPr>
          <w:trHeight w:val="414"/>
          <w:jc w:val="center"/>
        </w:trPr>
        <w:tc>
          <w:tcPr>
            <w:tcW w:w="0" w:type="auto"/>
            <w:tcBorders>
              <w:top w:val="nil"/>
              <w:left w:val="nil"/>
              <w:bottom w:val="nil"/>
              <w:right w:val="nil"/>
            </w:tcBorders>
            <w:shd w:val="clear" w:color="000000" w:fill="F98E90"/>
            <w:noWrap/>
            <w:vAlign w:val="bottom"/>
            <w:hideMark/>
          </w:tcPr>
          <w:p w14:paraId="650AEEB3"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1.37</w:t>
            </w:r>
          </w:p>
        </w:tc>
        <w:tc>
          <w:tcPr>
            <w:tcW w:w="0" w:type="auto"/>
            <w:tcBorders>
              <w:top w:val="nil"/>
              <w:left w:val="nil"/>
              <w:bottom w:val="nil"/>
              <w:right w:val="nil"/>
            </w:tcBorders>
            <w:shd w:val="clear" w:color="000000" w:fill="FBC2C4"/>
            <w:noWrap/>
            <w:vAlign w:val="bottom"/>
            <w:hideMark/>
          </w:tcPr>
          <w:p w14:paraId="6F742629"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1.21</w:t>
            </w:r>
          </w:p>
        </w:tc>
        <w:tc>
          <w:tcPr>
            <w:tcW w:w="0" w:type="auto"/>
            <w:tcBorders>
              <w:top w:val="nil"/>
              <w:left w:val="nil"/>
              <w:bottom w:val="nil"/>
              <w:right w:val="nil"/>
            </w:tcBorders>
            <w:shd w:val="clear" w:color="000000" w:fill="F6F8FD"/>
            <w:noWrap/>
            <w:vAlign w:val="bottom"/>
            <w:hideMark/>
          </w:tcPr>
          <w:p w14:paraId="55E8EAA1"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0.99</w:t>
            </w:r>
          </w:p>
        </w:tc>
        <w:tc>
          <w:tcPr>
            <w:tcW w:w="0" w:type="auto"/>
            <w:tcBorders>
              <w:top w:val="nil"/>
              <w:left w:val="nil"/>
              <w:bottom w:val="nil"/>
              <w:right w:val="nil"/>
            </w:tcBorders>
            <w:shd w:val="clear" w:color="000000" w:fill="5A8AC6"/>
            <w:noWrap/>
            <w:vAlign w:val="bottom"/>
            <w:hideMark/>
          </w:tcPr>
          <w:p w14:paraId="637E0684" w14:textId="77777777" w:rsidR="0054081B" w:rsidRPr="0054081B" w:rsidRDefault="0054081B" w:rsidP="00AE0914">
            <w:pPr>
              <w:spacing w:after="0" w:line="360" w:lineRule="auto"/>
              <w:rPr>
                <w:rFonts w:eastAsia="Times New Roman" w:cs="Times New Roman"/>
                <w:color w:val="000000"/>
                <w:szCs w:val="24"/>
              </w:rPr>
            </w:pPr>
          </w:p>
        </w:tc>
        <w:tc>
          <w:tcPr>
            <w:tcW w:w="0" w:type="auto"/>
            <w:tcBorders>
              <w:top w:val="nil"/>
              <w:left w:val="nil"/>
              <w:bottom w:val="nil"/>
              <w:right w:val="nil"/>
            </w:tcBorders>
            <w:shd w:val="clear" w:color="000000" w:fill="5A8AC6"/>
            <w:noWrap/>
            <w:vAlign w:val="bottom"/>
            <w:hideMark/>
          </w:tcPr>
          <w:p w14:paraId="74CCE299" w14:textId="77777777" w:rsidR="0054081B" w:rsidRPr="0054081B" w:rsidRDefault="0054081B" w:rsidP="00AE0914">
            <w:pPr>
              <w:spacing w:after="0" w:line="360" w:lineRule="auto"/>
              <w:rPr>
                <w:rFonts w:eastAsia="Times New Roman" w:cs="Times New Roman"/>
                <w:color w:val="000000"/>
                <w:szCs w:val="24"/>
              </w:rPr>
            </w:pPr>
          </w:p>
        </w:tc>
        <w:tc>
          <w:tcPr>
            <w:tcW w:w="0" w:type="auto"/>
            <w:tcBorders>
              <w:top w:val="nil"/>
              <w:left w:val="nil"/>
              <w:bottom w:val="nil"/>
              <w:right w:val="nil"/>
            </w:tcBorders>
            <w:shd w:val="clear" w:color="000000" w:fill="E2EAF6"/>
            <w:noWrap/>
            <w:vAlign w:val="bottom"/>
            <w:hideMark/>
          </w:tcPr>
          <w:p w14:paraId="731DEFF4"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0.86</w:t>
            </w:r>
          </w:p>
        </w:tc>
        <w:tc>
          <w:tcPr>
            <w:tcW w:w="0" w:type="auto"/>
            <w:tcBorders>
              <w:top w:val="nil"/>
              <w:left w:val="nil"/>
              <w:bottom w:val="nil"/>
              <w:right w:val="nil"/>
            </w:tcBorders>
            <w:shd w:val="clear" w:color="000000" w:fill="C8D7EC"/>
            <w:noWrap/>
            <w:vAlign w:val="bottom"/>
            <w:hideMark/>
          </w:tcPr>
          <w:p w14:paraId="5E8B64E4"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0.70</w:t>
            </w:r>
          </w:p>
        </w:tc>
        <w:tc>
          <w:tcPr>
            <w:tcW w:w="0" w:type="auto"/>
            <w:tcBorders>
              <w:top w:val="nil"/>
              <w:left w:val="nil"/>
              <w:bottom w:val="nil"/>
              <w:right w:val="nil"/>
            </w:tcBorders>
            <w:shd w:val="clear" w:color="auto" w:fill="auto"/>
            <w:noWrap/>
            <w:vAlign w:val="bottom"/>
            <w:hideMark/>
          </w:tcPr>
          <w:p w14:paraId="24AA6568"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380113CF"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1C61BB8D" w14:textId="77777777" w:rsidR="0054081B" w:rsidRPr="0054081B" w:rsidRDefault="0054081B" w:rsidP="00AE0914">
            <w:pPr>
              <w:spacing w:after="0" w:line="360" w:lineRule="auto"/>
              <w:rPr>
                <w:rFonts w:ascii="Calibri" w:eastAsia="Times New Roman" w:hAnsi="Calibri" w:cs="Times New Roman"/>
                <w:color w:val="000000"/>
                <w:sz w:val="22"/>
              </w:rPr>
            </w:pPr>
          </w:p>
        </w:tc>
      </w:tr>
      <w:tr w:rsidR="0054081B" w:rsidRPr="0054081B" w14:paraId="2A6C6B9C" w14:textId="77777777" w:rsidTr="00AE0914">
        <w:trPr>
          <w:trHeight w:val="414"/>
          <w:jc w:val="center"/>
        </w:trPr>
        <w:tc>
          <w:tcPr>
            <w:tcW w:w="0" w:type="auto"/>
            <w:tcBorders>
              <w:top w:val="nil"/>
              <w:left w:val="nil"/>
              <w:bottom w:val="nil"/>
              <w:right w:val="nil"/>
            </w:tcBorders>
            <w:shd w:val="clear" w:color="000000" w:fill="FA8F91"/>
            <w:noWrap/>
            <w:vAlign w:val="bottom"/>
            <w:hideMark/>
          </w:tcPr>
          <w:p w14:paraId="72C28408"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1.36</w:t>
            </w:r>
          </w:p>
        </w:tc>
        <w:tc>
          <w:tcPr>
            <w:tcW w:w="0" w:type="auto"/>
            <w:tcBorders>
              <w:top w:val="nil"/>
              <w:left w:val="nil"/>
              <w:bottom w:val="nil"/>
              <w:right w:val="nil"/>
            </w:tcBorders>
            <w:shd w:val="clear" w:color="000000" w:fill="FCEDF0"/>
            <w:noWrap/>
            <w:vAlign w:val="bottom"/>
            <w:hideMark/>
          </w:tcPr>
          <w:p w14:paraId="2B500D7C"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1.07</w:t>
            </w:r>
          </w:p>
        </w:tc>
        <w:tc>
          <w:tcPr>
            <w:tcW w:w="0" w:type="auto"/>
            <w:tcBorders>
              <w:top w:val="nil"/>
              <w:left w:val="nil"/>
              <w:bottom w:val="nil"/>
              <w:right w:val="nil"/>
            </w:tcBorders>
            <w:shd w:val="clear" w:color="000000" w:fill="9EB9DD"/>
            <w:noWrap/>
            <w:vAlign w:val="bottom"/>
            <w:hideMark/>
          </w:tcPr>
          <w:p w14:paraId="39221B26"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0.43</w:t>
            </w:r>
          </w:p>
        </w:tc>
        <w:tc>
          <w:tcPr>
            <w:tcW w:w="0" w:type="auto"/>
            <w:tcBorders>
              <w:top w:val="nil"/>
              <w:left w:val="nil"/>
              <w:bottom w:val="nil"/>
              <w:right w:val="nil"/>
            </w:tcBorders>
            <w:shd w:val="clear" w:color="000000" w:fill="E8EEF8"/>
            <w:noWrap/>
            <w:vAlign w:val="bottom"/>
            <w:hideMark/>
          </w:tcPr>
          <w:p w14:paraId="6C78571F"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0.90</w:t>
            </w:r>
          </w:p>
        </w:tc>
        <w:tc>
          <w:tcPr>
            <w:tcW w:w="0" w:type="auto"/>
            <w:tcBorders>
              <w:top w:val="nil"/>
              <w:left w:val="nil"/>
              <w:bottom w:val="nil"/>
              <w:right w:val="nil"/>
            </w:tcBorders>
            <w:shd w:val="clear" w:color="000000" w:fill="97B5DB"/>
            <w:noWrap/>
            <w:vAlign w:val="bottom"/>
            <w:hideMark/>
          </w:tcPr>
          <w:p w14:paraId="5FB323B1"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0.39</w:t>
            </w:r>
          </w:p>
        </w:tc>
        <w:tc>
          <w:tcPr>
            <w:tcW w:w="0" w:type="auto"/>
            <w:tcBorders>
              <w:top w:val="nil"/>
              <w:left w:val="nil"/>
              <w:bottom w:val="nil"/>
              <w:right w:val="nil"/>
            </w:tcBorders>
            <w:shd w:val="clear" w:color="000000" w:fill="C8D7EC"/>
            <w:noWrap/>
            <w:vAlign w:val="bottom"/>
            <w:hideMark/>
          </w:tcPr>
          <w:p w14:paraId="766D18A3"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0.70</w:t>
            </w:r>
          </w:p>
        </w:tc>
        <w:tc>
          <w:tcPr>
            <w:tcW w:w="0" w:type="auto"/>
            <w:tcBorders>
              <w:top w:val="nil"/>
              <w:left w:val="nil"/>
              <w:bottom w:val="nil"/>
              <w:right w:val="nil"/>
            </w:tcBorders>
            <w:shd w:val="clear" w:color="000000" w:fill="95B3DA"/>
            <w:noWrap/>
            <w:vAlign w:val="bottom"/>
            <w:hideMark/>
          </w:tcPr>
          <w:p w14:paraId="52570F2A"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0.37</w:t>
            </w:r>
          </w:p>
        </w:tc>
        <w:tc>
          <w:tcPr>
            <w:tcW w:w="0" w:type="auto"/>
            <w:tcBorders>
              <w:top w:val="nil"/>
              <w:left w:val="nil"/>
              <w:bottom w:val="nil"/>
              <w:right w:val="nil"/>
            </w:tcBorders>
            <w:shd w:val="clear" w:color="000000" w:fill="BCCFE8"/>
            <w:noWrap/>
            <w:vAlign w:val="bottom"/>
            <w:hideMark/>
          </w:tcPr>
          <w:p w14:paraId="70ED921A"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0.62</w:t>
            </w:r>
          </w:p>
        </w:tc>
        <w:tc>
          <w:tcPr>
            <w:tcW w:w="0" w:type="auto"/>
            <w:tcBorders>
              <w:top w:val="nil"/>
              <w:left w:val="nil"/>
              <w:bottom w:val="nil"/>
              <w:right w:val="nil"/>
            </w:tcBorders>
            <w:shd w:val="clear" w:color="auto" w:fill="auto"/>
            <w:noWrap/>
            <w:vAlign w:val="bottom"/>
            <w:hideMark/>
          </w:tcPr>
          <w:p w14:paraId="650AD319" w14:textId="77777777" w:rsidR="0054081B" w:rsidRPr="0054081B" w:rsidRDefault="0054081B" w:rsidP="00AE0914">
            <w:pPr>
              <w:spacing w:after="0" w:line="360" w:lineRule="auto"/>
              <w:rPr>
                <w:rFonts w:ascii="Calibri" w:eastAsia="Times New Roman" w:hAnsi="Calibri" w:cs="Times New Roman"/>
                <w:color w:val="000000"/>
                <w:sz w:val="22"/>
              </w:rPr>
            </w:pPr>
          </w:p>
        </w:tc>
        <w:tc>
          <w:tcPr>
            <w:tcW w:w="0" w:type="auto"/>
            <w:tcBorders>
              <w:top w:val="nil"/>
              <w:left w:val="nil"/>
              <w:bottom w:val="nil"/>
              <w:right w:val="nil"/>
            </w:tcBorders>
            <w:shd w:val="clear" w:color="auto" w:fill="auto"/>
            <w:noWrap/>
            <w:vAlign w:val="bottom"/>
            <w:hideMark/>
          </w:tcPr>
          <w:p w14:paraId="6B515666" w14:textId="77777777" w:rsidR="0054081B" w:rsidRPr="0054081B" w:rsidRDefault="0054081B" w:rsidP="00AE0914">
            <w:pPr>
              <w:spacing w:after="0" w:line="360" w:lineRule="auto"/>
              <w:rPr>
                <w:rFonts w:ascii="Calibri" w:eastAsia="Times New Roman" w:hAnsi="Calibri" w:cs="Times New Roman"/>
                <w:color w:val="000000"/>
                <w:sz w:val="22"/>
              </w:rPr>
            </w:pPr>
          </w:p>
        </w:tc>
      </w:tr>
      <w:tr w:rsidR="0054081B" w:rsidRPr="0054081B" w14:paraId="31AC61D5" w14:textId="77777777" w:rsidTr="00AE0914">
        <w:trPr>
          <w:trHeight w:val="414"/>
          <w:jc w:val="center"/>
        </w:trPr>
        <w:tc>
          <w:tcPr>
            <w:tcW w:w="0" w:type="auto"/>
            <w:tcBorders>
              <w:top w:val="nil"/>
              <w:left w:val="nil"/>
              <w:bottom w:val="nil"/>
              <w:right w:val="nil"/>
            </w:tcBorders>
            <w:shd w:val="clear" w:color="000000" w:fill="FAB1B4"/>
            <w:noWrap/>
            <w:vAlign w:val="bottom"/>
            <w:hideMark/>
          </w:tcPr>
          <w:p w14:paraId="1C691086"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1.26</w:t>
            </w:r>
          </w:p>
        </w:tc>
        <w:tc>
          <w:tcPr>
            <w:tcW w:w="0" w:type="auto"/>
            <w:tcBorders>
              <w:top w:val="nil"/>
              <w:left w:val="nil"/>
              <w:bottom w:val="nil"/>
              <w:right w:val="nil"/>
            </w:tcBorders>
            <w:shd w:val="clear" w:color="000000" w:fill="FA9093"/>
            <w:noWrap/>
            <w:vAlign w:val="bottom"/>
            <w:hideMark/>
          </w:tcPr>
          <w:p w14:paraId="05AB97C9"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1.36</w:t>
            </w:r>
          </w:p>
        </w:tc>
        <w:tc>
          <w:tcPr>
            <w:tcW w:w="0" w:type="auto"/>
            <w:tcBorders>
              <w:top w:val="nil"/>
              <w:left w:val="nil"/>
              <w:bottom w:val="nil"/>
              <w:right w:val="nil"/>
            </w:tcBorders>
            <w:shd w:val="clear" w:color="000000" w:fill="F9FAFE"/>
            <w:noWrap/>
            <w:vAlign w:val="bottom"/>
            <w:hideMark/>
          </w:tcPr>
          <w:p w14:paraId="22EAA8DA"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1.01</w:t>
            </w:r>
          </w:p>
        </w:tc>
        <w:tc>
          <w:tcPr>
            <w:tcW w:w="0" w:type="auto"/>
            <w:tcBorders>
              <w:top w:val="nil"/>
              <w:left w:val="nil"/>
              <w:bottom w:val="nil"/>
              <w:right w:val="nil"/>
            </w:tcBorders>
            <w:shd w:val="clear" w:color="000000" w:fill="FCF3F6"/>
            <w:noWrap/>
            <w:vAlign w:val="bottom"/>
            <w:hideMark/>
          </w:tcPr>
          <w:p w14:paraId="1F5C7AD4"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1.05</w:t>
            </w:r>
          </w:p>
        </w:tc>
        <w:tc>
          <w:tcPr>
            <w:tcW w:w="0" w:type="auto"/>
            <w:tcBorders>
              <w:top w:val="nil"/>
              <w:left w:val="nil"/>
              <w:bottom w:val="nil"/>
              <w:right w:val="nil"/>
            </w:tcBorders>
            <w:shd w:val="clear" w:color="000000" w:fill="DFE7F4"/>
            <w:noWrap/>
            <w:vAlign w:val="bottom"/>
            <w:hideMark/>
          </w:tcPr>
          <w:p w14:paraId="39E0E35E"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0.84</w:t>
            </w:r>
          </w:p>
        </w:tc>
        <w:tc>
          <w:tcPr>
            <w:tcW w:w="0" w:type="auto"/>
            <w:tcBorders>
              <w:top w:val="nil"/>
              <w:left w:val="nil"/>
              <w:bottom w:val="nil"/>
              <w:right w:val="nil"/>
            </w:tcBorders>
            <w:shd w:val="clear" w:color="000000" w:fill="98B5DB"/>
            <w:noWrap/>
            <w:vAlign w:val="bottom"/>
            <w:hideMark/>
          </w:tcPr>
          <w:p w14:paraId="037F6A83"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0.39</w:t>
            </w:r>
          </w:p>
        </w:tc>
        <w:tc>
          <w:tcPr>
            <w:tcW w:w="0" w:type="auto"/>
            <w:tcBorders>
              <w:top w:val="nil"/>
              <w:left w:val="nil"/>
              <w:bottom w:val="nil"/>
              <w:right w:val="nil"/>
            </w:tcBorders>
            <w:shd w:val="clear" w:color="000000" w:fill="D8E3F2"/>
            <w:noWrap/>
            <w:vAlign w:val="bottom"/>
            <w:hideMark/>
          </w:tcPr>
          <w:p w14:paraId="4A25E381"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0.80</w:t>
            </w:r>
          </w:p>
        </w:tc>
        <w:tc>
          <w:tcPr>
            <w:tcW w:w="0" w:type="auto"/>
            <w:tcBorders>
              <w:top w:val="nil"/>
              <w:left w:val="nil"/>
              <w:bottom w:val="nil"/>
              <w:right w:val="nil"/>
            </w:tcBorders>
            <w:shd w:val="clear" w:color="000000" w:fill="94B3DA"/>
            <w:noWrap/>
            <w:vAlign w:val="bottom"/>
            <w:hideMark/>
          </w:tcPr>
          <w:p w14:paraId="2A95A362"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0.37</w:t>
            </w:r>
          </w:p>
        </w:tc>
        <w:tc>
          <w:tcPr>
            <w:tcW w:w="0" w:type="auto"/>
            <w:tcBorders>
              <w:top w:val="nil"/>
              <w:left w:val="nil"/>
              <w:bottom w:val="nil"/>
              <w:right w:val="nil"/>
            </w:tcBorders>
            <w:shd w:val="clear" w:color="000000" w:fill="F9FAFE"/>
            <w:noWrap/>
            <w:vAlign w:val="bottom"/>
            <w:hideMark/>
          </w:tcPr>
          <w:p w14:paraId="49A9A012"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1.01</w:t>
            </w:r>
          </w:p>
        </w:tc>
        <w:tc>
          <w:tcPr>
            <w:tcW w:w="0" w:type="auto"/>
            <w:tcBorders>
              <w:top w:val="nil"/>
              <w:left w:val="nil"/>
              <w:bottom w:val="nil"/>
              <w:right w:val="nil"/>
            </w:tcBorders>
            <w:shd w:val="clear" w:color="auto" w:fill="auto"/>
            <w:noWrap/>
            <w:vAlign w:val="bottom"/>
            <w:hideMark/>
          </w:tcPr>
          <w:p w14:paraId="0B6EB898" w14:textId="77777777" w:rsidR="0054081B" w:rsidRPr="0054081B" w:rsidRDefault="0054081B" w:rsidP="00AE0914">
            <w:pPr>
              <w:spacing w:after="0" w:line="360" w:lineRule="auto"/>
              <w:rPr>
                <w:rFonts w:ascii="Calibri" w:eastAsia="Times New Roman" w:hAnsi="Calibri" w:cs="Times New Roman"/>
                <w:color w:val="000000"/>
                <w:sz w:val="22"/>
              </w:rPr>
            </w:pPr>
          </w:p>
        </w:tc>
      </w:tr>
      <w:tr w:rsidR="0054081B" w:rsidRPr="0054081B" w14:paraId="6EE0AEBC" w14:textId="77777777" w:rsidTr="00AE0914">
        <w:trPr>
          <w:trHeight w:val="414"/>
          <w:jc w:val="center"/>
        </w:trPr>
        <w:tc>
          <w:tcPr>
            <w:tcW w:w="0" w:type="auto"/>
            <w:tcBorders>
              <w:top w:val="nil"/>
              <w:left w:val="nil"/>
              <w:bottom w:val="nil"/>
              <w:right w:val="nil"/>
            </w:tcBorders>
            <w:shd w:val="clear" w:color="000000" w:fill="FCDBDE"/>
            <w:noWrap/>
            <w:vAlign w:val="bottom"/>
            <w:hideMark/>
          </w:tcPr>
          <w:p w14:paraId="3D31EE36"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1.13</w:t>
            </w:r>
          </w:p>
        </w:tc>
        <w:tc>
          <w:tcPr>
            <w:tcW w:w="0" w:type="auto"/>
            <w:tcBorders>
              <w:top w:val="nil"/>
              <w:left w:val="nil"/>
              <w:bottom w:val="nil"/>
              <w:right w:val="nil"/>
            </w:tcBorders>
            <w:shd w:val="clear" w:color="000000" w:fill="FBC5C7"/>
            <w:noWrap/>
            <w:vAlign w:val="bottom"/>
            <w:hideMark/>
          </w:tcPr>
          <w:p w14:paraId="3F8C728C"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1.20</w:t>
            </w:r>
          </w:p>
        </w:tc>
        <w:tc>
          <w:tcPr>
            <w:tcW w:w="0" w:type="auto"/>
            <w:tcBorders>
              <w:top w:val="nil"/>
              <w:left w:val="nil"/>
              <w:bottom w:val="nil"/>
              <w:right w:val="nil"/>
            </w:tcBorders>
            <w:shd w:val="clear" w:color="000000" w:fill="FA9EA0"/>
            <w:noWrap/>
            <w:vAlign w:val="bottom"/>
            <w:hideMark/>
          </w:tcPr>
          <w:p w14:paraId="0A13320A"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1.32</w:t>
            </w:r>
          </w:p>
        </w:tc>
        <w:tc>
          <w:tcPr>
            <w:tcW w:w="0" w:type="auto"/>
            <w:tcBorders>
              <w:top w:val="nil"/>
              <w:left w:val="nil"/>
              <w:bottom w:val="nil"/>
              <w:right w:val="nil"/>
            </w:tcBorders>
            <w:shd w:val="clear" w:color="000000" w:fill="FAAFB1"/>
            <w:noWrap/>
            <w:vAlign w:val="bottom"/>
            <w:hideMark/>
          </w:tcPr>
          <w:p w14:paraId="1D73608F"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1.26</w:t>
            </w:r>
          </w:p>
        </w:tc>
        <w:tc>
          <w:tcPr>
            <w:tcW w:w="0" w:type="auto"/>
            <w:tcBorders>
              <w:top w:val="nil"/>
              <w:left w:val="nil"/>
              <w:bottom w:val="nil"/>
              <w:right w:val="nil"/>
            </w:tcBorders>
            <w:shd w:val="clear" w:color="000000" w:fill="FBD2D5"/>
            <w:noWrap/>
            <w:vAlign w:val="bottom"/>
            <w:hideMark/>
          </w:tcPr>
          <w:p w14:paraId="6E4C06E4"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1.15</w:t>
            </w:r>
          </w:p>
        </w:tc>
        <w:tc>
          <w:tcPr>
            <w:tcW w:w="0" w:type="auto"/>
            <w:tcBorders>
              <w:top w:val="nil"/>
              <w:left w:val="nil"/>
              <w:bottom w:val="nil"/>
              <w:right w:val="nil"/>
            </w:tcBorders>
            <w:shd w:val="clear" w:color="000000" w:fill="FCE7EA"/>
            <w:noWrap/>
            <w:vAlign w:val="bottom"/>
            <w:hideMark/>
          </w:tcPr>
          <w:p w14:paraId="75B15AD3"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1.09</w:t>
            </w:r>
          </w:p>
        </w:tc>
        <w:tc>
          <w:tcPr>
            <w:tcW w:w="0" w:type="auto"/>
            <w:tcBorders>
              <w:top w:val="nil"/>
              <w:left w:val="nil"/>
              <w:bottom w:val="nil"/>
              <w:right w:val="nil"/>
            </w:tcBorders>
            <w:shd w:val="clear" w:color="000000" w:fill="FCE3E6"/>
            <w:noWrap/>
            <w:vAlign w:val="bottom"/>
            <w:hideMark/>
          </w:tcPr>
          <w:p w14:paraId="2FF6568D"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1.10</w:t>
            </w:r>
          </w:p>
        </w:tc>
        <w:tc>
          <w:tcPr>
            <w:tcW w:w="0" w:type="auto"/>
            <w:tcBorders>
              <w:top w:val="nil"/>
              <w:left w:val="nil"/>
              <w:bottom w:val="nil"/>
              <w:right w:val="nil"/>
            </w:tcBorders>
            <w:shd w:val="clear" w:color="000000" w:fill="FCE8EA"/>
            <w:noWrap/>
            <w:vAlign w:val="bottom"/>
            <w:hideMark/>
          </w:tcPr>
          <w:p w14:paraId="1863297B"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1.09</w:t>
            </w:r>
          </w:p>
        </w:tc>
        <w:tc>
          <w:tcPr>
            <w:tcW w:w="0" w:type="auto"/>
            <w:tcBorders>
              <w:top w:val="nil"/>
              <w:left w:val="nil"/>
              <w:bottom w:val="nil"/>
              <w:right w:val="nil"/>
            </w:tcBorders>
            <w:shd w:val="clear" w:color="000000" w:fill="FBC8CB"/>
            <w:noWrap/>
            <w:vAlign w:val="bottom"/>
            <w:hideMark/>
          </w:tcPr>
          <w:p w14:paraId="2F3B0763"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1.18</w:t>
            </w:r>
          </w:p>
        </w:tc>
        <w:tc>
          <w:tcPr>
            <w:tcW w:w="0" w:type="auto"/>
            <w:tcBorders>
              <w:top w:val="nil"/>
              <w:left w:val="nil"/>
              <w:bottom w:val="nil"/>
              <w:right w:val="nil"/>
            </w:tcBorders>
            <w:shd w:val="clear" w:color="000000" w:fill="EAEFF8"/>
            <w:noWrap/>
            <w:vAlign w:val="bottom"/>
            <w:hideMark/>
          </w:tcPr>
          <w:p w14:paraId="0697212F" w14:textId="77777777" w:rsidR="0054081B" w:rsidRPr="0054081B" w:rsidRDefault="0054081B" w:rsidP="00AE0914">
            <w:pPr>
              <w:spacing w:after="0" w:line="360" w:lineRule="auto"/>
              <w:rPr>
                <w:rFonts w:eastAsia="Times New Roman" w:cs="Times New Roman"/>
                <w:color w:val="000000"/>
                <w:szCs w:val="24"/>
              </w:rPr>
            </w:pPr>
            <w:r w:rsidRPr="0054081B">
              <w:rPr>
                <w:rFonts w:eastAsia="Times New Roman" w:cs="Times New Roman"/>
                <w:color w:val="000000"/>
                <w:szCs w:val="24"/>
              </w:rPr>
              <w:t>0.91</w:t>
            </w:r>
          </w:p>
        </w:tc>
      </w:tr>
    </w:tbl>
    <w:p w14:paraId="3C9C5802" w14:textId="77777777" w:rsidR="0054081B" w:rsidRDefault="0054081B" w:rsidP="0091793B">
      <w:pPr>
        <w:spacing w:line="360" w:lineRule="auto"/>
        <w:contextualSpacing/>
        <w:jc w:val="both"/>
      </w:pPr>
    </w:p>
    <w:p w14:paraId="54E92C5A" w14:textId="77777777" w:rsidR="005E4A2C" w:rsidRDefault="00932EB1" w:rsidP="0091793B">
      <w:pPr>
        <w:spacing w:line="360" w:lineRule="auto"/>
        <w:contextualSpacing/>
      </w:pPr>
      <w:bookmarkStart w:id="71" w:name="_Toc416993491"/>
      <w:r>
        <w:t xml:space="preserve">Figure </w:t>
      </w:r>
      <w:fldSimple w:instr=" SEQ Figure \* ARABIC ">
        <w:r w:rsidR="00F3244B">
          <w:rPr>
            <w:noProof/>
          </w:rPr>
          <w:t>52</w:t>
        </w:r>
      </w:fldSimple>
      <w:r>
        <w:t xml:space="preserve">: </w:t>
      </w:r>
      <w:r w:rsidRPr="00DC5F7C">
        <w:t>CASMO BOL pin cell relative peaking factors</w:t>
      </w:r>
      <w:bookmarkEnd w:id="71"/>
    </w:p>
    <w:p w14:paraId="342D65FA" w14:textId="77777777" w:rsidR="0058760F" w:rsidRDefault="0058760F" w:rsidP="0091793B">
      <w:pPr>
        <w:spacing w:line="360" w:lineRule="auto"/>
        <w:jc w:val="both"/>
        <w:rPr>
          <w:rFonts w:cs="Times New Roman"/>
          <w:szCs w:val="24"/>
        </w:rPr>
      </w:pPr>
    </w:p>
    <w:p w14:paraId="4CADEB08" w14:textId="77777777" w:rsidR="00B56CFF" w:rsidRDefault="008B3F0A" w:rsidP="0091793B">
      <w:pPr>
        <w:spacing w:line="360" w:lineRule="auto"/>
        <w:jc w:val="both"/>
        <w:rPr>
          <w:rFonts w:cs="Times New Roman"/>
          <w:szCs w:val="24"/>
        </w:rPr>
      </w:pPr>
      <w:r>
        <w:rPr>
          <w:noProof/>
        </w:rPr>
        <w:drawing>
          <wp:inline distT="0" distB="0" distL="0" distR="0" wp14:anchorId="465B7DA1" wp14:editId="3EEF5265">
            <wp:extent cx="5943600" cy="3700145"/>
            <wp:effectExtent l="0" t="0" r="19050" b="14605"/>
            <wp:docPr id="90" name="Chart 90"/>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p>
    <w:p w14:paraId="471E691F" w14:textId="77777777" w:rsidR="0058760F" w:rsidRDefault="00932EB1" w:rsidP="0091793B">
      <w:pPr>
        <w:spacing w:line="360" w:lineRule="auto"/>
      </w:pPr>
      <w:bookmarkStart w:id="72" w:name="_Toc416993492"/>
      <w:r>
        <w:t xml:space="preserve">Figure </w:t>
      </w:r>
      <w:fldSimple w:instr=" SEQ Figure \* ARABIC ">
        <w:r w:rsidR="00F3244B">
          <w:rPr>
            <w:noProof/>
          </w:rPr>
          <w:t>53</w:t>
        </w:r>
      </w:fldSimple>
      <w:r>
        <w:t>: Axial linear heat rate for limiting Zircaloy assembly through first cycle</w:t>
      </w:r>
      <w:bookmarkEnd w:id="72"/>
    </w:p>
    <w:p w14:paraId="2D23AEAB" w14:textId="6C2D9DC0" w:rsidR="00B56CFF" w:rsidRDefault="005D78DD" w:rsidP="0091793B">
      <w:pPr>
        <w:spacing w:line="360" w:lineRule="auto"/>
        <w:jc w:val="both"/>
        <w:rPr>
          <w:rFonts w:cs="Times New Roman"/>
          <w:szCs w:val="24"/>
        </w:rPr>
      </w:pPr>
      <w:r>
        <w:rPr>
          <w:rFonts w:cs="Times New Roman"/>
          <w:szCs w:val="24"/>
        </w:rPr>
        <w:lastRenderedPageBreak/>
        <w:t>From BOL to EOL</w:t>
      </w:r>
      <w:r w:rsidR="00B56CFF">
        <w:rPr>
          <w:rFonts w:cs="Times New Roman"/>
          <w:szCs w:val="24"/>
        </w:rPr>
        <w:t xml:space="preserve">, the power shape of the fresh feed assembly plotted </w:t>
      </w:r>
      <w:r w:rsidR="007B5623">
        <w:rPr>
          <w:rFonts w:cs="Times New Roman"/>
          <w:szCs w:val="24"/>
        </w:rPr>
        <w:t>in Figure 53</w:t>
      </w:r>
      <w:r w:rsidR="00B56CFF">
        <w:rPr>
          <w:rFonts w:cs="Times New Roman"/>
          <w:szCs w:val="24"/>
        </w:rPr>
        <w:t xml:space="preserve"> flattens out to an average </w:t>
      </w:r>
      <w:proofErr w:type="gramStart"/>
      <w:r w:rsidR="00B56CFF">
        <w:rPr>
          <w:rFonts w:cs="Times New Roman"/>
          <w:szCs w:val="24"/>
        </w:rPr>
        <w:t xml:space="preserve">of </w:t>
      </w:r>
      <w:r w:rsidR="002A7272">
        <w:rPr>
          <w:rFonts w:cs="Times New Roman"/>
          <w:szCs w:val="24"/>
        </w:rPr>
        <w:t>approximately</w:t>
      </w:r>
      <w:r w:rsidR="00B56CFF">
        <w:rPr>
          <w:rFonts w:cs="Times New Roman"/>
          <w:szCs w:val="24"/>
        </w:rPr>
        <w:t xml:space="preserve"> 20 kW/meter</w:t>
      </w:r>
      <w:proofErr w:type="gramEnd"/>
      <w:r w:rsidR="00B56CFF">
        <w:rPr>
          <w:rFonts w:cs="Times New Roman"/>
          <w:szCs w:val="24"/>
        </w:rPr>
        <w:t>. Considering the extensive series of weighting factors taken from the full-core and lattice physics models, the calculated LHRs produced realistic axial power histor</w:t>
      </w:r>
      <w:r w:rsidR="006319B9">
        <w:rPr>
          <w:rFonts w:cs="Times New Roman"/>
          <w:szCs w:val="24"/>
        </w:rPr>
        <w:t>ies</w:t>
      </w:r>
      <w:r w:rsidR="00B56CFF">
        <w:rPr>
          <w:rFonts w:cs="Times New Roman"/>
          <w:szCs w:val="24"/>
        </w:rPr>
        <w:t xml:space="preserve">. Representing the </w:t>
      </w:r>
      <w:r w:rsidR="00B51E30">
        <w:rPr>
          <w:rFonts w:cs="Times New Roman"/>
          <w:szCs w:val="24"/>
        </w:rPr>
        <w:t>peak</w:t>
      </w:r>
      <w:r w:rsidR="00B56CFF">
        <w:rPr>
          <w:rFonts w:cs="Times New Roman"/>
          <w:szCs w:val="24"/>
        </w:rPr>
        <w:t xml:space="preserve"> location</w:t>
      </w:r>
      <w:r w:rsidR="00B51E30">
        <w:rPr>
          <w:rFonts w:cs="Times New Roman"/>
          <w:szCs w:val="24"/>
        </w:rPr>
        <w:t xml:space="preserve"> axially</w:t>
      </w:r>
      <w:r w:rsidR="00B56CFF">
        <w:rPr>
          <w:rFonts w:cs="Times New Roman"/>
          <w:szCs w:val="24"/>
        </w:rPr>
        <w:t>, the li</w:t>
      </w:r>
      <w:r w:rsidR="00117FB3">
        <w:rPr>
          <w:rFonts w:cs="Times New Roman"/>
          <w:szCs w:val="24"/>
        </w:rPr>
        <w:t xml:space="preserve">miting rod at its hottest was </w:t>
      </w:r>
      <w:proofErr w:type="gramStart"/>
      <w:r w:rsidR="00117FB3">
        <w:rPr>
          <w:rFonts w:cs="Times New Roman"/>
          <w:szCs w:val="24"/>
        </w:rPr>
        <w:t>4</w:t>
      </w:r>
      <w:r w:rsidR="00B56CFF">
        <w:rPr>
          <w:rFonts w:cs="Times New Roman"/>
          <w:szCs w:val="24"/>
        </w:rPr>
        <w:t>3</w:t>
      </w:r>
      <w:r w:rsidR="0054081B">
        <w:rPr>
          <w:rFonts w:cs="Times New Roman"/>
          <w:szCs w:val="24"/>
        </w:rPr>
        <w:t>.3</w:t>
      </w:r>
      <w:r w:rsidR="00D35009">
        <w:rPr>
          <w:rFonts w:cs="Times New Roman"/>
          <w:szCs w:val="24"/>
        </w:rPr>
        <w:t xml:space="preserve"> </w:t>
      </w:r>
      <w:r w:rsidR="00B56CFF">
        <w:rPr>
          <w:rFonts w:cs="Times New Roman"/>
          <w:szCs w:val="24"/>
        </w:rPr>
        <w:t>kW/m</w:t>
      </w:r>
      <w:proofErr w:type="gramEnd"/>
      <w:r w:rsidR="00B51E30">
        <w:rPr>
          <w:rFonts w:cs="Times New Roman"/>
          <w:szCs w:val="24"/>
        </w:rPr>
        <w:t>.</w:t>
      </w:r>
      <w:r w:rsidR="00B56CFF">
        <w:rPr>
          <w:rFonts w:cs="Times New Roman"/>
          <w:szCs w:val="24"/>
        </w:rPr>
        <w:t xml:space="preserve"> </w:t>
      </w:r>
      <w:r w:rsidR="00B51E30">
        <w:rPr>
          <w:rFonts w:cs="Times New Roman"/>
          <w:szCs w:val="24"/>
        </w:rPr>
        <w:t>The value was deemed</w:t>
      </w:r>
      <w:r w:rsidR="00B56CFF">
        <w:rPr>
          <w:rFonts w:cs="Times New Roman"/>
          <w:szCs w:val="24"/>
        </w:rPr>
        <w:t xml:space="preserve"> </w:t>
      </w:r>
      <w:r w:rsidR="00B51E30">
        <w:rPr>
          <w:rFonts w:cs="Times New Roman"/>
          <w:szCs w:val="24"/>
        </w:rPr>
        <w:t>sensible</w:t>
      </w:r>
      <w:r w:rsidR="00B56CFF">
        <w:rPr>
          <w:rFonts w:cs="Times New Roman"/>
          <w:szCs w:val="24"/>
        </w:rPr>
        <w:t xml:space="preserve"> when simulating a conservative peak pin. </w:t>
      </w:r>
    </w:p>
    <w:p w14:paraId="4CF09762" w14:textId="2EB09F54" w:rsidR="00EC7A3E" w:rsidRPr="00EC7A3E" w:rsidRDefault="00CD06E6" w:rsidP="00EC7A3E">
      <w:pPr>
        <w:spacing w:line="360" w:lineRule="auto"/>
        <w:jc w:val="both"/>
        <w:rPr>
          <w:rFonts w:cs="Times New Roman"/>
          <w:b/>
          <w:szCs w:val="24"/>
        </w:rPr>
      </w:pPr>
      <w:r>
        <w:rPr>
          <w:rFonts w:cs="Times New Roman"/>
          <w:b/>
          <w:szCs w:val="24"/>
        </w:rPr>
        <w:t>VI.F</w:t>
      </w:r>
      <w:r w:rsidR="00EC7A3E" w:rsidRPr="00EC7A3E">
        <w:rPr>
          <w:rFonts w:cs="Times New Roman"/>
          <w:b/>
          <w:szCs w:val="24"/>
        </w:rPr>
        <w:t>.</w:t>
      </w:r>
      <w:r w:rsidR="006319B9">
        <w:rPr>
          <w:rFonts w:cs="Times New Roman"/>
          <w:b/>
          <w:szCs w:val="24"/>
        </w:rPr>
        <w:t>2</w:t>
      </w:r>
      <w:r w:rsidR="00EC7A3E" w:rsidRPr="00EC7A3E">
        <w:rPr>
          <w:rFonts w:cs="Times New Roman"/>
          <w:b/>
          <w:szCs w:val="24"/>
        </w:rPr>
        <w:t xml:space="preserve">. </w:t>
      </w:r>
      <w:r w:rsidR="001D553C">
        <w:rPr>
          <w:rFonts w:cs="Times New Roman"/>
          <w:b/>
          <w:szCs w:val="24"/>
        </w:rPr>
        <w:tab/>
      </w:r>
      <w:r w:rsidR="00EC7A3E">
        <w:rPr>
          <w:rFonts w:cs="Times New Roman"/>
          <w:b/>
          <w:szCs w:val="24"/>
        </w:rPr>
        <w:t>BISON-CASL Results</w:t>
      </w:r>
    </w:p>
    <w:p w14:paraId="74EAA032" w14:textId="3EC9656D" w:rsidR="00A41304" w:rsidRDefault="00335DE1" w:rsidP="00A41304">
      <w:pPr>
        <w:spacing w:line="360" w:lineRule="auto"/>
        <w:jc w:val="both"/>
        <w:rPr>
          <w:rFonts w:cs="Times New Roman"/>
        </w:rPr>
      </w:pPr>
      <w:r>
        <w:rPr>
          <w:rFonts w:cs="Times New Roman"/>
        </w:rPr>
        <w:t>Fuel performance results were performed by Ryan Sweet using the BISON-CASL software.</w:t>
      </w:r>
      <w:r w:rsidR="00583F82">
        <w:rPr>
          <w:rFonts w:cs="Times New Roman"/>
        </w:rPr>
        <w:t xml:space="preserve"> </w:t>
      </w:r>
      <w:r w:rsidR="00473C18">
        <w:rPr>
          <w:color w:val="212121"/>
          <w:shd w:val="clear" w:color="auto" w:fill="FFFFFF"/>
        </w:rPr>
        <w:t xml:space="preserve">Unfortunately, once contact of the fuel pellet and cladding began, the number of constraints applied to the BISON finite element mesh was increased, and subsequently, the solver performance degraded and the simulation slowed.  Results presented herein are shown up to approximately 700 EFPD, which represents approximately half of the life of a standard fuel rod. </w:t>
      </w:r>
      <w:r w:rsidR="00EC7A3E" w:rsidRPr="006B2777">
        <w:rPr>
          <w:rFonts w:cs="Times New Roman"/>
        </w:rPr>
        <w:t xml:space="preserve">Figure </w:t>
      </w:r>
      <w:r w:rsidR="006B2777" w:rsidRPr="006B2777">
        <w:rPr>
          <w:rFonts w:cs="Times New Roman"/>
        </w:rPr>
        <w:t>54</w:t>
      </w:r>
      <w:r w:rsidR="00EC7A3E" w:rsidRPr="006B2777">
        <w:rPr>
          <w:rFonts w:cs="Times New Roman"/>
        </w:rPr>
        <w:t xml:space="preserve"> </w:t>
      </w:r>
      <w:r w:rsidR="004034B1">
        <w:rPr>
          <w:rFonts w:cs="Times New Roman"/>
        </w:rPr>
        <w:t>plots</w:t>
      </w:r>
      <w:r w:rsidR="00E6280A">
        <w:rPr>
          <w:rFonts w:cs="Times New Roman"/>
        </w:rPr>
        <w:t xml:space="preserve"> the peak fuel centerline for FeCrAl with and without swelling</w:t>
      </w:r>
      <w:r w:rsidR="00EC7A3E" w:rsidRPr="006B2777">
        <w:rPr>
          <w:rFonts w:cs="Times New Roman"/>
        </w:rPr>
        <w:t xml:space="preserve">. </w:t>
      </w:r>
      <w:r w:rsidR="004034B1">
        <w:rPr>
          <w:rFonts w:cs="Times New Roman"/>
        </w:rPr>
        <w:t>The</w:t>
      </w:r>
      <w:r w:rsidR="00EC7A3E" w:rsidRPr="006B2777">
        <w:rPr>
          <w:rFonts w:cs="Times New Roman"/>
        </w:rPr>
        <w:t xml:space="preserve"> FeCrAl cladding </w:t>
      </w:r>
      <w:r w:rsidR="004034B1">
        <w:rPr>
          <w:rFonts w:cs="Times New Roman"/>
        </w:rPr>
        <w:t xml:space="preserve">fuel rod </w:t>
      </w:r>
      <w:r w:rsidR="00EC7A3E" w:rsidRPr="006B2777">
        <w:rPr>
          <w:rFonts w:cs="Times New Roman"/>
        </w:rPr>
        <w:t>with swelling</w:t>
      </w:r>
      <w:r w:rsidR="00EC7A3E">
        <w:rPr>
          <w:rFonts w:cs="Times New Roman"/>
        </w:rPr>
        <w:t xml:space="preserve"> has the highest temperature</w:t>
      </w:r>
      <w:r w:rsidR="00CE594E">
        <w:rPr>
          <w:rFonts w:cs="Times New Roman"/>
        </w:rPr>
        <w:t xml:space="preserve"> shown at the end of the depletion sequence</w:t>
      </w:r>
      <w:r w:rsidR="00EC7A3E">
        <w:rPr>
          <w:rFonts w:cs="Times New Roman"/>
        </w:rPr>
        <w:t xml:space="preserve">. This should be expected over Zircaloy because the fuel radius of the FeCrAl </w:t>
      </w:r>
      <w:r w:rsidR="00E6280A">
        <w:rPr>
          <w:rFonts w:cs="Times New Roman"/>
        </w:rPr>
        <w:t>models</w:t>
      </w:r>
      <w:r w:rsidR="00EC7A3E">
        <w:rPr>
          <w:rFonts w:cs="Times New Roman"/>
        </w:rPr>
        <w:t xml:space="preserve"> is larger and the thermal conductivity of UO</w:t>
      </w:r>
      <w:r w:rsidR="00EC7A3E">
        <w:rPr>
          <w:rFonts w:cs="Times New Roman"/>
          <w:vertAlign w:val="subscript"/>
        </w:rPr>
        <w:t xml:space="preserve">2 </w:t>
      </w:r>
      <w:r w:rsidR="00EC7A3E">
        <w:rPr>
          <w:rFonts w:cs="Times New Roman"/>
        </w:rPr>
        <w:t>is low. The temperature of the FeCrAl cladding with swelling should also be larger</w:t>
      </w:r>
      <w:r w:rsidR="00E6280A">
        <w:rPr>
          <w:rFonts w:cs="Times New Roman"/>
        </w:rPr>
        <w:t xml:space="preserve"> than</w:t>
      </w:r>
      <w:r w:rsidR="00EC7A3E">
        <w:rPr>
          <w:rFonts w:cs="Times New Roman"/>
        </w:rPr>
        <w:t xml:space="preserve"> without swelling. This is because the cladding will slowly increase in size as it swells; opening the fuel-cladding gap and degrading the heat transfer </w:t>
      </w:r>
      <w:r w:rsidR="00473C18">
        <w:rPr>
          <w:rFonts w:cs="Times New Roman"/>
        </w:rPr>
        <w:t>from the fuel to the cladding</w:t>
      </w:r>
      <w:r w:rsidR="00DF20CB">
        <w:rPr>
          <w:rFonts w:cs="Times New Roman"/>
        </w:rPr>
        <w:t xml:space="preserve"> </w:t>
      </w:r>
      <w:r w:rsidR="00DF20CB">
        <w:rPr>
          <w:rFonts w:cs="Times New Roman"/>
        </w:rPr>
        <w:fldChar w:fldCharType="begin"/>
      </w:r>
      <w:r w:rsidR="00DF20CB">
        <w:rPr>
          <w:rFonts w:cs="Times New Roman"/>
        </w:rPr>
        <w:instrText xml:space="preserve"> ADDIN EN.CITE &lt;EndNote&gt;&lt;Cite&gt;&lt;Author&gt;George&lt;/Author&gt;&lt;Year&gt;2015&lt;/Year&gt;&lt;RecNum&gt;114&lt;/RecNum&gt;&lt;DisplayText&gt;[26]&lt;/DisplayText&gt;&lt;record&gt;&lt;rec-number&gt;114&lt;/rec-number&gt;&lt;foreign-keys&gt;&lt;key app="EN" db-id="trfxzx057wwv0qe0vz1vttttwf0522tvtwpt" timestamp="1424837981"&gt;114&lt;/key&gt;&lt;/foreign-keys&gt;&lt;ref-type name="Journal Article"&gt;17&lt;/ref-type&gt;&lt;contributors&gt;&lt;authors&gt;&lt;author&gt;George, Nathan M, et al.&lt;/author&gt;&lt;/authors&gt;&lt;/contributors&gt;&lt;titles&gt;&lt;title&gt;Full-core Evaluation of Enhanced Alternate Cladding Concepts in BWRs (in review)&lt;/title&gt;&lt;/titles&gt;&lt;dates&gt;&lt;year&gt;2015&lt;/year&gt;&lt;/dates&gt;&lt;urls&gt;&lt;/urls&gt;&lt;/record&gt;&lt;/Cite&gt;&lt;/EndNote&gt;</w:instrText>
      </w:r>
      <w:r w:rsidR="00DF20CB">
        <w:rPr>
          <w:rFonts w:cs="Times New Roman"/>
        </w:rPr>
        <w:fldChar w:fldCharType="separate"/>
      </w:r>
      <w:r w:rsidR="00DF20CB">
        <w:rPr>
          <w:rFonts w:cs="Times New Roman"/>
          <w:noProof/>
        </w:rPr>
        <w:t>[</w:t>
      </w:r>
      <w:hyperlink w:anchor="_ENREF_26" w:tooltip="George, 2015 #114" w:history="1">
        <w:r w:rsidR="00DF20CB">
          <w:rPr>
            <w:rFonts w:cs="Times New Roman"/>
            <w:noProof/>
          </w:rPr>
          <w:t>26</w:t>
        </w:r>
      </w:hyperlink>
      <w:r w:rsidR="00DF20CB">
        <w:rPr>
          <w:rFonts w:cs="Times New Roman"/>
          <w:noProof/>
        </w:rPr>
        <w:t>]</w:t>
      </w:r>
      <w:r w:rsidR="00DF20CB">
        <w:rPr>
          <w:rFonts w:cs="Times New Roman"/>
        </w:rPr>
        <w:fldChar w:fldCharType="end"/>
      </w:r>
      <w:r w:rsidR="00473C18">
        <w:rPr>
          <w:rFonts w:cs="Times New Roman"/>
        </w:rPr>
        <w:t xml:space="preserve">. </w:t>
      </w:r>
    </w:p>
    <w:p w14:paraId="714A39AA" w14:textId="77777777" w:rsidR="00A41304" w:rsidRDefault="00A41304" w:rsidP="00A41304">
      <w:pPr>
        <w:spacing w:line="360" w:lineRule="auto"/>
        <w:jc w:val="both"/>
        <w:rPr>
          <w:rFonts w:cs="Times New Roman"/>
        </w:rPr>
      </w:pPr>
      <w:r w:rsidRPr="006B2777">
        <w:rPr>
          <w:rFonts w:cs="Times New Roman"/>
        </w:rPr>
        <w:t>In both cases (axial and radial, shown in Figure 55 and Figure 56</w:t>
      </w:r>
      <w:r>
        <w:rPr>
          <w:rFonts w:cs="Times New Roman"/>
        </w:rPr>
        <w:t>),</w:t>
      </w:r>
      <w:r w:rsidRPr="006B2777">
        <w:rPr>
          <w:rFonts w:cs="Times New Roman"/>
        </w:rPr>
        <w:t xml:space="preserve"> </w:t>
      </w:r>
      <w:r>
        <w:rPr>
          <w:rFonts w:cs="Times New Roman"/>
        </w:rPr>
        <w:t xml:space="preserve">FeCrAl with swelling undergoes greater displacement than FeCrAl without swelling or Zircaloy. This is potentially because the thickness of the FeCrAl cladding is half that of the Zircaloy cladding, generating greater stresses on the cladding. The FeCrAl with swelling should also have greater displacements than the alloy without, simply because of the presence of isotropic volumetric swelling. Excessive clad swelling in the axial and radial directions can lead to fuel rod bowing as well as increased fretting wear. Therefore, future work will need to be done to analyze the mechanical implications from addition swelling and how it will affect reactor operation. </w:t>
      </w:r>
    </w:p>
    <w:p w14:paraId="365418E6" w14:textId="77777777" w:rsidR="00EC7A3E" w:rsidRDefault="00EC7A3E" w:rsidP="00EC7A3E">
      <w:pPr>
        <w:rPr>
          <w:rFonts w:cs="Times New Roman"/>
        </w:rPr>
      </w:pPr>
    </w:p>
    <w:p w14:paraId="534BFF81" w14:textId="77777777" w:rsidR="00EC7A3E" w:rsidRDefault="00F3244B" w:rsidP="00EC7A3E">
      <w:pPr>
        <w:rPr>
          <w:rFonts w:cs="Times New Roman"/>
        </w:rPr>
      </w:pPr>
      <w:r>
        <w:rPr>
          <w:noProof/>
        </w:rPr>
        <w:lastRenderedPageBreak/>
        <w:drawing>
          <wp:inline distT="0" distB="0" distL="0" distR="0" wp14:anchorId="7E38BC69" wp14:editId="61A11289">
            <wp:extent cx="4572000" cy="2743200"/>
            <wp:effectExtent l="0" t="0" r="19050" b="19050"/>
            <wp:docPr id="7193" name="Chart 7193"/>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24E5F7CF" w14:textId="24E95CD2" w:rsidR="00F3244B" w:rsidRPr="00A41304" w:rsidRDefault="00F3244B" w:rsidP="00A41304">
      <w:pPr>
        <w:pStyle w:val="Heading4"/>
        <w:rPr>
          <w:b w:val="0"/>
        </w:rPr>
      </w:pPr>
      <w:bookmarkStart w:id="73" w:name="_Toc416993493"/>
      <w:r w:rsidRPr="00F3244B">
        <w:rPr>
          <w:b w:val="0"/>
        </w:rPr>
        <w:t xml:space="preserve">Figure </w:t>
      </w:r>
      <w:r w:rsidRPr="00F3244B">
        <w:rPr>
          <w:b w:val="0"/>
        </w:rPr>
        <w:fldChar w:fldCharType="begin"/>
      </w:r>
      <w:r w:rsidRPr="00F3244B">
        <w:rPr>
          <w:b w:val="0"/>
        </w:rPr>
        <w:instrText xml:space="preserve"> SEQ Figure \* ARABIC </w:instrText>
      </w:r>
      <w:r w:rsidRPr="00F3244B">
        <w:rPr>
          <w:b w:val="0"/>
        </w:rPr>
        <w:fldChar w:fldCharType="separate"/>
      </w:r>
      <w:r>
        <w:rPr>
          <w:b w:val="0"/>
          <w:noProof/>
        </w:rPr>
        <w:t>54</w:t>
      </w:r>
      <w:r w:rsidRPr="00F3244B">
        <w:rPr>
          <w:b w:val="0"/>
        </w:rPr>
        <w:fldChar w:fldCharType="end"/>
      </w:r>
      <w:r w:rsidRPr="00F3244B">
        <w:rPr>
          <w:b w:val="0"/>
        </w:rPr>
        <w:t>: Peak centerline temperature</w:t>
      </w:r>
      <w:bookmarkEnd w:id="73"/>
    </w:p>
    <w:p w14:paraId="2A2BCDFA" w14:textId="77777777" w:rsidR="004D1F97" w:rsidRDefault="004D1F97" w:rsidP="00CE594E">
      <w:pPr>
        <w:spacing w:line="360" w:lineRule="auto"/>
        <w:jc w:val="both"/>
        <w:rPr>
          <w:rFonts w:cs="Times New Roman"/>
        </w:rPr>
      </w:pPr>
    </w:p>
    <w:p w14:paraId="279AA661" w14:textId="77777777" w:rsidR="00A41304" w:rsidRDefault="00A41304" w:rsidP="00CE594E">
      <w:pPr>
        <w:spacing w:line="360" w:lineRule="auto"/>
        <w:jc w:val="both"/>
        <w:rPr>
          <w:rFonts w:cs="Times New Roman"/>
        </w:rPr>
      </w:pPr>
    </w:p>
    <w:p w14:paraId="049253DD" w14:textId="77777777" w:rsidR="00EC7A3E" w:rsidRDefault="00933021" w:rsidP="00EC7A3E">
      <w:pPr>
        <w:rPr>
          <w:rFonts w:cs="Times New Roman"/>
        </w:rPr>
      </w:pPr>
      <w:r>
        <w:rPr>
          <w:noProof/>
        </w:rPr>
        <w:drawing>
          <wp:inline distT="0" distB="0" distL="0" distR="0" wp14:anchorId="7B50FE7D" wp14:editId="23CEB546">
            <wp:extent cx="4572000" cy="2519916"/>
            <wp:effectExtent l="0" t="0" r="19050" b="13970"/>
            <wp:docPr id="7191" name="Chart 7191"/>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7CA7EEB8" w14:textId="77777777" w:rsidR="00EC7A3E" w:rsidRDefault="00F3244B" w:rsidP="00F3244B">
      <w:pPr>
        <w:pStyle w:val="Heading4"/>
        <w:rPr>
          <w:b w:val="0"/>
        </w:rPr>
      </w:pPr>
      <w:bookmarkStart w:id="74" w:name="_Toc416993494"/>
      <w:r w:rsidRPr="00F3244B">
        <w:rPr>
          <w:b w:val="0"/>
        </w:rPr>
        <w:t xml:space="preserve">Figure </w:t>
      </w:r>
      <w:r w:rsidRPr="00F3244B">
        <w:rPr>
          <w:b w:val="0"/>
        </w:rPr>
        <w:fldChar w:fldCharType="begin"/>
      </w:r>
      <w:r w:rsidRPr="00F3244B">
        <w:rPr>
          <w:b w:val="0"/>
        </w:rPr>
        <w:instrText xml:space="preserve"> SEQ Figure \* ARABIC </w:instrText>
      </w:r>
      <w:r w:rsidRPr="00F3244B">
        <w:rPr>
          <w:b w:val="0"/>
        </w:rPr>
        <w:fldChar w:fldCharType="separate"/>
      </w:r>
      <w:r>
        <w:rPr>
          <w:b w:val="0"/>
          <w:noProof/>
        </w:rPr>
        <w:t>55</w:t>
      </w:r>
      <w:r w:rsidRPr="00F3244B">
        <w:rPr>
          <w:b w:val="0"/>
        </w:rPr>
        <w:fldChar w:fldCharType="end"/>
      </w:r>
      <w:r w:rsidRPr="00F3244B">
        <w:rPr>
          <w:b w:val="0"/>
        </w:rPr>
        <w:t>: Axial displacement throughout depletion</w:t>
      </w:r>
      <w:bookmarkEnd w:id="74"/>
    </w:p>
    <w:p w14:paraId="517DF3D7" w14:textId="77777777" w:rsidR="00F3244B" w:rsidRDefault="00F3244B" w:rsidP="00F3244B"/>
    <w:p w14:paraId="680067A1" w14:textId="77777777" w:rsidR="00F3244B" w:rsidRPr="00F3244B" w:rsidRDefault="00F3244B" w:rsidP="00F3244B"/>
    <w:p w14:paraId="7294743C" w14:textId="77777777" w:rsidR="00EC7A3E" w:rsidRDefault="00F3244B" w:rsidP="00EC7A3E">
      <w:pPr>
        <w:rPr>
          <w:rFonts w:cs="Times New Roman"/>
        </w:rPr>
      </w:pPr>
      <w:r>
        <w:rPr>
          <w:noProof/>
        </w:rPr>
        <w:lastRenderedPageBreak/>
        <w:drawing>
          <wp:inline distT="0" distB="0" distL="0" distR="0" wp14:anchorId="4903F2F4" wp14:editId="197857C3">
            <wp:extent cx="4646428" cy="2679404"/>
            <wp:effectExtent l="0" t="0" r="20955" b="26035"/>
            <wp:docPr id="7194" name="Chart 7194"/>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443C1F74" w14:textId="77777777" w:rsidR="00EC7A3E" w:rsidRPr="00F3244B" w:rsidRDefault="00F3244B" w:rsidP="00F3244B">
      <w:pPr>
        <w:pStyle w:val="Heading4"/>
        <w:rPr>
          <w:b w:val="0"/>
        </w:rPr>
      </w:pPr>
      <w:bookmarkStart w:id="75" w:name="_Toc416993495"/>
      <w:r w:rsidRPr="00F3244B">
        <w:rPr>
          <w:b w:val="0"/>
        </w:rPr>
        <w:t xml:space="preserve">Figure </w:t>
      </w:r>
      <w:r w:rsidRPr="00F3244B">
        <w:rPr>
          <w:b w:val="0"/>
        </w:rPr>
        <w:fldChar w:fldCharType="begin"/>
      </w:r>
      <w:r w:rsidRPr="00F3244B">
        <w:rPr>
          <w:b w:val="0"/>
        </w:rPr>
        <w:instrText xml:space="preserve"> SEQ Figure \* ARABIC </w:instrText>
      </w:r>
      <w:r w:rsidRPr="00F3244B">
        <w:rPr>
          <w:b w:val="0"/>
        </w:rPr>
        <w:fldChar w:fldCharType="separate"/>
      </w:r>
      <w:r w:rsidRPr="00F3244B">
        <w:rPr>
          <w:b w:val="0"/>
          <w:noProof/>
        </w:rPr>
        <w:t>56</w:t>
      </w:r>
      <w:r w:rsidRPr="00F3244B">
        <w:rPr>
          <w:b w:val="0"/>
        </w:rPr>
        <w:fldChar w:fldCharType="end"/>
      </w:r>
      <w:r w:rsidRPr="00F3244B">
        <w:rPr>
          <w:b w:val="0"/>
        </w:rPr>
        <w:t>: Radial displacement throughout depletion</w:t>
      </w:r>
      <w:bookmarkEnd w:id="75"/>
    </w:p>
    <w:p w14:paraId="518F7025" w14:textId="77777777" w:rsidR="00EC7A3E" w:rsidRDefault="00EC7A3E" w:rsidP="00D13F3E">
      <w:pPr>
        <w:jc w:val="both"/>
        <w:rPr>
          <w:rFonts w:cs="Times New Roman"/>
        </w:rPr>
      </w:pPr>
    </w:p>
    <w:p w14:paraId="06CE0E77" w14:textId="77777777" w:rsidR="00335DE1" w:rsidRDefault="00335DE1" w:rsidP="00D13F3E">
      <w:pPr>
        <w:jc w:val="both"/>
        <w:rPr>
          <w:rFonts w:cs="Times New Roman"/>
        </w:rPr>
      </w:pPr>
    </w:p>
    <w:p w14:paraId="2A0DA899" w14:textId="0B1ABF5A" w:rsidR="00EC7A3E" w:rsidRDefault="00F965BB" w:rsidP="00F965BB">
      <w:pPr>
        <w:spacing w:line="360" w:lineRule="auto"/>
        <w:jc w:val="both"/>
        <w:rPr>
          <w:rFonts w:cs="Times New Roman"/>
        </w:rPr>
      </w:pPr>
      <w:r>
        <w:rPr>
          <w:rFonts w:cs="Times New Roman"/>
        </w:rPr>
        <w:t>G</w:t>
      </w:r>
      <w:r w:rsidR="00EC7A3E">
        <w:rPr>
          <w:rFonts w:cs="Times New Roman"/>
        </w:rPr>
        <w:t xml:space="preserve">ap closure times were determined very roughly to be: </w:t>
      </w:r>
      <w:r w:rsidR="004034B1">
        <w:rPr>
          <w:rFonts w:cs="Times New Roman"/>
        </w:rPr>
        <w:t xml:space="preserve">697 EFPD </w:t>
      </w:r>
      <w:r w:rsidR="00EC7A3E">
        <w:rPr>
          <w:rFonts w:cs="Times New Roman"/>
        </w:rPr>
        <w:t xml:space="preserve">for FeCrAl, </w:t>
      </w:r>
      <w:r w:rsidR="00506B4A">
        <w:rPr>
          <w:rFonts w:cs="Times New Roman"/>
        </w:rPr>
        <w:t>700 E</w:t>
      </w:r>
      <w:r w:rsidR="004034B1">
        <w:rPr>
          <w:rFonts w:cs="Times New Roman"/>
        </w:rPr>
        <w:t>F</w:t>
      </w:r>
      <w:r w:rsidR="00506B4A">
        <w:rPr>
          <w:rFonts w:cs="Times New Roman"/>
        </w:rPr>
        <w:t>P</w:t>
      </w:r>
      <w:r w:rsidR="004034B1">
        <w:rPr>
          <w:rFonts w:cs="Times New Roman"/>
        </w:rPr>
        <w:t>D</w:t>
      </w:r>
      <w:r w:rsidR="00EC7A3E">
        <w:rPr>
          <w:rFonts w:cs="Times New Roman"/>
        </w:rPr>
        <w:t xml:space="preserve"> for FeCrAl without swelling, and </w:t>
      </w:r>
      <w:r w:rsidR="004034B1">
        <w:rPr>
          <w:rFonts w:cs="Times New Roman"/>
        </w:rPr>
        <w:t>278 EFPD</w:t>
      </w:r>
      <w:r w:rsidR="00EC7A3E">
        <w:rPr>
          <w:rFonts w:cs="Times New Roman"/>
        </w:rPr>
        <w:t xml:space="preserve"> for the Zircaloy cladding. This shows that the effect of swelling</w:t>
      </w:r>
      <w:r>
        <w:rPr>
          <w:rFonts w:cs="Times New Roman"/>
        </w:rPr>
        <w:t xml:space="preserve"> </w:t>
      </w:r>
      <w:r w:rsidR="00E6280A">
        <w:rPr>
          <w:rFonts w:cs="Times New Roman"/>
        </w:rPr>
        <w:t xml:space="preserve">on gap closure is very small, but </w:t>
      </w:r>
      <w:r w:rsidR="00EC7A3E">
        <w:rPr>
          <w:rFonts w:cs="Times New Roman"/>
        </w:rPr>
        <w:t xml:space="preserve">FeCrAl closes much later </w:t>
      </w:r>
      <w:r w:rsidR="00874734">
        <w:rPr>
          <w:rFonts w:cs="Times New Roman"/>
        </w:rPr>
        <w:t xml:space="preserve">than Zircaloy </w:t>
      </w:r>
      <w:r w:rsidR="00EC7A3E">
        <w:rPr>
          <w:rFonts w:cs="Times New Roman"/>
        </w:rPr>
        <w:t xml:space="preserve">due to its greater radial displacements. This is </w:t>
      </w:r>
      <w:r w:rsidR="00E6280A">
        <w:rPr>
          <w:rFonts w:cs="Times New Roman"/>
        </w:rPr>
        <w:t>most likely</w:t>
      </w:r>
      <w:r w:rsidR="00EC7A3E">
        <w:rPr>
          <w:rFonts w:cs="Times New Roman"/>
        </w:rPr>
        <w:t xml:space="preserve"> an effect of the axial power profiles that are applied separately for each different type of cladding. </w:t>
      </w:r>
      <w:r w:rsidR="008C004F">
        <w:rPr>
          <w:rFonts w:cs="Times New Roman"/>
          <w:szCs w:val="24"/>
        </w:rPr>
        <w:t xml:space="preserve">As the FeCrAl model contained a higher heavy metal loading, the burnup distribution across the core </w:t>
      </w:r>
      <w:r w:rsidR="00E6280A">
        <w:rPr>
          <w:rFonts w:cs="Times New Roman"/>
          <w:szCs w:val="24"/>
        </w:rPr>
        <w:t>is</w:t>
      </w:r>
      <w:r w:rsidR="008C004F">
        <w:rPr>
          <w:rFonts w:cs="Times New Roman"/>
          <w:szCs w:val="24"/>
        </w:rPr>
        <w:t xml:space="preserve"> less than the Zircaloy core, leading to lower linear heat rates</w:t>
      </w:r>
      <w:r w:rsidR="00874734">
        <w:rPr>
          <w:rFonts w:cs="Times New Roman"/>
          <w:szCs w:val="24"/>
        </w:rPr>
        <w:t xml:space="preserve"> and smaller expansion of the UO</w:t>
      </w:r>
      <w:r w:rsidR="00874734">
        <w:rPr>
          <w:rFonts w:cs="Times New Roman"/>
          <w:szCs w:val="24"/>
          <w:vertAlign w:val="subscript"/>
        </w:rPr>
        <w:t>2</w:t>
      </w:r>
      <w:r w:rsidR="00874734">
        <w:rPr>
          <w:rFonts w:cs="Times New Roman"/>
          <w:szCs w:val="24"/>
        </w:rPr>
        <w:t xml:space="preserve"> pellet</w:t>
      </w:r>
      <w:r w:rsidR="008C004F">
        <w:rPr>
          <w:rFonts w:cs="Times New Roman"/>
          <w:szCs w:val="24"/>
        </w:rPr>
        <w:t xml:space="preserve">. </w:t>
      </w:r>
      <w:r w:rsidR="00EC7A3E">
        <w:rPr>
          <w:rFonts w:cs="Times New Roman"/>
        </w:rPr>
        <w:t>If the power peaks in a single area, the fuel in that area will expand faster in other areas leading to local gap closure in that area much sooner than the rest of the fuel rod</w:t>
      </w:r>
      <w:r w:rsidR="00DF20CB">
        <w:rPr>
          <w:rFonts w:cs="Times New Roman"/>
        </w:rPr>
        <w:t xml:space="preserve"> </w:t>
      </w:r>
      <w:r w:rsidR="00DF20CB">
        <w:rPr>
          <w:rFonts w:cs="Times New Roman"/>
        </w:rPr>
        <w:fldChar w:fldCharType="begin"/>
      </w:r>
      <w:r w:rsidR="00DF20CB">
        <w:rPr>
          <w:rFonts w:cs="Times New Roman"/>
        </w:rPr>
        <w:instrText xml:space="preserve"> ADDIN EN.CITE &lt;EndNote&gt;&lt;Cite&gt;&lt;Author&gt;George&lt;/Author&gt;&lt;Year&gt;2015&lt;/Year&gt;&lt;RecNum&gt;114&lt;/RecNum&gt;&lt;DisplayText&gt;[26]&lt;/DisplayText&gt;&lt;record&gt;&lt;rec-number&gt;114&lt;/rec-number&gt;&lt;foreign-keys&gt;&lt;key app="EN" db-id="trfxzx057wwv0qe0vz1vttttwf0522tvtwpt" timestamp="1424837981"&gt;114&lt;/key&gt;&lt;/foreign-keys&gt;&lt;ref-type name="Journal Article"&gt;17&lt;/ref-type&gt;&lt;contributors&gt;&lt;authors&gt;&lt;author&gt;George, Nathan M, et al.&lt;/author&gt;&lt;/authors&gt;&lt;/contributors&gt;&lt;titles&gt;&lt;title&gt;Full-core Evaluation of Enhanced Alternate Cladding Concepts in BWRs (in review)&lt;/title&gt;&lt;/titles&gt;&lt;dates&gt;&lt;year&gt;2015&lt;/year&gt;&lt;/dates&gt;&lt;urls&gt;&lt;/urls&gt;&lt;/record&gt;&lt;/Cite&gt;&lt;/EndNote&gt;</w:instrText>
      </w:r>
      <w:r w:rsidR="00DF20CB">
        <w:rPr>
          <w:rFonts w:cs="Times New Roman"/>
        </w:rPr>
        <w:fldChar w:fldCharType="separate"/>
      </w:r>
      <w:r w:rsidR="00DF20CB">
        <w:rPr>
          <w:rFonts w:cs="Times New Roman"/>
          <w:noProof/>
        </w:rPr>
        <w:t>[</w:t>
      </w:r>
      <w:hyperlink w:anchor="_ENREF_26" w:tooltip="George, 2015 #114" w:history="1">
        <w:r w:rsidR="00DF20CB">
          <w:rPr>
            <w:rFonts w:cs="Times New Roman"/>
            <w:noProof/>
          </w:rPr>
          <w:t>26</w:t>
        </w:r>
      </w:hyperlink>
      <w:r w:rsidR="00DF20CB">
        <w:rPr>
          <w:rFonts w:cs="Times New Roman"/>
          <w:noProof/>
        </w:rPr>
        <w:t>]</w:t>
      </w:r>
      <w:r w:rsidR="00DF20CB">
        <w:rPr>
          <w:rFonts w:cs="Times New Roman"/>
        </w:rPr>
        <w:fldChar w:fldCharType="end"/>
      </w:r>
      <w:r w:rsidR="00EC7A3E">
        <w:rPr>
          <w:rFonts w:cs="Times New Roman"/>
        </w:rPr>
        <w:t xml:space="preserve">. </w:t>
      </w:r>
    </w:p>
    <w:p w14:paraId="6909C65A" w14:textId="77777777" w:rsidR="004E4886" w:rsidRDefault="004E4886" w:rsidP="0091793B">
      <w:pPr>
        <w:spacing w:line="360" w:lineRule="auto"/>
        <w:jc w:val="both"/>
        <w:rPr>
          <w:rFonts w:cs="Times New Roman"/>
          <w:szCs w:val="24"/>
        </w:rPr>
      </w:pPr>
    </w:p>
    <w:p w14:paraId="370B638E" w14:textId="77777777" w:rsidR="009760FD" w:rsidRDefault="009760FD" w:rsidP="0091793B">
      <w:pPr>
        <w:spacing w:line="360" w:lineRule="auto"/>
        <w:jc w:val="both"/>
        <w:rPr>
          <w:rFonts w:cs="Times New Roman"/>
          <w:szCs w:val="24"/>
        </w:rPr>
      </w:pPr>
    </w:p>
    <w:p w14:paraId="4AF717E6" w14:textId="77777777" w:rsidR="00572964" w:rsidRDefault="00572964" w:rsidP="0091793B">
      <w:pPr>
        <w:spacing w:line="360" w:lineRule="auto"/>
        <w:jc w:val="both"/>
        <w:rPr>
          <w:rFonts w:cs="Times New Roman"/>
          <w:szCs w:val="24"/>
        </w:rPr>
      </w:pPr>
    </w:p>
    <w:p w14:paraId="045CC02E" w14:textId="77777777" w:rsidR="00572964" w:rsidRDefault="00572964" w:rsidP="0091793B">
      <w:pPr>
        <w:spacing w:line="360" w:lineRule="auto"/>
        <w:jc w:val="both"/>
        <w:rPr>
          <w:rFonts w:cs="Times New Roman"/>
          <w:szCs w:val="24"/>
        </w:rPr>
      </w:pPr>
    </w:p>
    <w:p w14:paraId="3105555E" w14:textId="77777777" w:rsidR="00704FC0" w:rsidRPr="00704FC0" w:rsidRDefault="00C30E84" w:rsidP="00343544">
      <w:pPr>
        <w:spacing w:line="360" w:lineRule="auto"/>
        <w:jc w:val="both"/>
        <w:rPr>
          <w:rFonts w:cs="Times New Roman"/>
          <w:b/>
          <w:sz w:val="32"/>
          <w:szCs w:val="24"/>
        </w:rPr>
      </w:pPr>
      <w:r w:rsidRPr="00343544">
        <w:rPr>
          <w:rFonts w:cs="Times New Roman"/>
          <w:b/>
          <w:sz w:val="32"/>
          <w:szCs w:val="24"/>
        </w:rPr>
        <w:lastRenderedPageBreak/>
        <w:t>VI</w:t>
      </w:r>
      <w:r w:rsidR="00FD129F" w:rsidRPr="00343544">
        <w:rPr>
          <w:rFonts w:cs="Times New Roman"/>
          <w:b/>
          <w:sz w:val="32"/>
          <w:szCs w:val="24"/>
        </w:rPr>
        <w:t>I</w:t>
      </w:r>
      <w:r w:rsidRPr="00343544">
        <w:rPr>
          <w:rFonts w:cs="Times New Roman"/>
          <w:b/>
          <w:sz w:val="32"/>
          <w:szCs w:val="24"/>
        </w:rPr>
        <w:t>.</w:t>
      </w:r>
      <w:r w:rsidRPr="00343544">
        <w:rPr>
          <w:rFonts w:cs="Times New Roman"/>
          <w:b/>
          <w:sz w:val="32"/>
          <w:szCs w:val="24"/>
        </w:rPr>
        <w:tab/>
      </w:r>
      <w:r w:rsidRPr="00343544">
        <w:rPr>
          <w:rFonts w:cs="Times New Roman"/>
          <w:b/>
          <w:sz w:val="32"/>
          <w:szCs w:val="24"/>
        </w:rPr>
        <w:tab/>
      </w:r>
      <w:r w:rsidR="00FD129F" w:rsidRPr="00343544">
        <w:rPr>
          <w:rFonts w:cs="Times New Roman"/>
          <w:b/>
          <w:sz w:val="32"/>
          <w:szCs w:val="24"/>
        </w:rPr>
        <w:t>CONCLUSION AND FUTURE WORK</w:t>
      </w:r>
    </w:p>
    <w:p w14:paraId="34A8B8DD" w14:textId="0A0EE185" w:rsidR="0082612D" w:rsidRDefault="00AE0A0D" w:rsidP="00AE0A0D">
      <w:pPr>
        <w:spacing w:line="360" w:lineRule="auto"/>
        <w:jc w:val="both"/>
      </w:pPr>
      <w:r>
        <w:t xml:space="preserve">ATF </w:t>
      </w:r>
      <w:r w:rsidR="0082612D">
        <w:t>designs</w:t>
      </w:r>
      <w:r>
        <w:t xml:space="preserve"> including FCM fuel and enhanced alternate cladding concepts were analyzed in LWR systems. </w:t>
      </w:r>
      <w:r w:rsidR="004D77A9">
        <w:t>Some of t</w:t>
      </w:r>
      <w:r w:rsidR="0082612D">
        <w:t>hese advanced concepts have the potential to severely re</w:t>
      </w:r>
      <w:r w:rsidR="00EF083A">
        <w:t xml:space="preserve">duce </w:t>
      </w:r>
      <w:r w:rsidR="004D77A9">
        <w:t xml:space="preserve">or entirely avoid </w:t>
      </w:r>
      <w:r w:rsidR="00EF083A">
        <w:t xml:space="preserve">accident </w:t>
      </w:r>
      <w:r w:rsidR="004D77A9">
        <w:t xml:space="preserve">outcomes </w:t>
      </w:r>
      <w:r w:rsidR="00EF083A">
        <w:t>similar to th</w:t>
      </w:r>
      <w:r w:rsidR="004D77A9">
        <w:t>ose</w:t>
      </w:r>
      <w:r w:rsidR="00EF083A">
        <w:t xml:space="preserve"> of the </w:t>
      </w:r>
      <w:r w:rsidR="0082612D">
        <w:t>Fukushima</w:t>
      </w:r>
      <w:r w:rsidR="00EF083A">
        <w:t xml:space="preserve"> accident</w:t>
      </w:r>
      <w:r w:rsidR="0082612D">
        <w:t xml:space="preserve">. Simulating a LWR environment, </w:t>
      </w:r>
      <w:r w:rsidR="00704FC0">
        <w:t>FCM fuel designs</w:t>
      </w:r>
      <w:r w:rsidR="0082612D">
        <w:t xml:space="preserve"> were modeled </w:t>
      </w:r>
      <w:r w:rsidR="00704FC0">
        <w:t>by varying the particle geometry, fuel composition, and material properties of the surrounding nuclear system</w:t>
      </w:r>
      <w:r w:rsidR="0082612D">
        <w:t xml:space="preserve"> while alternate cladding concepts were modeled by reducing the cladding thickness and increasing the UO</w:t>
      </w:r>
      <w:r w:rsidR="0082612D">
        <w:rPr>
          <w:vertAlign w:val="subscript"/>
        </w:rPr>
        <w:t>2</w:t>
      </w:r>
      <w:r w:rsidR="0082612D">
        <w:t xml:space="preserve"> fuel enrichment</w:t>
      </w:r>
      <w:r w:rsidR="00704FC0">
        <w:t>. To determine a suitable design</w:t>
      </w:r>
      <w:r w:rsidR="0082612D">
        <w:t xml:space="preserve"> for use in a L</w:t>
      </w:r>
      <w:r w:rsidR="00704FC0">
        <w:t xml:space="preserve">WR, comparisons to a conventional </w:t>
      </w:r>
      <w:r w:rsidR="0082612D">
        <w:t>L</w:t>
      </w:r>
      <w:r w:rsidR="00704FC0">
        <w:t xml:space="preserve">WR design were made for each </w:t>
      </w:r>
      <w:r w:rsidR="0082612D">
        <w:t>ATF case</w:t>
      </w:r>
      <w:r w:rsidR="00704FC0">
        <w:t xml:space="preserve">.  </w:t>
      </w:r>
    </w:p>
    <w:p w14:paraId="47C8B53A" w14:textId="77777777" w:rsidR="00704FC0" w:rsidRDefault="00FE70D2" w:rsidP="00AE0A0D">
      <w:pPr>
        <w:spacing w:line="360" w:lineRule="auto"/>
        <w:jc w:val="both"/>
      </w:pPr>
      <w:r>
        <w:t>During the FCM fuel study, u</w:t>
      </w:r>
      <w:r w:rsidR="00704FC0">
        <w:t>ranium mononitride was chosen as an optimal uranium-based fuel for obtaining sufficient reactivity due to its increased fissile density. However, since the total fuel volume in the design is much less than that of a UO</w:t>
      </w:r>
      <w:r w:rsidR="00704FC0">
        <w:rPr>
          <w:vertAlign w:val="subscript"/>
        </w:rPr>
        <w:t>2</w:t>
      </w:r>
      <w:r w:rsidR="00704FC0">
        <w:t xml:space="preserve"> pellet, manipulation of the particle and matrix was needed to obtain sufficient fissile material to sustain an 18-month operating cycle. Using the Equivalent Reactivity Method, it was determined that the amount of fissile material required for three 18-month cycles was 110% of a standard </w:t>
      </w:r>
      <w:r w:rsidR="00704FC0" w:rsidRPr="00F10FA2">
        <w:t>UO</w:t>
      </w:r>
      <w:r w:rsidR="00704FC0" w:rsidRPr="00F10FA2">
        <w:rPr>
          <w:vertAlign w:val="subscript"/>
        </w:rPr>
        <w:t>2</w:t>
      </w:r>
      <w:r w:rsidR="00704FC0" w:rsidRPr="00F10FA2">
        <w:t xml:space="preserve"> pellet</w:t>
      </w:r>
      <w:r w:rsidR="00704FC0">
        <w:t>. Various particle geometry examples were shown that would supply sufficient volume to load this amount of fissile UN. Because the fuel contained 10% additional fissile material at BOL and underwent a large depletion by EOL, the flux spectrum was shown to soften significantly throughout its lifetime in comparison to conventional PWR fuel.</w:t>
      </w:r>
    </w:p>
    <w:p w14:paraId="79DD3BB9" w14:textId="77777777" w:rsidR="0082612D" w:rsidRPr="009B255B" w:rsidRDefault="00704FC0" w:rsidP="00AE0A0D">
      <w:pPr>
        <w:spacing w:line="360" w:lineRule="auto"/>
        <w:jc w:val="both"/>
      </w:pPr>
      <w:r>
        <w:t>Creating a fresh-feed–once-burned checkerboard color-set, power sharing was analyzed for one 18-month cycle</w:t>
      </w:r>
      <w:r w:rsidR="00FE70D2">
        <w:t xml:space="preserve"> of the FCM fuel</w:t>
      </w:r>
      <w:r>
        <w:t>. For this non-optimized pin arrangement, the average peaking power levels across the FCM fresh and once-burned lattices at BOL were 1.134 and 0.866, respectively. This is only marginally less flat than standard UO</w:t>
      </w:r>
      <w:r>
        <w:rPr>
          <w:vertAlign w:val="subscript"/>
        </w:rPr>
        <w:t>2</w:t>
      </w:r>
      <w:r>
        <w:t xml:space="preserve"> fuel at 1.109 and 0.891. When depleting the fuel to EOC, the FCM power sharing proved to be consistent with BOL. </w:t>
      </w:r>
    </w:p>
    <w:p w14:paraId="37491740" w14:textId="77777777" w:rsidR="00704FC0" w:rsidRDefault="00704FC0" w:rsidP="00AE0A0D">
      <w:pPr>
        <w:spacing w:line="360" w:lineRule="auto"/>
        <w:jc w:val="both"/>
      </w:pPr>
      <w:r>
        <w:t xml:space="preserve">The neutronic penalty associated with various alternate cladding materials was </w:t>
      </w:r>
      <w:r w:rsidR="00FE70D2">
        <w:t xml:space="preserve">first </w:t>
      </w:r>
      <w:r>
        <w:t>quantified in comparison to zirconium alloy in a PWR system. UO</w:t>
      </w:r>
      <w:r>
        <w:rPr>
          <w:vertAlign w:val="subscript"/>
        </w:rPr>
        <w:t>2</w:t>
      </w:r>
      <w:r>
        <w:t xml:space="preserve"> pin cell calculations were performed with Fe-based alloys, SiC and Zircaloy-4 cladding. </w:t>
      </w:r>
      <w:r w:rsidRPr="007F4575">
        <w:t xml:space="preserve">The </w:t>
      </w:r>
      <w:r>
        <w:t xml:space="preserve">reactivity </w:t>
      </w:r>
      <w:r w:rsidRPr="007F4575">
        <w:t xml:space="preserve">penalty in the reference PWR fuel </w:t>
      </w:r>
      <w:r w:rsidRPr="007F4575">
        <w:lastRenderedPageBreak/>
        <w:t xml:space="preserve">geometry was most noticeable with austenitic stainless steels </w:t>
      </w:r>
      <w:r>
        <w:t>because</w:t>
      </w:r>
      <w:r w:rsidRPr="007F4575">
        <w:t xml:space="preserve"> they contain nickel as an alloying element.</w:t>
      </w:r>
      <w:r>
        <w:t xml:space="preserve"> </w:t>
      </w:r>
    </w:p>
    <w:p w14:paraId="0A0DD396" w14:textId="0DA36FD6" w:rsidR="00704FC0" w:rsidRPr="005F5060" w:rsidRDefault="00FE70D2" w:rsidP="00AE0A0D">
      <w:pPr>
        <w:spacing w:line="360" w:lineRule="auto"/>
        <w:jc w:val="both"/>
      </w:pPr>
      <w:r>
        <w:t>Utilizing the reactivity equivalence method, the ov</w:t>
      </w:r>
      <w:r w:rsidR="00704FC0">
        <w:t>erall reactivity difference between models during an 18-month PWR operating cycle</w:t>
      </w:r>
      <w:r>
        <w:t xml:space="preserve"> was quantified</w:t>
      </w:r>
      <w:r w:rsidR="00704FC0">
        <w:t>. Various cases changing both enrichment and cladding thickness were analyzed, and the EOC values matching the standard PWR Zircaloy model were determined. To match lifetime requirements of standard UO</w:t>
      </w:r>
      <w:r w:rsidR="00704FC0">
        <w:rPr>
          <w:vertAlign w:val="subscript"/>
        </w:rPr>
        <w:t>2</w:t>
      </w:r>
      <w:r w:rsidR="00704FC0">
        <w:t xml:space="preserve"> fuel, cladding thickness would need to be reduced by roughly half when holding enrichment constant. Alternately, an increase in enrichment of 1</w:t>
      </w:r>
      <w:r w:rsidR="004D77A9">
        <w:t xml:space="preserve"> to </w:t>
      </w:r>
      <w:r w:rsidR="00704FC0">
        <w:t xml:space="preserve">1.5% would be required when using FeCrAl or 310SS with the reference cladding thickness. It should be noted that FeCrAl and 310SS requiring enrichment above 5 wt % </w:t>
      </w:r>
      <w:r w:rsidR="00704FC0" w:rsidRPr="00E41D3C">
        <w:rPr>
          <w:vertAlign w:val="superscript"/>
        </w:rPr>
        <w:t>235</w:t>
      </w:r>
      <w:r w:rsidR="00704FC0">
        <w:t>U would exceed the current license</w:t>
      </w:r>
      <w:r w:rsidR="004D77A9">
        <w:t>d</w:t>
      </w:r>
      <w:r w:rsidR="00704FC0">
        <w:t xml:space="preserve"> limit </w:t>
      </w:r>
      <w:r w:rsidR="004D77A9">
        <w:t>for</w:t>
      </w:r>
      <w:r w:rsidR="00704FC0">
        <w:t xml:space="preserve"> fuel fabrication facilities. Because of its relatively low neutron absorption, SiC could meet lifetime requirements even with a </w:t>
      </w:r>
      <w:r w:rsidR="00EF083A">
        <w:t xml:space="preserve">0.1% reduction in enrichment. </w:t>
      </w:r>
      <w:r w:rsidR="00704FC0">
        <w:t xml:space="preserve">Reactivity coefficients were calculated for each alternate cladding model. By perturbing the moderator temperature and density, MTC was found to be negative at BOL and over a range of fuel burnups, and it was of similar magnitude for all cladding types. </w:t>
      </w:r>
    </w:p>
    <w:p w14:paraId="4F7AD318" w14:textId="50969A19" w:rsidR="00343544" w:rsidRDefault="00255C7D" w:rsidP="00343544">
      <w:pPr>
        <w:spacing w:line="360" w:lineRule="auto"/>
        <w:jc w:val="both"/>
        <w:rPr>
          <w:szCs w:val="24"/>
        </w:rPr>
      </w:pPr>
      <w:r w:rsidRPr="00FD2EFD">
        <w:rPr>
          <w:szCs w:val="24"/>
        </w:rPr>
        <w:t xml:space="preserve">The neutronic penalty </w:t>
      </w:r>
      <w:r w:rsidR="00C63B7D">
        <w:rPr>
          <w:szCs w:val="24"/>
        </w:rPr>
        <w:t xml:space="preserve">for a BWR </w:t>
      </w:r>
      <w:r w:rsidRPr="00FD2EFD">
        <w:rPr>
          <w:szCs w:val="24"/>
        </w:rPr>
        <w:t xml:space="preserve">was quantified </w:t>
      </w:r>
      <w:r>
        <w:rPr>
          <w:szCs w:val="24"/>
        </w:rPr>
        <w:t>for</w:t>
      </w:r>
      <w:r w:rsidRPr="00FD2EFD">
        <w:rPr>
          <w:szCs w:val="24"/>
        </w:rPr>
        <w:t xml:space="preserve"> a transition from Zircaloy to </w:t>
      </w:r>
      <w:r>
        <w:rPr>
          <w:szCs w:val="24"/>
        </w:rPr>
        <w:t xml:space="preserve">FeCrAl for the fuel cladding and </w:t>
      </w:r>
      <w:r w:rsidR="00F155F8" w:rsidRPr="00F155F8">
        <w:rPr>
          <w:szCs w:val="24"/>
        </w:rPr>
        <w:t>channel box</w:t>
      </w:r>
      <w:r>
        <w:rPr>
          <w:szCs w:val="24"/>
        </w:rPr>
        <w:t>.</w:t>
      </w:r>
      <w:r w:rsidRPr="00FD2EFD">
        <w:rPr>
          <w:szCs w:val="24"/>
        </w:rPr>
        <w:t xml:space="preserve"> Two routes for increasing core reactivity over the fuel lifetime were examined</w:t>
      </w:r>
      <w:r w:rsidR="00C63B7D">
        <w:rPr>
          <w:szCs w:val="24"/>
        </w:rPr>
        <w:t>;</w:t>
      </w:r>
      <w:r w:rsidRPr="00FD2EFD">
        <w:rPr>
          <w:szCs w:val="24"/>
        </w:rPr>
        <w:t xml:space="preserve"> increasing the uranium enrichment and increasing the fuel pellet diameter </w:t>
      </w:r>
      <w:r>
        <w:rPr>
          <w:szCs w:val="24"/>
        </w:rPr>
        <w:t xml:space="preserve">while decreasing </w:t>
      </w:r>
      <w:r w:rsidRPr="00FD2EFD">
        <w:rPr>
          <w:szCs w:val="24"/>
        </w:rPr>
        <w:t xml:space="preserve">cladding thickness. A reduction in </w:t>
      </w:r>
      <w:r>
        <w:rPr>
          <w:szCs w:val="24"/>
        </w:rPr>
        <w:t xml:space="preserve">FeCrAl </w:t>
      </w:r>
      <w:r w:rsidRPr="00FD2EFD">
        <w:rPr>
          <w:szCs w:val="24"/>
        </w:rPr>
        <w:t xml:space="preserve">cladding </w:t>
      </w:r>
      <w:r>
        <w:rPr>
          <w:szCs w:val="24"/>
        </w:rPr>
        <w:t xml:space="preserve">and </w:t>
      </w:r>
      <w:r w:rsidR="00F155F8" w:rsidRPr="00F155F8">
        <w:rPr>
          <w:szCs w:val="24"/>
        </w:rPr>
        <w:t>channel box</w:t>
      </w:r>
      <w:r>
        <w:rPr>
          <w:szCs w:val="24"/>
        </w:rPr>
        <w:t xml:space="preserve"> </w:t>
      </w:r>
      <w:r w:rsidRPr="00FD2EFD">
        <w:rPr>
          <w:szCs w:val="24"/>
        </w:rPr>
        <w:t xml:space="preserve">thickness by roughly half with an average </w:t>
      </w:r>
      <w:r>
        <w:rPr>
          <w:szCs w:val="24"/>
        </w:rPr>
        <w:t xml:space="preserve">enrichment </w:t>
      </w:r>
      <w:r w:rsidRPr="00FD2EFD">
        <w:rPr>
          <w:szCs w:val="24"/>
        </w:rPr>
        <w:t xml:space="preserve">increase of </w:t>
      </w:r>
      <w:r w:rsidR="007F0DD6">
        <w:rPr>
          <w:szCs w:val="24"/>
        </w:rPr>
        <w:t>approximately</w:t>
      </w:r>
      <w:r w:rsidRPr="00FD2EFD">
        <w:rPr>
          <w:szCs w:val="24"/>
        </w:rPr>
        <w:t xml:space="preserve"> 0.6% resulted in </w:t>
      </w:r>
      <w:r>
        <w:rPr>
          <w:szCs w:val="24"/>
        </w:rPr>
        <w:t>an estimated cycle length</w:t>
      </w:r>
      <w:r w:rsidRPr="00FD2EFD">
        <w:rPr>
          <w:szCs w:val="24"/>
        </w:rPr>
        <w:t xml:space="preserve"> matching that of reference BWR bundles with Zircaloy cladding. Historic use of iron-based cladding in commercial </w:t>
      </w:r>
      <w:r>
        <w:rPr>
          <w:szCs w:val="24"/>
        </w:rPr>
        <w:t>LWRs</w:t>
      </w:r>
      <w:r w:rsidRPr="00FD2EFD">
        <w:rPr>
          <w:szCs w:val="24"/>
        </w:rPr>
        <w:t xml:space="preserve"> operated with similar cladding dimensio</w:t>
      </w:r>
      <w:r w:rsidR="00F018F6">
        <w:rPr>
          <w:szCs w:val="24"/>
        </w:rPr>
        <w:t>ns.</w:t>
      </w:r>
      <w:r w:rsidRPr="00FD2EFD">
        <w:rPr>
          <w:szCs w:val="24"/>
        </w:rPr>
        <w:t xml:space="preserve"> </w:t>
      </w:r>
    </w:p>
    <w:p w14:paraId="36012300" w14:textId="77777777" w:rsidR="00F018F6" w:rsidRDefault="00EF083A" w:rsidP="0091793B">
      <w:pPr>
        <w:spacing w:line="360" w:lineRule="auto"/>
        <w:jc w:val="both"/>
        <w:rPr>
          <w:szCs w:val="24"/>
        </w:rPr>
      </w:pPr>
      <w:proofErr w:type="gramStart"/>
      <w:r>
        <w:rPr>
          <w:szCs w:val="24"/>
        </w:rPr>
        <w:t>A full-core</w:t>
      </w:r>
      <w:proofErr w:type="gramEnd"/>
      <w:r>
        <w:rPr>
          <w:szCs w:val="24"/>
        </w:rPr>
        <w:t xml:space="preserve"> equilibrium BWR model was established with NESTLE in setting up a parametric study for the FeCrAl fuel bundles. </w:t>
      </w:r>
      <w:r w:rsidR="00F018F6">
        <w:rPr>
          <w:szCs w:val="24"/>
        </w:rPr>
        <w:t xml:space="preserve">Initial full-core </w:t>
      </w:r>
      <w:r w:rsidR="00F018F6" w:rsidRPr="00FD2EFD">
        <w:rPr>
          <w:szCs w:val="24"/>
        </w:rPr>
        <w:t xml:space="preserve">BWR </w:t>
      </w:r>
      <w:r w:rsidR="00F018F6">
        <w:rPr>
          <w:szCs w:val="24"/>
        </w:rPr>
        <w:t>calculations</w:t>
      </w:r>
      <w:r w:rsidR="00F018F6" w:rsidRPr="00FD2EFD">
        <w:rPr>
          <w:szCs w:val="24"/>
        </w:rPr>
        <w:t xml:space="preserve"> in NESTLE</w:t>
      </w:r>
      <w:r w:rsidR="00F018F6">
        <w:rPr>
          <w:szCs w:val="24"/>
        </w:rPr>
        <w:t xml:space="preserve"> verified</w:t>
      </w:r>
      <w:r w:rsidR="00F018F6" w:rsidRPr="00FD2EFD">
        <w:rPr>
          <w:szCs w:val="24"/>
        </w:rPr>
        <w:t xml:space="preserve"> the lattice physics</w:t>
      </w:r>
      <w:r w:rsidR="00F018F6">
        <w:rPr>
          <w:szCs w:val="24"/>
        </w:rPr>
        <w:t xml:space="preserve"> results by meeting the 527-EFPD cycle length with nearly identical enrichment requirements. CB and LP optimization was performed on the FeCrAl core design which in turn increased reactivity while maintaining RPF limits. A hybrid fuel bundle was established with FeCrAl cladding and a SiC/Ni/Cr channel box. By halving the cladding thickness, the </w:t>
      </w:r>
      <w:r w:rsidR="00F018F6">
        <w:rPr>
          <w:szCs w:val="24"/>
        </w:rPr>
        <w:lastRenderedPageBreak/>
        <w:t xml:space="preserve">enrichment level required was less than that of the Zircaloy base case design after performing LP optimization of the hybrid bundle core. </w:t>
      </w:r>
    </w:p>
    <w:p w14:paraId="64A88453" w14:textId="4AF5483B" w:rsidR="00F018F6" w:rsidRDefault="00C43497" w:rsidP="0091793B">
      <w:pPr>
        <w:spacing w:line="360" w:lineRule="auto"/>
        <w:jc w:val="both"/>
        <w:rPr>
          <w:szCs w:val="24"/>
        </w:rPr>
      </w:pPr>
      <w:r>
        <w:rPr>
          <w:szCs w:val="24"/>
        </w:rPr>
        <w:t xml:space="preserve">Fuel performance </w:t>
      </w:r>
      <w:r w:rsidR="00177DF2">
        <w:rPr>
          <w:szCs w:val="24"/>
        </w:rPr>
        <w:t xml:space="preserve">analysis </w:t>
      </w:r>
      <w:r>
        <w:rPr>
          <w:szCs w:val="24"/>
        </w:rPr>
        <w:t>of FeCrAl-cladded fuel rods w</w:t>
      </w:r>
      <w:r w:rsidR="00177DF2">
        <w:rPr>
          <w:szCs w:val="24"/>
        </w:rPr>
        <w:t>as</w:t>
      </w:r>
      <w:r>
        <w:rPr>
          <w:szCs w:val="24"/>
        </w:rPr>
        <w:t xml:space="preserve"> performed by </w:t>
      </w:r>
      <w:r w:rsidR="00177DF2">
        <w:rPr>
          <w:szCs w:val="24"/>
        </w:rPr>
        <w:t xml:space="preserve">Mr. </w:t>
      </w:r>
      <w:r>
        <w:rPr>
          <w:szCs w:val="24"/>
        </w:rPr>
        <w:t>Ryan Sweet</w:t>
      </w:r>
      <w:r w:rsidR="00177DF2">
        <w:rPr>
          <w:szCs w:val="24"/>
        </w:rPr>
        <w:t>,</w:t>
      </w:r>
      <w:r>
        <w:rPr>
          <w:szCs w:val="24"/>
        </w:rPr>
        <w:t xml:space="preserve"> with </w:t>
      </w:r>
      <w:r w:rsidR="00177DF2">
        <w:rPr>
          <w:szCs w:val="24"/>
        </w:rPr>
        <w:t xml:space="preserve">the </w:t>
      </w:r>
      <w:r>
        <w:rPr>
          <w:szCs w:val="24"/>
        </w:rPr>
        <w:t>BISON-CASL</w:t>
      </w:r>
      <w:r w:rsidR="00177DF2">
        <w:rPr>
          <w:szCs w:val="24"/>
        </w:rPr>
        <w:t xml:space="preserve"> code</w:t>
      </w:r>
      <w:r>
        <w:rPr>
          <w:szCs w:val="24"/>
        </w:rPr>
        <w:t xml:space="preserve">. </w:t>
      </w:r>
      <w:r w:rsidR="00E406B5">
        <w:rPr>
          <w:szCs w:val="24"/>
        </w:rPr>
        <w:t xml:space="preserve">By linking the linear heat rate results from NESTLE, the limiting fuel rods from the FeCrAl and Zircaloy cores were compared. </w:t>
      </w:r>
      <w:r w:rsidR="00874734">
        <w:rPr>
          <w:szCs w:val="24"/>
        </w:rPr>
        <w:t xml:space="preserve">Due to </w:t>
      </w:r>
      <w:r w:rsidR="00473C18">
        <w:rPr>
          <w:szCs w:val="24"/>
        </w:rPr>
        <w:t>the lower</w:t>
      </w:r>
      <w:r w:rsidR="00874734">
        <w:rPr>
          <w:szCs w:val="24"/>
        </w:rPr>
        <w:t xml:space="preserve"> </w:t>
      </w:r>
      <w:r w:rsidR="00E406B5">
        <w:rPr>
          <w:szCs w:val="24"/>
        </w:rPr>
        <w:t>power history</w:t>
      </w:r>
      <w:r w:rsidR="00874734">
        <w:rPr>
          <w:szCs w:val="24"/>
        </w:rPr>
        <w:t xml:space="preserve"> profile in the FeCrAl model, the expansion of the UO</w:t>
      </w:r>
      <w:r w:rsidR="00874734">
        <w:rPr>
          <w:szCs w:val="24"/>
          <w:vertAlign w:val="subscript"/>
        </w:rPr>
        <w:t>2</w:t>
      </w:r>
      <w:r w:rsidR="00874734">
        <w:rPr>
          <w:szCs w:val="24"/>
        </w:rPr>
        <w:t xml:space="preserve"> pellet was minimized and thus time to gap closure for FeCrAl </w:t>
      </w:r>
      <w:r w:rsidR="006319B9">
        <w:rPr>
          <w:szCs w:val="24"/>
        </w:rPr>
        <w:t>occurred at 700 EFPD, whereas the closure for Zircaloy occurred at 278 EFPD</w:t>
      </w:r>
      <w:r w:rsidR="00874734">
        <w:rPr>
          <w:szCs w:val="24"/>
        </w:rPr>
        <w:t xml:space="preserve">. However, </w:t>
      </w:r>
      <w:r>
        <w:rPr>
          <w:szCs w:val="24"/>
        </w:rPr>
        <w:t xml:space="preserve">due </w:t>
      </w:r>
      <w:r w:rsidR="00473C18">
        <w:rPr>
          <w:szCs w:val="24"/>
        </w:rPr>
        <w:t xml:space="preserve">to larger overall </w:t>
      </w:r>
      <w:r>
        <w:rPr>
          <w:szCs w:val="24"/>
        </w:rPr>
        <w:t>fuel pellet</w:t>
      </w:r>
      <w:r w:rsidR="00473C18">
        <w:rPr>
          <w:szCs w:val="24"/>
        </w:rPr>
        <w:t xml:space="preserve"> radius in the FeCrAl model</w:t>
      </w:r>
      <w:r>
        <w:rPr>
          <w:szCs w:val="24"/>
        </w:rPr>
        <w:t>, the overall thermal conductivity in the fuel rod was decreased leading to slightly higher centerline temperatures.</w:t>
      </w:r>
      <w:r w:rsidR="00066FB2">
        <w:rPr>
          <w:szCs w:val="24"/>
        </w:rPr>
        <w:t xml:space="preserve"> T</w:t>
      </w:r>
      <w:r w:rsidR="00177DF2">
        <w:rPr>
          <w:szCs w:val="24"/>
        </w:rPr>
        <w:t xml:space="preserve">he fuel performance calculations also showed an increase in </w:t>
      </w:r>
      <w:r w:rsidR="004D1F97">
        <w:rPr>
          <w:szCs w:val="24"/>
        </w:rPr>
        <w:t xml:space="preserve">radial and </w:t>
      </w:r>
      <w:r w:rsidR="00177DF2">
        <w:rPr>
          <w:szCs w:val="24"/>
        </w:rPr>
        <w:t xml:space="preserve">axial expansion for FeCrAl, which is </w:t>
      </w:r>
      <w:r w:rsidR="00066FB2">
        <w:rPr>
          <w:szCs w:val="24"/>
        </w:rPr>
        <w:t xml:space="preserve">herein reported and presented. </w:t>
      </w:r>
      <w:r w:rsidR="00177DF2">
        <w:rPr>
          <w:szCs w:val="24"/>
        </w:rPr>
        <w:t xml:space="preserve">Future studies will </w:t>
      </w:r>
      <w:r w:rsidR="005B58F3">
        <w:rPr>
          <w:szCs w:val="24"/>
        </w:rPr>
        <w:t xml:space="preserve">evaluate and assess operational limitations and </w:t>
      </w:r>
      <w:r w:rsidR="00177DF2">
        <w:rPr>
          <w:szCs w:val="24"/>
        </w:rPr>
        <w:t>impacts associated with th</w:t>
      </w:r>
      <w:r w:rsidR="005B58F3">
        <w:rPr>
          <w:szCs w:val="24"/>
        </w:rPr>
        <w:t>e</w:t>
      </w:r>
      <w:r w:rsidR="00177DF2">
        <w:rPr>
          <w:szCs w:val="24"/>
        </w:rPr>
        <w:t xml:space="preserve"> larger expansion tendencies for this material.</w:t>
      </w:r>
    </w:p>
    <w:p w14:paraId="2FE94F60" w14:textId="66DC06A9" w:rsidR="000D3441" w:rsidRDefault="00C43497" w:rsidP="000B041B">
      <w:pPr>
        <w:autoSpaceDE w:val="0"/>
        <w:autoSpaceDN w:val="0"/>
        <w:adjustRightInd w:val="0"/>
        <w:spacing w:after="0" w:line="360" w:lineRule="auto"/>
        <w:jc w:val="both"/>
        <w:rPr>
          <w:rFonts w:cs="Times New Roman"/>
          <w:b/>
          <w:sz w:val="32"/>
          <w:szCs w:val="32"/>
        </w:rPr>
      </w:pPr>
      <w:r>
        <w:rPr>
          <w:szCs w:val="24"/>
        </w:rPr>
        <w:t xml:space="preserve">Future work has been proposed to optimize </w:t>
      </w:r>
      <w:r w:rsidR="00583F82">
        <w:rPr>
          <w:szCs w:val="24"/>
        </w:rPr>
        <w:t>CB and LPs simultaneously with</w:t>
      </w:r>
      <w:r>
        <w:rPr>
          <w:szCs w:val="24"/>
        </w:rPr>
        <w:t xml:space="preserve"> FeCrAl and hybrid </w:t>
      </w:r>
      <w:r w:rsidR="00583F82">
        <w:rPr>
          <w:szCs w:val="24"/>
        </w:rPr>
        <w:t xml:space="preserve">bundle designs. </w:t>
      </w:r>
      <w:r w:rsidR="000B041B">
        <w:rPr>
          <w:szCs w:val="24"/>
        </w:rPr>
        <w:t xml:space="preserve">Although the </w:t>
      </w:r>
      <w:r w:rsidR="00583F82">
        <w:rPr>
          <w:szCs w:val="24"/>
        </w:rPr>
        <w:t xml:space="preserve">simultaneous optimization </w:t>
      </w:r>
      <w:r w:rsidR="000B041B">
        <w:rPr>
          <w:szCs w:val="24"/>
        </w:rPr>
        <w:t xml:space="preserve">in LWROpt </w:t>
      </w:r>
      <w:r w:rsidR="00583F82">
        <w:rPr>
          <w:szCs w:val="24"/>
        </w:rPr>
        <w:t>is more computationally expensive and time consuming</w:t>
      </w:r>
      <w:r w:rsidR="000B041B">
        <w:rPr>
          <w:szCs w:val="24"/>
        </w:rPr>
        <w:t xml:space="preserve">, </w:t>
      </w:r>
      <w:r w:rsidR="00583F82">
        <w:rPr>
          <w:szCs w:val="24"/>
        </w:rPr>
        <w:t xml:space="preserve">more realistic results are expected. Additional </w:t>
      </w:r>
      <w:r w:rsidR="000B041B">
        <w:rPr>
          <w:szCs w:val="24"/>
        </w:rPr>
        <w:t>simulations</w:t>
      </w:r>
      <w:r w:rsidR="00583F82">
        <w:rPr>
          <w:szCs w:val="24"/>
        </w:rPr>
        <w:t xml:space="preserve"> are being performed in BISON</w:t>
      </w:r>
      <w:r w:rsidR="00003F5F">
        <w:rPr>
          <w:szCs w:val="24"/>
        </w:rPr>
        <w:t xml:space="preserve"> with implementation of thermal and irradiation creep</w:t>
      </w:r>
      <w:r w:rsidR="00E406B5">
        <w:rPr>
          <w:szCs w:val="24"/>
        </w:rPr>
        <w:t xml:space="preserve"> of FeCrAl</w:t>
      </w:r>
      <w:r w:rsidR="00003F5F">
        <w:rPr>
          <w:szCs w:val="24"/>
        </w:rPr>
        <w:t>. R</w:t>
      </w:r>
      <w:r w:rsidR="000B041B">
        <w:rPr>
          <w:szCs w:val="24"/>
        </w:rPr>
        <w:t xml:space="preserve">esults will be presented </w:t>
      </w:r>
      <w:r w:rsidR="00E406B5">
        <w:rPr>
          <w:szCs w:val="24"/>
        </w:rPr>
        <w:t>for</w:t>
      </w:r>
      <w:r w:rsidR="000B041B">
        <w:rPr>
          <w:szCs w:val="24"/>
        </w:rPr>
        <w:t xml:space="preserve"> the entire life</w:t>
      </w:r>
      <w:r w:rsidR="00003F5F">
        <w:rPr>
          <w:szCs w:val="24"/>
        </w:rPr>
        <w:t xml:space="preserve">time of each limiting fuel rod once </w:t>
      </w:r>
      <w:r w:rsidR="00E406B5">
        <w:rPr>
          <w:szCs w:val="24"/>
        </w:rPr>
        <w:t xml:space="preserve">PCI </w:t>
      </w:r>
      <w:r w:rsidR="00003F5F">
        <w:rPr>
          <w:szCs w:val="24"/>
        </w:rPr>
        <w:t>fidelity issues are resolves</w:t>
      </w:r>
      <w:r w:rsidR="00E406B5">
        <w:rPr>
          <w:szCs w:val="24"/>
        </w:rPr>
        <w:t xml:space="preserve"> within the model.  </w:t>
      </w:r>
      <w:r w:rsidR="00583F82">
        <w:rPr>
          <w:szCs w:val="24"/>
        </w:rPr>
        <w:t xml:space="preserve">  </w:t>
      </w:r>
    </w:p>
    <w:p w14:paraId="2496ECF2" w14:textId="77777777" w:rsidR="000D3441" w:rsidRDefault="000D3441" w:rsidP="0091793B">
      <w:pPr>
        <w:autoSpaceDE w:val="0"/>
        <w:autoSpaceDN w:val="0"/>
        <w:adjustRightInd w:val="0"/>
        <w:spacing w:after="0" w:line="360" w:lineRule="auto"/>
        <w:jc w:val="left"/>
        <w:rPr>
          <w:rFonts w:cs="Times New Roman"/>
          <w:b/>
          <w:sz w:val="32"/>
          <w:szCs w:val="32"/>
        </w:rPr>
      </w:pPr>
    </w:p>
    <w:p w14:paraId="4D0CB5F0" w14:textId="77777777" w:rsidR="00420B56" w:rsidRDefault="00420B56" w:rsidP="0091793B">
      <w:pPr>
        <w:autoSpaceDE w:val="0"/>
        <w:autoSpaceDN w:val="0"/>
        <w:adjustRightInd w:val="0"/>
        <w:spacing w:after="0" w:line="360" w:lineRule="auto"/>
        <w:jc w:val="left"/>
        <w:rPr>
          <w:rFonts w:cs="Times New Roman"/>
          <w:b/>
          <w:sz w:val="32"/>
          <w:szCs w:val="32"/>
        </w:rPr>
      </w:pPr>
    </w:p>
    <w:p w14:paraId="7BAC9099" w14:textId="77777777" w:rsidR="00420B56" w:rsidRDefault="00420B56" w:rsidP="0091793B">
      <w:pPr>
        <w:autoSpaceDE w:val="0"/>
        <w:autoSpaceDN w:val="0"/>
        <w:adjustRightInd w:val="0"/>
        <w:spacing w:after="0" w:line="360" w:lineRule="auto"/>
        <w:jc w:val="left"/>
        <w:rPr>
          <w:rFonts w:cs="Times New Roman"/>
          <w:b/>
          <w:sz w:val="32"/>
          <w:szCs w:val="32"/>
        </w:rPr>
      </w:pPr>
    </w:p>
    <w:p w14:paraId="26344AAD" w14:textId="77777777" w:rsidR="00420B56" w:rsidRDefault="00420B56" w:rsidP="0091793B">
      <w:pPr>
        <w:autoSpaceDE w:val="0"/>
        <w:autoSpaceDN w:val="0"/>
        <w:adjustRightInd w:val="0"/>
        <w:spacing w:after="0" w:line="360" w:lineRule="auto"/>
        <w:jc w:val="left"/>
        <w:rPr>
          <w:rFonts w:cs="Times New Roman"/>
          <w:b/>
          <w:sz w:val="32"/>
          <w:szCs w:val="32"/>
        </w:rPr>
      </w:pPr>
    </w:p>
    <w:p w14:paraId="3F218386" w14:textId="77777777" w:rsidR="00420B56" w:rsidRDefault="00420B56" w:rsidP="0091793B">
      <w:pPr>
        <w:autoSpaceDE w:val="0"/>
        <w:autoSpaceDN w:val="0"/>
        <w:adjustRightInd w:val="0"/>
        <w:spacing w:after="0" w:line="360" w:lineRule="auto"/>
        <w:jc w:val="left"/>
        <w:rPr>
          <w:rFonts w:cs="Times New Roman"/>
          <w:b/>
          <w:sz w:val="32"/>
          <w:szCs w:val="32"/>
        </w:rPr>
      </w:pPr>
    </w:p>
    <w:p w14:paraId="3EE0E124" w14:textId="77777777" w:rsidR="005B58F3" w:rsidRDefault="005B58F3" w:rsidP="0091793B">
      <w:pPr>
        <w:autoSpaceDE w:val="0"/>
        <w:autoSpaceDN w:val="0"/>
        <w:adjustRightInd w:val="0"/>
        <w:spacing w:after="0" w:line="360" w:lineRule="auto"/>
        <w:jc w:val="left"/>
        <w:rPr>
          <w:rFonts w:cs="Times New Roman"/>
          <w:b/>
          <w:sz w:val="32"/>
          <w:szCs w:val="32"/>
        </w:rPr>
      </w:pPr>
    </w:p>
    <w:p w14:paraId="03BF79C2" w14:textId="77777777" w:rsidR="00420B56" w:rsidRDefault="00420B56" w:rsidP="0091793B">
      <w:pPr>
        <w:autoSpaceDE w:val="0"/>
        <w:autoSpaceDN w:val="0"/>
        <w:adjustRightInd w:val="0"/>
        <w:spacing w:after="0" w:line="360" w:lineRule="auto"/>
        <w:jc w:val="left"/>
        <w:rPr>
          <w:rFonts w:cs="Times New Roman"/>
          <w:b/>
          <w:sz w:val="32"/>
          <w:szCs w:val="32"/>
        </w:rPr>
      </w:pPr>
    </w:p>
    <w:p w14:paraId="63AEC54A" w14:textId="77777777" w:rsidR="00420B56" w:rsidRDefault="00420B56" w:rsidP="0091793B">
      <w:pPr>
        <w:autoSpaceDE w:val="0"/>
        <w:autoSpaceDN w:val="0"/>
        <w:adjustRightInd w:val="0"/>
        <w:spacing w:after="0" w:line="360" w:lineRule="auto"/>
        <w:jc w:val="left"/>
        <w:rPr>
          <w:rFonts w:cs="Times New Roman"/>
          <w:b/>
          <w:sz w:val="32"/>
          <w:szCs w:val="32"/>
        </w:rPr>
      </w:pPr>
    </w:p>
    <w:p w14:paraId="776A06CF" w14:textId="256B3D57" w:rsidR="00835E9C" w:rsidRDefault="003D6D4C" w:rsidP="003D6D4C">
      <w:pPr>
        <w:autoSpaceDE w:val="0"/>
        <w:autoSpaceDN w:val="0"/>
        <w:adjustRightInd w:val="0"/>
        <w:spacing w:after="0" w:line="240" w:lineRule="auto"/>
        <w:jc w:val="left"/>
        <w:rPr>
          <w:rFonts w:cs="Times New Roman"/>
          <w:b/>
          <w:sz w:val="32"/>
          <w:szCs w:val="32"/>
        </w:rPr>
      </w:pPr>
      <w:r>
        <w:rPr>
          <w:rFonts w:cs="Times New Roman"/>
          <w:b/>
          <w:sz w:val="32"/>
          <w:szCs w:val="32"/>
        </w:rPr>
        <w:lastRenderedPageBreak/>
        <w:t>REFERENCES</w:t>
      </w:r>
    </w:p>
    <w:p w14:paraId="399417FA" w14:textId="77777777" w:rsidR="00563708" w:rsidRDefault="00563708" w:rsidP="00563708">
      <w:pPr>
        <w:autoSpaceDE w:val="0"/>
        <w:autoSpaceDN w:val="0"/>
        <w:adjustRightInd w:val="0"/>
        <w:spacing w:after="0" w:line="240" w:lineRule="auto"/>
        <w:rPr>
          <w:rFonts w:cs="Times New Roman"/>
          <w:b/>
          <w:sz w:val="32"/>
          <w:szCs w:val="32"/>
        </w:rPr>
      </w:pPr>
    </w:p>
    <w:p w14:paraId="0168B781" w14:textId="77777777" w:rsidR="00563708" w:rsidRDefault="00563708" w:rsidP="00563708">
      <w:pPr>
        <w:autoSpaceDE w:val="0"/>
        <w:autoSpaceDN w:val="0"/>
        <w:adjustRightInd w:val="0"/>
        <w:spacing w:after="0" w:line="240" w:lineRule="auto"/>
        <w:rPr>
          <w:rFonts w:cs="Times New Roman"/>
          <w:b/>
          <w:sz w:val="32"/>
          <w:szCs w:val="32"/>
        </w:rPr>
      </w:pPr>
    </w:p>
    <w:p w14:paraId="29546FA2" w14:textId="77777777" w:rsidR="00563708" w:rsidRDefault="00563708" w:rsidP="00563708">
      <w:pPr>
        <w:autoSpaceDE w:val="0"/>
        <w:autoSpaceDN w:val="0"/>
        <w:adjustRightInd w:val="0"/>
        <w:spacing w:after="0" w:line="240" w:lineRule="auto"/>
        <w:rPr>
          <w:rFonts w:cs="Times New Roman"/>
          <w:b/>
          <w:sz w:val="32"/>
          <w:szCs w:val="32"/>
        </w:rPr>
      </w:pPr>
    </w:p>
    <w:p w14:paraId="274B744B" w14:textId="77777777" w:rsidR="00563708" w:rsidRDefault="00563708" w:rsidP="00563708">
      <w:pPr>
        <w:autoSpaceDE w:val="0"/>
        <w:autoSpaceDN w:val="0"/>
        <w:adjustRightInd w:val="0"/>
        <w:spacing w:after="0" w:line="240" w:lineRule="auto"/>
        <w:rPr>
          <w:rFonts w:cs="Times New Roman"/>
          <w:b/>
          <w:sz w:val="32"/>
          <w:szCs w:val="32"/>
        </w:rPr>
      </w:pPr>
    </w:p>
    <w:p w14:paraId="14B92971" w14:textId="77777777" w:rsidR="00563708" w:rsidRDefault="00563708" w:rsidP="00563708">
      <w:pPr>
        <w:autoSpaceDE w:val="0"/>
        <w:autoSpaceDN w:val="0"/>
        <w:adjustRightInd w:val="0"/>
        <w:spacing w:after="0" w:line="240" w:lineRule="auto"/>
        <w:rPr>
          <w:rFonts w:cs="Times New Roman"/>
          <w:b/>
          <w:sz w:val="32"/>
          <w:szCs w:val="32"/>
        </w:rPr>
      </w:pPr>
    </w:p>
    <w:p w14:paraId="1E779B1F" w14:textId="77777777" w:rsidR="00563708" w:rsidRDefault="00563708" w:rsidP="00563708">
      <w:pPr>
        <w:autoSpaceDE w:val="0"/>
        <w:autoSpaceDN w:val="0"/>
        <w:adjustRightInd w:val="0"/>
        <w:spacing w:after="0" w:line="240" w:lineRule="auto"/>
        <w:rPr>
          <w:rFonts w:cs="Times New Roman"/>
          <w:b/>
          <w:sz w:val="32"/>
          <w:szCs w:val="32"/>
        </w:rPr>
      </w:pPr>
    </w:p>
    <w:p w14:paraId="6D86C5E5" w14:textId="77777777" w:rsidR="00563708" w:rsidRDefault="00563708" w:rsidP="00563708">
      <w:pPr>
        <w:autoSpaceDE w:val="0"/>
        <w:autoSpaceDN w:val="0"/>
        <w:adjustRightInd w:val="0"/>
        <w:spacing w:after="0" w:line="240" w:lineRule="auto"/>
        <w:rPr>
          <w:rFonts w:cs="Times New Roman"/>
          <w:b/>
          <w:sz w:val="32"/>
          <w:szCs w:val="32"/>
        </w:rPr>
      </w:pPr>
    </w:p>
    <w:p w14:paraId="6662CB47" w14:textId="77777777" w:rsidR="00563708" w:rsidRDefault="00563708" w:rsidP="00563708">
      <w:pPr>
        <w:autoSpaceDE w:val="0"/>
        <w:autoSpaceDN w:val="0"/>
        <w:adjustRightInd w:val="0"/>
        <w:spacing w:after="0" w:line="240" w:lineRule="auto"/>
        <w:rPr>
          <w:rFonts w:cs="Times New Roman"/>
          <w:b/>
          <w:sz w:val="32"/>
          <w:szCs w:val="32"/>
        </w:rPr>
      </w:pPr>
    </w:p>
    <w:p w14:paraId="771D465F" w14:textId="77777777" w:rsidR="00563708" w:rsidRDefault="00563708" w:rsidP="00563708">
      <w:pPr>
        <w:autoSpaceDE w:val="0"/>
        <w:autoSpaceDN w:val="0"/>
        <w:adjustRightInd w:val="0"/>
        <w:spacing w:after="0" w:line="240" w:lineRule="auto"/>
        <w:rPr>
          <w:rFonts w:cs="Times New Roman"/>
          <w:b/>
          <w:sz w:val="32"/>
          <w:szCs w:val="32"/>
        </w:rPr>
      </w:pPr>
    </w:p>
    <w:p w14:paraId="392193B6" w14:textId="77777777" w:rsidR="00563708" w:rsidRDefault="00563708" w:rsidP="00563708">
      <w:pPr>
        <w:autoSpaceDE w:val="0"/>
        <w:autoSpaceDN w:val="0"/>
        <w:adjustRightInd w:val="0"/>
        <w:spacing w:after="0" w:line="240" w:lineRule="auto"/>
        <w:rPr>
          <w:rFonts w:cs="Times New Roman"/>
          <w:b/>
          <w:sz w:val="32"/>
          <w:szCs w:val="32"/>
        </w:rPr>
      </w:pPr>
    </w:p>
    <w:p w14:paraId="582C87DB" w14:textId="77777777" w:rsidR="00563708" w:rsidRDefault="00563708" w:rsidP="00563708">
      <w:pPr>
        <w:autoSpaceDE w:val="0"/>
        <w:autoSpaceDN w:val="0"/>
        <w:adjustRightInd w:val="0"/>
        <w:spacing w:after="0" w:line="240" w:lineRule="auto"/>
        <w:rPr>
          <w:rFonts w:cs="Times New Roman"/>
          <w:b/>
          <w:sz w:val="32"/>
          <w:szCs w:val="32"/>
        </w:rPr>
      </w:pPr>
    </w:p>
    <w:p w14:paraId="3F64B520" w14:textId="77777777" w:rsidR="00563708" w:rsidRDefault="00563708" w:rsidP="00563708">
      <w:pPr>
        <w:autoSpaceDE w:val="0"/>
        <w:autoSpaceDN w:val="0"/>
        <w:adjustRightInd w:val="0"/>
        <w:spacing w:after="0" w:line="240" w:lineRule="auto"/>
        <w:rPr>
          <w:rFonts w:cs="Times New Roman"/>
          <w:b/>
          <w:sz w:val="32"/>
          <w:szCs w:val="32"/>
        </w:rPr>
      </w:pPr>
    </w:p>
    <w:p w14:paraId="15855AEE" w14:textId="77777777" w:rsidR="00563708" w:rsidRDefault="00563708" w:rsidP="00563708">
      <w:pPr>
        <w:autoSpaceDE w:val="0"/>
        <w:autoSpaceDN w:val="0"/>
        <w:adjustRightInd w:val="0"/>
        <w:spacing w:after="0" w:line="240" w:lineRule="auto"/>
        <w:rPr>
          <w:rFonts w:cs="Times New Roman"/>
          <w:b/>
          <w:sz w:val="32"/>
          <w:szCs w:val="32"/>
        </w:rPr>
      </w:pPr>
    </w:p>
    <w:p w14:paraId="37FE08D2" w14:textId="77777777" w:rsidR="00563708" w:rsidRDefault="00563708" w:rsidP="00563708">
      <w:pPr>
        <w:autoSpaceDE w:val="0"/>
        <w:autoSpaceDN w:val="0"/>
        <w:adjustRightInd w:val="0"/>
        <w:spacing w:after="0" w:line="240" w:lineRule="auto"/>
        <w:rPr>
          <w:rFonts w:cs="Times New Roman"/>
          <w:b/>
          <w:sz w:val="32"/>
          <w:szCs w:val="32"/>
        </w:rPr>
      </w:pPr>
    </w:p>
    <w:p w14:paraId="27A52826" w14:textId="77777777" w:rsidR="00563708" w:rsidRDefault="00563708" w:rsidP="00563708">
      <w:pPr>
        <w:autoSpaceDE w:val="0"/>
        <w:autoSpaceDN w:val="0"/>
        <w:adjustRightInd w:val="0"/>
        <w:spacing w:after="0" w:line="240" w:lineRule="auto"/>
        <w:rPr>
          <w:rFonts w:cs="Times New Roman"/>
          <w:b/>
          <w:sz w:val="32"/>
          <w:szCs w:val="32"/>
        </w:rPr>
      </w:pPr>
    </w:p>
    <w:p w14:paraId="0601F4B4" w14:textId="77777777" w:rsidR="00563708" w:rsidRDefault="00563708" w:rsidP="00563708">
      <w:pPr>
        <w:autoSpaceDE w:val="0"/>
        <w:autoSpaceDN w:val="0"/>
        <w:adjustRightInd w:val="0"/>
        <w:spacing w:after="0" w:line="240" w:lineRule="auto"/>
        <w:rPr>
          <w:rFonts w:cs="Times New Roman"/>
          <w:b/>
          <w:sz w:val="32"/>
          <w:szCs w:val="32"/>
        </w:rPr>
      </w:pPr>
    </w:p>
    <w:p w14:paraId="14154807" w14:textId="77777777" w:rsidR="00563708" w:rsidRDefault="00563708" w:rsidP="00563708">
      <w:pPr>
        <w:autoSpaceDE w:val="0"/>
        <w:autoSpaceDN w:val="0"/>
        <w:adjustRightInd w:val="0"/>
        <w:spacing w:after="0" w:line="240" w:lineRule="auto"/>
        <w:rPr>
          <w:rFonts w:cs="Times New Roman"/>
          <w:b/>
          <w:sz w:val="32"/>
          <w:szCs w:val="32"/>
        </w:rPr>
      </w:pPr>
    </w:p>
    <w:p w14:paraId="0F78F596" w14:textId="77777777" w:rsidR="00563708" w:rsidRDefault="00563708" w:rsidP="00563708">
      <w:pPr>
        <w:autoSpaceDE w:val="0"/>
        <w:autoSpaceDN w:val="0"/>
        <w:adjustRightInd w:val="0"/>
        <w:spacing w:after="0" w:line="240" w:lineRule="auto"/>
        <w:rPr>
          <w:rFonts w:cs="Times New Roman"/>
          <w:b/>
          <w:sz w:val="32"/>
          <w:szCs w:val="32"/>
        </w:rPr>
      </w:pPr>
    </w:p>
    <w:p w14:paraId="2E722215" w14:textId="77777777" w:rsidR="00563708" w:rsidRDefault="00563708" w:rsidP="00563708">
      <w:pPr>
        <w:autoSpaceDE w:val="0"/>
        <w:autoSpaceDN w:val="0"/>
        <w:adjustRightInd w:val="0"/>
        <w:spacing w:after="0" w:line="240" w:lineRule="auto"/>
        <w:rPr>
          <w:rFonts w:cs="Times New Roman"/>
          <w:b/>
          <w:sz w:val="32"/>
          <w:szCs w:val="32"/>
        </w:rPr>
      </w:pPr>
    </w:p>
    <w:p w14:paraId="6B924802" w14:textId="77777777" w:rsidR="00563708" w:rsidRDefault="00563708" w:rsidP="00563708">
      <w:pPr>
        <w:autoSpaceDE w:val="0"/>
        <w:autoSpaceDN w:val="0"/>
        <w:adjustRightInd w:val="0"/>
        <w:spacing w:after="0" w:line="240" w:lineRule="auto"/>
        <w:rPr>
          <w:rFonts w:cs="Times New Roman"/>
          <w:b/>
          <w:sz w:val="32"/>
          <w:szCs w:val="32"/>
        </w:rPr>
      </w:pPr>
    </w:p>
    <w:p w14:paraId="65E16066" w14:textId="77777777" w:rsidR="00563708" w:rsidRDefault="00563708" w:rsidP="00563708">
      <w:pPr>
        <w:autoSpaceDE w:val="0"/>
        <w:autoSpaceDN w:val="0"/>
        <w:adjustRightInd w:val="0"/>
        <w:spacing w:after="0" w:line="240" w:lineRule="auto"/>
        <w:rPr>
          <w:rFonts w:cs="Times New Roman"/>
          <w:b/>
          <w:sz w:val="32"/>
          <w:szCs w:val="32"/>
        </w:rPr>
      </w:pPr>
    </w:p>
    <w:p w14:paraId="123C03A5" w14:textId="77777777" w:rsidR="00563708" w:rsidRDefault="00563708" w:rsidP="00563708">
      <w:pPr>
        <w:autoSpaceDE w:val="0"/>
        <w:autoSpaceDN w:val="0"/>
        <w:adjustRightInd w:val="0"/>
        <w:spacing w:after="0" w:line="240" w:lineRule="auto"/>
        <w:rPr>
          <w:rFonts w:cs="Times New Roman"/>
          <w:b/>
          <w:sz w:val="32"/>
          <w:szCs w:val="32"/>
        </w:rPr>
      </w:pPr>
    </w:p>
    <w:p w14:paraId="23649B92" w14:textId="77777777" w:rsidR="00563708" w:rsidRDefault="00563708" w:rsidP="00343544">
      <w:pPr>
        <w:autoSpaceDE w:val="0"/>
        <w:autoSpaceDN w:val="0"/>
        <w:adjustRightInd w:val="0"/>
        <w:spacing w:after="0" w:line="240" w:lineRule="auto"/>
        <w:jc w:val="left"/>
        <w:rPr>
          <w:rFonts w:cs="Times New Roman"/>
          <w:b/>
          <w:sz w:val="32"/>
          <w:szCs w:val="32"/>
        </w:rPr>
      </w:pPr>
    </w:p>
    <w:p w14:paraId="65B10694" w14:textId="77777777" w:rsidR="00563708" w:rsidRDefault="00563708" w:rsidP="00563708">
      <w:pPr>
        <w:autoSpaceDE w:val="0"/>
        <w:autoSpaceDN w:val="0"/>
        <w:adjustRightInd w:val="0"/>
        <w:spacing w:after="0" w:line="240" w:lineRule="auto"/>
        <w:rPr>
          <w:rFonts w:cs="Times New Roman"/>
          <w:b/>
          <w:sz w:val="32"/>
          <w:szCs w:val="32"/>
        </w:rPr>
      </w:pPr>
    </w:p>
    <w:p w14:paraId="53565419" w14:textId="77777777" w:rsidR="00563708" w:rsidRDefault="00563708" w:rsidP="00563708">
      <w:pPr>
        <w:autoSpaceDE w:val="0"/>
        <w:autoSpaceDN w:val="0"/>
        <w:adjustRightInd w:val="0"/>
        <w:spacing w:after="0" w:line="240" w:lineRule="auto"/>
        <w:rPr>
          <w:rFonts w:cs="Times New Roman"/>
          <w:b/>
          <w:sz w:val="32"/>
          <w:szCs w:val="32"/>
        </w:rPr>
      </w:pPr>
    </w:p>
    <w:p w14:paraId="31E53859" w14:textId="77777777" w:rsidR="00563708" w:rsidRDefault="00563708" w:rsidP="00563708">
      <w:pPr>
        <w:autoSpaceDE w:val="0"/>
        <w:autoSpaceDN w:val="0"/>
        <w:adjustRightInd w:val="0"/>
        <w:spacing w:after="0" w:line="240" w:lineRule="auto"/>
        <w:rPr>
          <w:rFonts w:cs="Times New Roman"/>
          <w:b/>
          <w:sz w:val="32"/>
          <w:szCs w:val="32"/>
        </w:rPr>
      </w:pPr>
    </w:p>
    <w:p w14:paraId="41AF6C13" w14:textId="77777777" w:rsidR="00563708" w:rsidRDefault="00563708" w:rsidP="00563708">
      <w:pPr>
        <w:autoSpaceDE w:val="0"/>
        <w:autoSpaceDN w:val="0"/>
        <w:adjustRightInd w:val="0"/>
        <w:spacing w:after="0" w:line="240" w:lineRule="auto"/>
        <w:rPr>
          <w:rFonts w:cs="Times New Roman"/>
          <w:b/>
          <w:sz w:val="32"/>
          <w:szCs w:val="32"/>
        </w:rPr>
      </w:pPr>
    </w:p>
    <w:p w14:paraId="01D1E228" w14:textId="77777777" w:rsidR="00563708" w:rsidRDefault="00563708" w:rsidP="00563708">
      <w:pPr>
        <w:autoSpaceDE w:val="0"/>
        <w:autoSpaceDN w:val="0"/>
        <w:adjustRightInd w:val="0"/>
        <w:spacing w:after="0" w:line="240" w:lineRule="auto"/>
        <w:rPr>
          <w:rFonts w:cs="Times New Roman"/>
          <w:b/>
          <w:sz w:val="32"/>
          <w:szCs w:val="32"/>
        </w:rPr>
      </w:pPr>
    </w:p>
    <w:p w14:paraId="6BDDD66B" w14:textId="77777777" w:rsidR="00563708" w:rsidRDefault="00563708" w:rsidP="00563708">
      <w:pPr>
        <w:autoSpaceDE w:val="0"/>
        <w:autoSpaceDN w:val="0"/>
        <w:adjustRightInd w:val="0"/>
        <w:spacing w:after="0" w:line="240" w:lineRule="auto"/>
        <w:rPr>
          <w:rFonts w:cs="Times New Roman"/>
          <w:b/>
          <w:sz w:val="32"/>
          <w:szCs w:val="32"/>
        </w:rPr>
      </w:pPr>
    </w:p>
    <w:p w14:paraId="3877C86D" w14:textId="77777777" w:rsidR="00563708" w:rsidRDefault="00563708" w:rsidP="00563708">
      <w:pPr>
        <w:autoSpaceDE w:val="0"/>
        <w:autoSpaceDN w:val="0"/>
        <w:adjustRightInd w:val="0"/>
        <w:spacing w:after="0" w:line="240" w:lineRule="auto"/>
        <w:rPr>
          <w:rFonts w:cs="Times New Roman"/>
          <w:b/>
          <w:sz w:val="32"/>
          <w:szCs w:val="32"/>
        </w:rPr>
      </w:pPr>
    </w:p>
    <w:p w14:paraId="6650CA3F" w14:textId="77777777" w:rsidR="00563708" w:rsidRPr="006535BE" w:rsidRDefault="00563708" w:rsidP="00343544">
      <w:pPr>
        <w:autoSpaceDE w:val="0"/>
        <w:autoSpaceDN w:val="0"/>
        <w:adjustRightInd w:val="0"/>
        <w:spacing w:after="0" w:line="240" w:lineRule="auto"/>
        <w:jc w:val="left"/>
        <w:rPr>
          <w:rFonts w:cs="Times New Roman"/>
          <w:b/>
          <w:sz w:val="32"/>
          <w:szCs w:val="32"/>
        </w:rPr>
      </w:pPr>
    </w:p>
    <w:p w14:paraId="446BCC1F" w14:textId="77777777" w:rsidR="00D00A8B" w:rsidRDefault="00D00A8B" w:rsidP="00177DF2">
      <w:pPr>
        <w:jc w:val="left"/>
        <w:rPr>
          <w:rFonts w:cs="Times New Roman"/>
          <w:szCs w:val="24"/>
        </w:rPr>
      </w:pPr>
    </w:p>
    <w:p w14:paraId="18F0D7A2" w14:textId="77777777" w:rsidR="00DF20CB" w:rsidRPr="001641B4" w:rsidRDefault="00D00A8B" w:rsidP="001641B4">
      <w:pPr>
        <w:pStyle w:val="EndNoteBibliography"/>
        <w:ind w:left="720" w:hanging="720"/>
        <w:jc w:val="left"/>
        <w:rPr>
          <w:rFonts w:ascii="Times New Roman" w:hAnsi="Times New Roman"/>
          <w:noProof/>
          <w:sz w:val="24"/>
        </w:rPr>
      </w:pPr>
      <w:r w:rsidRPr="001641B4">
        <w:rPr>
          <w:rFonts w:ascii="Times New Roman" w:hAnsi="Times New Roman"/>
          <w:sz w:val="24"/>
        </w:rPr>
        <w:lastRenderedPageBreak/>
        <w:fldChar w:fldCharType="begin"/>
      </w:r>
      <w:r w:rsidRPr="001641B4">
        <w:rPr>
          <w:rFonts w:ascii="Times New Roman" w:hAnsi="Times New Roman"/>
          <w:sz w:val="24"/>
        </w:rPr>
        <w:instrText xml:space="preserve"> ADDIN EN.REFLIST </w:instrText>
      </w:r>
      <w:r w:rsidRPr="001641B4">
        <w:rPr>
          <w:rFonts w:ascii="Times New Roman" w:hAnsi="Times New Roman"/>
          <w:sz w:val="24"/>
        </w:rPr>
        <w:fldChar w:fldCharType="separate"/>
      </w:r>
      <w:bookmarkStart w:id="76" w:name="_ENREF_1"/>
      <w:r w:rsidR="00DF20CB" w:rsidRPr="001641B4">
        <w:rPr>
          <w:rFonts w:ascii="Times New Roman" w:hAnsi="Times New Roman"/>
          <w:noProof/>
          <w:sz w:val="24"/>
        </w:rPr>
        <w:t>1.</w:t>
      </w:r>
      <w:r w:rsidR="00DF20CB" w:rsidRPr="001641B4">
        <w:rPr>
          <w:rFonts w:ascii="Times New Roman" w:hAnsi="Times New Roman"/>
          <w:noProof/>
          <w:sz w:val="24"/>
        </w:rPr>
        <w:tab/>
        <w:t xml:space="preserve">George, N.M., et al., </w:t>
      </w:r>
      <w:r w:rsidR="00DF20CB" w:rsidRPr="001641B4">
        <w:rPr>
          <w:rFonts w:ascii="Times New Roman" w:hAnsi="Times New Roman"/>
          <w:i/>
          <w:noProof/>
          <w:sz w:val="24"/>
        </w:rPr>
        <w:t>Neutronics studies of uranium-bearing fully ceramic microencapsulated fuel for pressurized water reactors.</w:t>
      </w:r>
      <w:r w:rsidR="00DF20CB" w:rsidRPr="001641B4">
        <w:rPr>
          <w:rFonts w:ascii="Times New Roman" w:hAnsi="Times New Roman"/>
          <w:noProof/>
          <w:sz w:val="24"/>
        </w:rPr>
        <w:t xml:space="preserve"> Nuclear Technology, 2014. </w:t>
      </w:r>
      <w:r w:rsidR="00DF20CB" w:rsidRPr="001641B4">
        <w:rPr>
          <w:rFonts w:ascii="Times New Roman" w:hAnsi="Times New Roman"/>
          <w:b/>
          <w:noProof/>
          <w:sz w:val="24"/>
        </w:rPr>
        <w:t>188</w:t>
      </w:r>
      <w:r w:rsidR="00DF20CB" w:rsidRPr="001641B4">
        <w:rPr>
          <w:rFonts w:ascii="Times New Roman" w:hAnsi="Times New Roman"/>
          <w:noProof/>
          <w:sz w:val="24"/>
        </w:rPr>
        <w:t>(3): p. 2.</w:t>
      </w:r>
      <w:bookmarkEnd w:id="76"/>
    </w:p>
    <w:p w14:paraId="26BC2A87" w14:textId="77777777" w:rsidR="00DF20CB" w:rsidRPr="001641B4" w:rsidRDefault="00DF20CB" w:rsidP="001641B4">
      <w:pPr>
        <w:pStyle w:val="EndNoteBibliography"/>
        <w:ind w:left="720" w:hanging="720"/>
        <w:jc w:val="left"/>
        <w:rPr>
          <w:rFonts w:ascii="Times New Roman" w:hAnsi="Times New Roman"/>
          <w:noProof/>
          <w:sz w:val="24"/>
        </w:rPr>
      </w:pPr>
      <w:bookmarkStart w:id="77" w:name="_ENREF_2"/>
      <w:r w:rsidRPr="001641B4">
        <w:rPr>
          <w:rFonts w:ascii="Times New Roman" w:hAnsi="Times New Roman"/>
          <w:noProof/>
          <w:sz w:val="24"/>
        </w:rPr>
        <w:t>2.</w:t>
      </w:r>
      <w:r w:rsidRPr="001641B4">
        <w:rPr>
          <w:rFonts w:ascii="Times New Roman" w:hAnsi="Times New Roman"/>
          <w:noProof/>
          <w:sz w:val="24"/>
        </w:rPr>
        <w:tab/>
        <w:t xml:space="preserve">Azevedo, C., </w:t>
      </w:r>
      <w:r w:rsidRPr="001641B4">
        <w:rPr>
          <w:rFonts w:ascii="Times New Roman" w:hAnsi="Times New Roman"/>
          <w:i/>
          <w:noProof/>
          <w:sz w:val="24"/>
        </w:rPr>
        <w:t>Selection of fuel cladding material for nuclear fission reactors.</w:t>
      </w:r>
      <w:r w:rsidRPr="001641B4">
        <w:rPr>
          <w:rFonts w:ascii="Times New Roman" w:hAnsi="Times New Roman"/>
          <w:noProof/>
          <w:sz w:val="24"/>
        </w:rPr>
        <w:t xml:space="preserve"> Engineering Failure Analysis, 2011. </w:t>
      </w:r>
      <w:r w:rsidRPr="001641B4">
        <w:rPr>
          <w:rFonts w:ascii="Times New Roman" w:hAnsi="Times New Roman"/>
          <w:b/>
          <w:noProof/>
          <w:sz w:val="24"/>
        </w:rPr>
        <w:t>18</w:t>
      </w:r>
      <w:r w:rsidRPr="001641B4">
        <w:rPr>
          <w:rFonts w:ascii="Times New Roman" w:hAnsi="Times New Roman"/>
          <w:noProof/>
          <w:sz w:val="24"/>
        </w:rPr>
        <w:t>(8): p. 1943-1962.</w:t>
      </w:r>
      <w:bookmarkEnd w:id="77"/>
    </w:p>
    <w:p w14:paraId="05F8FB2C" w14:textId="77777777" w:rsidR="00DF20CB" w:rsidRPr="001641B4" w:rsidRDefault="00DF20CB" w:rsidP="001641B4">
      <w:pPr>
        <w:pStyle w:val="EndNoteBibliography"/>
        <w:ind w:left="720" w:hanging="720"/>
        <w:jc w:val="left"/>
        <w:rPr>
          <w:rFonts w:ascii="Times New Roman" w:hAnsi="Times New Roman"/>
          <w:noProof/>
          <w:sz w:val="24"/>
        </w:rPr>
      </w:pPr>
      <w:bookmarkStart w:id="78" w:name="_ENREF_3"/>
      <w:r w:rsidRPr="001641B4">
        <w:rPr>
          <w:rFonts w:ascii="Times New Roman" w:hAnsi="Times New Roman"/>
          <w:noProof/>
          <w:sz w:val="24"/>
        </w:rPr>
        <w:t>3.</w:t>
      </w:r>
      <w:r w:rsidRPr="001641B4">
        <w:rPr>
          <w:rFonts w:ascii="Times New Roman" w:hAnsi="Times New Roman"/>
          <w:noProof/>
          <w:sz w:val="24"/>
        </w:rPr>
        <w:tab/>
        <w:t xml:space="preserve">George, N.M., K.A. Terrani, and J.J. Powers, </w:t>
      </w:r>
      <w:r w:rsidRPr="001641B4">
        <w:rPr>
          <w:rFonts w:ascii="Times New Roman" w:hAnsi="Times New Roman"/>
          <w:i/>
          <w:noProof/>
          <w:sz w:val="24"/>
        </w:rPr>
        <w:t>Neutronic analysis of candidate accident-tolerant iron alloy cladding concepts</w:t>
      </w:r>
      <w:r w:rsidRPr="001641B4">
        <w:rPr>
          <w:rFonts w:ascii="Times New Roman" w:hAnsi="Times New Roman"/>
          <w:noProof/>
          <w:sz w:val="24"/>
        </w:rPr>
        <w:t>. 2013, Oak Ridge National Laboratory (ORNL).</w:t>
      </w:r>
      <w:bookmarkEnd w:id="78"/>
    </w:p>
    <w:p w14:paraId="5380E0B0" w14:textId="77777777" w:rsidR="00DF20CB" w:rsidRPr="001641B4" w:rsidRDefault="00DF20CB" w:rsidP="001641B4">
      <w:pPr>
        <w:pStyle w:val="EndNoteBibliography"/>
        <w:ind w:left="720" w:hanging="720"/>
        <w:jc w:val="left"/>
        <w:rPr>
          <w:rFonts w:ascii="Times New Roman" w:hAnsi="Times New Roman"/>
          <w:noProof/>
          <w:sz w:val="24"/>
        </w:rPr>
      </w:pPr>
      <w:bookmarkStart w:id="79" w:name="_ENREF_4"/>
      <w:r w:rsidRPr="001641B4">
        <w:rPr>
          <w:rFonts w:ascii="Times New Roman" w:hAnsi="Times New Roman"/>
          <w:noProof/>
          <w:sz w:val="24"/>
        </w:rPr>
        <w:t>4.</w:t>
      </w:r>
      <w:r w:rsidRPr="001641B4">
        <w:rPr>
          <w:rFonts w:ascii="Times New Roman" w:hAnsi="Times New Roman"/>
          <w:noProof/>
          <w:sz w:val="24"/>
        </w:rPr>
        <w:tab/>
        <w:t xml:space="preserve">Nicol, K. </w:t>
      </w:r>
      <w:r w:rsidRPr="001641B4">
        <w:rPr>
          <w:rFonts w:ascii="Times New Roman" w:hAnsi="Times New Roman"/>
          <w:i/>
          <w:noProof/>
          <w:sz w:val="24"/>
        </w:rPr>
        <w:t>America's First Civilian Nuclear Plant</w:t>
      </w:r>
      <w:r w:rsidRPr="001641B4">
        <w:rPr>
          <w:rFonts w:ascii="Times New Roman" w:hAnsi="Times New Roman"/>
          <w:noProof/>
          <w:sz w:val="24"/>
        </w:rPr>
        <w:t>. Penn State Libraries 2010.</w:t>
      </w:r>
      <w:bookmarkEnd w:id="79"/>
    </w:p>
    <w:p w14:paraId="2161AE1B" w14:textId="77777777" w:rsidR="00DF20CB" w:rsidRPr="001641B4" w:rsidRDefault="00DF20CB" w:rsidP="001641B4">
      <w:pPr>
        <w:pStyle w:val="EndNoteBibliography"/>
        <w:ind w:left="720" w:hanging="720"/>
        <w:jc w:val="left"/>
        <w:rPr>
          <w:rFonts w:ascii="Times New Roman" w:hAnsi="Times New Roman"/>
          <w:noProof/>
          <w:sz w:val="24"/>
        </w:rPr>
      </w:pPr>
      <w:bookmarkStart w:id="80" w:name="_ENREF_5"/>
      <w:r w:rsidRPr="001641B4">
        <w:rPr>
          <w:rFonts w:ascii="Times New Roman" w:hAnsi="Times New Roman"/>
          <w:noProof/>
          <w:sz w:val="24"/>
        </w:rPr>
        <w:t>5.</w:t>
      </w:r>
      <w:r w:rsidRPr="001641B4">
        <w:rPr>
          <w:rFonts w:ascii="Times New Roman" w:hAnsi="Times New Roman"/>
          <w:noProof/>
          <w:sz w:val="24"/>
        </w:rPr>
        <w:tab/>
        <w:t xml:space="preserve">Makhijani, A., </w:t>
      </w:r>
      <w:r w:rsidRPr="001641B4">
        <w:rPr>
          <w:rFonts w:ascii="Times New Roman" w:hAnsi="Times New Roman"/>
          <w:i/>
          <w:noProof/>
          <w:sz w:val="24"/>
        </w:rPr>
        <w:t>Nuclear fuel rod cladding material.</w:t>
      </w:r>
      <w:r w:rsidRPr="001641B4">
        <w:rPr>
          <w:rFonts w:ascii="Times New Roman" w:hAnsi="Times New Roman"/>
          <w:noProof/>
          <w:sz w:val="24"/>
        </w:rPr>
        <w:t xml:space="preserve"> Institute for Energy and Environmental Research, 2011.</w:t>
      </w:r>
      <w:bookmarkEnd w:id="80"/>
    </w:p>
    <w:p w14:paraId="378F9629" w14:textId="77777777" w:rsidR="00DF20CB" w:rsidRPr="001641B4" w:rsidRDefault="00DF20CB" w:rsidP="001641B4">
      <w:pPr>
        <w:pStyle w:val="EndNoteBibliography"/>
        <w:ind w:left="720" w:hanging="720"/>
        <w:jc w:val="left"/>
        <w:rPr>
          <w:rFonts w:ascii="Times New Roman" w:hAnsi="Times New Roman"/>
          <w:noProof/>
          <w:sz w:val="24"/>
        </w:rPr>
      </w:pPr>
      <w:bookmarkStart w:id="81" w:name="_ENREF_6"/>
      <w:r w:rsidRPr="001641B4">
        <w:rPr>
          <w:rFonts w:ascii="Times New Roman" w:hAnsi="Times New Roman"/>
          <w:noProof/>
          <w:sz w:val="24"/>
        </w:rPr>
        <w:t>6.</w:t>
      </w:r>
      <w:r w:rsidRPr="001641B4">
        <w:rPr>
          <w:rFonts w:ascii="Times New Roman" w:hAnsi="Times New Roman"/>
          <w:noProof/>
          <w:sz w:val="24"/>
        </w:rPr>
        <w:tab/>
        <w:t xml:space="preserve">Koo, Y.-H., Y.-S. Yang, and K.-W. Song, </w:t>
      </w:r>
      <w:r w:rsidRPr="001641B4">
        <w:rPr>
          <w:rFonts w:ascii="Times New Roman" w:hAnsi="Times New Roman"/>
          <w:i/>
          <w:noProof/>
          <w:sz w:val="24"/>
        </w:rPr>
        <w:t>Radioactivity release from the Fukushima accident and its consequences: A review.</w:t>
      </w:r>
      <w:r w:rsidRPr="001641B4">
        <w:rPr>
          <w:rFonts w:ascii="Times New Roman" w:hAnsi="Times New Roman"/>
          <w:noProof/>
          <w:sz w:val="24"/>
        </w:rPr>
        <w:t xml:space="preserve"> Progress in Nuclear Energy, 2014. </w:t>
      </w:r>
      <w:r w:rsidRPr="001641B4">
        <w:rPr>
          <w:rFonts w:ascii="Times New Roman" w:hAnsi="Times New Roman"/>
          <w:b/>
          <w:noProof/>
          <w:sz w:val="24"/>
        </w:rPr>
        <w:t>74</w:t>
      </w:r>
      <w:r w:rsidRPr="001641B4">
        <w:rPr>
          <w:rFonts w:ascii="Times New Roman" w:hAnsi="Times New Roman"/>
          <w:noProof/>
          <w:sz w:val="24"/>
        </w:rPr>
        <w:t>: p. 61-70.</w:t>
      </w:r>
      <w:bookmarkEnd w:id="81"/>
    </w:p>
    <w:p w14:paraId="4B7DC9A7" w14:textId="77777777" w:rsidR="00DF20CB" w:rsidRPr="001641B4" w:rsidRDefault="00DF20CB" w:rsidP="001641B4">
      <w:pPr>
        <w:pStyle w:val="EndNoteBibliography"/>
        <w:ind w:left="720" w:hanging="720"/>
        <w:jc w:val="left"/>
        <w:rPr>
          <w:rFonts w:ascii="Times New Roman" w:hAnsi="Times New Roman"/>
          <w:noProof/>
          <w:sz w:val="24"/>
        </w:rPr>
      </w:pPr>
      <w:bookmarkStart w:id="82" w:name="_ENREF_7"/>
      <w:r w:rsidRPr="001641B4">
        <w:rPr>
          <w:rFonts w:ascii="Times New Roman" w:hAnsi="Times New Roman"/>
          <w:noProof/>
          <w:sz w:val="24"/>
        </w:rPr>
        <w:t>7.</w:t>
      </w:r>
      <w:r w:rsidRPr="001641B4">
        <w:rPr>
          <w:rFonts w:ascii="Times New Roman" w:hAnsi="Times New Roman"/>
          <w:noProof/>
          <w:sz w:val="24"/>
        </w:rPr>
        <w:tab/>
        <w:t xml:space="preserve">McCurry, J. </w:t>
      </w:r>
      <w:r w:rsidRPr="001641B4">
        <w:rPr>
          <w:rFonts w:ascii="Times New Roman" w:hAnsi="Times New Roman"/>
          <w:i/>
          <w:noProof/>
          <w:sz w:val="24"/>
        </w:rPr>
        <w:t>Fukushima operator may have to dump contaminated water into Pacific</w:t>
      </w:r>
      <w:r w:rsidRPr="001641B4">
        <w:rPr>
          <w:rFonts w:ascii="Times New Roman" w:hAnsi="Times New Roman"/>
          <w:noProof/>
          <w:sz w:val="24"/>
        </w:rPr>
        <w:t>. 2014.</w:t>
      </w:r>
      <w:bookmarkEnd w:id="82"/>
    </w:p>
    <w:p w14:paraId="32FBAAC8" w14:textId="77777777" w:rsidR="00DF20CB" w:rsidRPr="001641B4" w:rsidRDefault="00DF20CB" w:rsidP="001641B4">
      <w:pPr>
        <w:pStyle w:val="EndNoteBibliography"/>
        <w:ind w:left="720" w:hanging="720"/>
        <w:jc w:val="left"/>
        <w:rPr>
          <w:rFonts w:ascii="Times New Roman" w:hAnsi="Times New Roman"/>
          <w:noProof/>
          <w:sz w:val="24"/>
        </w:rPr>
      </w:pPr>
      <w:bookmarkStart w:id="83" w:name="_ENREF_8"/>
      <w:r w:rsidRPr="001641B4">
        <w:rPr>
          <w:rFonts w:ascii="Times New Roman" w:hAnsi="Times New Roman"/>
          <w:noProof/>
          <w:sz w:val="24"/>
        </w:rPr>
        <w:t>8.</w:t>
      </w:r>
      <w:r w:rsidRPr="001641B4">
        <w:rPr>
          <w:rFonts w:ascii="Times New Roman" w:hAnsi="Times New Roman"/>
          <w:noProof/>
          <w:sz w:val="24"/>
        </w:rPr>
        <w:tab/>
        <w:t xml:space="preserve">Venneri, F., et al., </w:t>
      </w:r>
      <w:r w:rsidRPr="001641B4">
        <w:rPr>
          <w:rFonts w:ascii="Times New Roman" w:hAnsi="Times New Roman"/>
          <w:i/>
          <w:noProof/>
          <w:sz w:val="24"/>
        </w:rPr>
        <w:t>Fully Ceramic Microencapsulated Fuels: A Transformational Technology for Present and Next Generation Reactors-Preliminary Analysis of FCM Fuel Reactor Operation.</w:t>
      </w:r>
      <w:r w:rsidRPr="001641B4">
        <w:rPr>
          <w:rFonts w:ascii="Times New Roman" w:hAnsi="Times New Roman"/>
          <w:noProof/>
          <w:sz w:val="24"/>
        </w:rPr>
        <w:t xml:space="preserve"> Transactions of the American Nuclear Society, 2011. </w:t>
      </w:r>
      <w:r w:rsidRPr="001641B4">
        <w:rPr>
          <w:rFonts w:ascii="Times New Roman" w:hAnsi="Times New Roman"/>
          <w:b/>
          <w:noProof/>
          <w:sz w:val="24"/>
        </w:rPr>
        <w:t>104</w:t>
      </w:r>
      <w:r w:rsidRPr="001641B4">
        <w:rPr>
          <w:rFonts w:ascii="Times New Roman" w:hAnsi="Times New Roman"/>
          <w:noProof/>
          <w:sz w:val="24"/>
        </w:rPr>
        <w:t>.</w:t>
      </w:r>
      <w:bookmarkEnd w:id="83"/>
    </w:p>
    <w:p w14:paraId="50F7EEAB" w14:textId="77777777" w:rsidR="00DF20CB" w:rsidRPr="001641B4" w:rsidRDefault="00DF20CB" w:rsidP="001641B4">
      <w:pPr>
        <w:pStyle w:val="EndNoteBibliography"/>
        <w:ind w:left="720" w:hanging="720"/>
        <w:jc w:val="left"/>
        <w:rPr>
          <w:rFonts w:ascii="Times New Roman" w:hAnsi="Times New Roman"/>
          <w:noProof/>
          <w:sz w:val="24"/>
        </w:rPr>
      </w:pPr>
      <w:bookmarkStart w:id="84" w:name="_ENREF_9"/>
      <w:r w:rsidRPr="001641B4">
        <w:rPr>
          <w:rFonts w:ascii="Times New Roman" w:hAnsi="Times New Roman"/>
          <w:noProof/>
          <w:sz w:val="24"/>
        </w:rPr>
        <w:t>9.</w:t>
      </w:r>
      <w:r w:rsidRPr="001641B4">
        <w:rPr>
          <w:rFonts w:ascii="Times New Roman" w:hAnsi="Times New Roman"/>
          <w:noProof/>
          <w:sz w:val="24"/>
        </w:rPr>
        <w:tab/>
        <w:t xml:space="preserve">Olander, D., </w:t>
      </w:r>
      <w:r w:rsidRPr="001641B4">
        <w:rPr>
          <w:rFonts w:ascii="Times New Roman" w:hAnsi="Times New Roman"/>
          <w:i/>
          <w:noProof/>
          <w:sz w:val="24"/>
        </w:rPr>
        <w:t>Nuclear fuels–Present and future.</w:t>
      </w:r>
      <w:r w:rsidRPr="001641B4">
        <w:rPr>
          <w:rFonts w:ascii="Times New Roman" w:hAnsi="Times New Roman"/>
          <w:noProof/>
          <w:sz w:val="24"/>
        </w:rPr>
        <w:t xml:space="preserve"> Journal of Nuclear Materials, 2009. </w:t>
      </w:r>
      <w:r w:rsidRPr="001641B4">
        <w:rPr>
          <w:rFonts w:ascii="Times New Roman" w:hAnsi="Times New Roman"/>
          <w:b/>
          <w:noProof/>
          <w:sz w:val="24"/>
        </w:rPr>
        <w:t>389</w:t>
      </w:r>
      <w:r w:rsidRPr="001641B4">
        <w:rPr>
          <w:rFonts w:ascii="Times New Roman" w:hAnsi="Times New Roman"/>
          <w:noProof/>
          <w:sz w:val="24"/>
        </w:rPr>
        <w:t>(1): p. 1-22.</w:t>
      </w:r>
      <w:bookmarkEnd w:id="84"/>
    </w:p>
    <w:p w14:paraId="5CA70BDE" w14:textId="77777777" w:rsidR="00DF20CB" w:rsidRPr="001641B4" w:rsidRDefault="00DF20CB" w:rsidP="001641B4">
      <w:pPr>
        <w:pStyle w:val="EndNoteBibliography"/>
        <w:ind w:left="720" w:hanging="720"/>
        <w:jc w:val="left"/>
        <w:rPr>
          <w:rFonts w:ascii="Times New Roman" w:hAnsi="Times New Roman"/>
          <w:noProof/>
          <w:sz w:val="24"/>
        </w:rPr>
      </w:pPr>
      <w:bookmarkStart w:id="85" w:name="_ENREF_10"/>
      <w:r w:rsidRPr="001641B4">
        <w:rPr>
          <w:rFonts w:ascii="Times New Roman" w:hAnsi="Times New Roman"/>
          <w:noProof/>
          <w:sz w:val="24"/>
        </w:rPr>
        <w:t>10.</w:t>
      </w:r>
      <w:r w:rsidRPr="001641B4">
        <w:rPr>
          <w:rFonts w:ascii="Times New Roman" w:hAnsi="Times New Roman"/>
          <w:noProof/>
          <w:sz w:val="24"/>
        </w:rPr>
        <w:tab/>
        <w:t xml:space="preserve">Powers, J.J. and B.D. Wirth, </w:t>
      </w:r>
      <w:r w:rsidRPr="001641B4">
        <w:rPr>
          <w:rFonts w:ascii="Times New Roman" w:hAnsi="Times New Roman"/>
          <w:i/>
          <w:noProof/>
          <w:sz w:val="24"/>
        </w:rPr>
        <w:t>A review of TRISO fuel performance models.</w:t>
      </w:r>
      <w:r w:rsidRPr="001641B4">
        <w:rPr>
          <w:rFonts w:ascii="Times New Roman" w:hAnsi="Times New Roman"/>
          <w:noProof/>
          <w:sz w:val="24"/>
        </w:rPr>
        <w:t xml:space="preserve"> Journal of Nuclear Materials, 2010. </w:t>
      </w:r>
      <w:r w:rsidRPr="001641B4">
        <w:rPr>
          <w:rFonts w:ascii="Times New Roman" w:hAnsi="Times New Roman"/>
          <w:b/>
          <w:noProof/>
          <w:sz w:val="24"/>
        </w:rPr>
        <w:t>405</w:t>
      </w:r>
      <w:r w:rsidRPr="001641B4">
        <w:rPr>
          <w:rFonts w:ascii="Times New Roman" w:hAnsi="Times New Roman"/>
          <w:noProof/>
          <w:sz w:val="24"/>
        </w:rPr>
        <w:t>(1): p. 74-82.</w:t>
      </w:r>
      <w:bookmarkEnd w:id="85"/>
    </w:p>
    <w:p w14:paraId="641F407D" w14:textId="77777777" w:rsidR="00DF20CB" w:rsidRPr="001641B4" w:rsidRDefault="00DF20CB" w:rsidP="001641B4">
      <w:pPr>
        <w:pStyle w:val="EndNoteBibliography"/>
        <w:ind w:left="720" w:hanging="720"/>
        <w:jc w:val="left"/>
        <w:rPr>
          <w:rFonts w:ascii="Times New Roman" w:hAnsi="Times New Roman"/>
          <w:noProof/>
          <w:sz w:val="24"/>
        </w:rPr>
      </w:pPr>
      <w:bookmarkStart w:id="86" w:name="_ENREF_11"/>
      <w:r w:rsidRPr="001641B4">
        <w:rPr>
          <w:rFonts w:ascii="Times New Roman" w:hAnsi="Times New Roman"/>
          <w:noProof/>
          <w:sz w:val="24"/>
        </w:rPr>
        <w:t>11.</w:t>
      </w:r>
      <w:r w:rsidRPr="001641B4">
        <w:rPr>
          <w:rFonts w:ascii="Times New Roman" w:hAnsi="Times New Roman"/>
          <w:noProof/>
          <w:sz w:val="24"/>
        </w:rPr>
        <w:tab/>
        <w:t xml:space="preserve">Hanson, D., </w:t>
      </w:r>
      <w:r w:rsidRPr="001641B4">
        <w:rPr>
          <w:rFonts w:ascii="Times New Roman" w:hAnsi="Times New Roman"/>
          <w:i/>
          <w:noProof/>
          <w:sz w:val="24"/>
        </w:rPr>
        <w:t>A review of radionuclide release from HTGR cores during normal operation.</w:t>
      </w:r>
      <w:r w:rsidRPr="001641B4">
        <w:rPr>
          <w:rFonts w:ascii="Times New Roman" w:hAnsi="Times New Roman"/>
          <w:noProof/>
          <w:sz w:val="24"/>
        </w:rPr>
        <w:t xml:space="preserve"> Electric Power Research Institute, Report, 2004. </w:t>
      </w:r>
      <w:r w:rsidRPr="001641B4">
        <w:rPr>
          <w:rFonts w:ascii="Times New Roman" w:hAnsi="Times New Roman"/>
          <w:b/>
          <w:noProof/>
          <w:sz w:val="24"/>
        </w:rPr>
        <w:t>1009382</w:t>
      </w:r>
      <w:r w:rsidRPr="001641B4">
        <w:rPr>
          <w:rFonts w:ascii="Times New Roman" w:hAnsi="Times New Roman"/>
          <w:noProof/>
          <w:sz w:val="24"/>
        </w:rPr>
        <w:t>.</w:t>
      </w:r>
      <w:bookmarkEnd w:id="86"/>
    </w:p>
    <w:p w14:paraId="171A4B88" w14:textId="77777777" w:rsidR="00DF20CB" w:rsidRPr="001641B4" w:rsidRDefault="00DF20CB" w:rsidP="001641B4">
      <w:pPr>
        <w:pStyle w:val="EndNoteBibliography"/>
        <w:ind w:left="720" w:hanging="720"/>
        <w:jc w:val="left"/>
        <w:rPr>
          <w:rFonts w:ascii="Times New Roman" w:hAnsi="Times New Roman"/>
          <w:noProof/>
          <w:sz w:val="24"/>
        </w:rPr>
      </w:pPr>
      <w:bookmarkStart w:id="87" w:name="_ENREF_12"/>
      <w:r w:rsidRPr="001641B4">
        <w:rPr>
          <w:rFonts w:ascii="Times New Roman" w:hAnsi="Times New Roman"/>
          <w:noProof/>
          <w:sz w:val="24"/>
        </w:rPr>
        <w:t>12.</w:t>
      </w:r>
      <w:r w:rsidRPr="001641B4">
        <w:rPr>
          <w:rFonts w:ascii="Times New Roman" w:hAnsi="Times New Roman"/>
          <w:noProof/>
          <w:sz w:val="24"/>
        </w:rPr>
        <w:tab/>
        <w:t xml:space="preserve">Terrani, K.A., L.L. Snead, and J.C. Gehin, </w:t>
      </w:r>
      <w:r w:rsidRPr="001641B4">
        <w:rPr>
          <w:rFonts w:ascii="Times New Roman" w:hAnsi="Times New Roman"/>
          <w:i/>
          <w:noProof/>
          <w:sz w:val="24"/>
        </w:rPr>
        <w:t>Microencapsulated fuel technology for commercial light water and advanced reactor application.</w:t>
      </w:r>
      <w:r w:rsidRPr="001641B4">
        <w:rPr>
          <w:rFonts w:ascii="Times New Roman" w:hAnsi="Times New Roman"/>
          <w:noProof/>
          <w:sz w:val="24"/>
        </w:rPr>
        <w:t xml:space="preserve"> Journal of Nuclear Materials, 2012. </w:t>
      </w:r>
      <w:r w:rsidRPr="001641B4">
        <w:rPr>
          <w:rFonts w:ascii="Times New Roman" w:hAnsi="Times New Roman"/>
          <w:b/>
          <w:noProof/>
          <w:sz w:val="24"/>
        </w:rPr>
        <w:t>427</w:t>
      </w:r>
      <w:r w:rsidRPr="001641B4">
        <w:rPr>
          <w:rFonts w:ascii="Times New Roman" w:hAnsi="Times New Roman"/>
          <w:noProof/>
          <w:sz w:val="24"/>
        </w:rPr>
        <w:t>(1): p. 209-224.</w:t>
      </w:r>
      <w:bookmarkEnd w:id="87"/>
    </w:p>
    <w:p w14:paraId="7BBDDBA9" w14:textId="77777777" w:rsidR="00DF20CB" w:rsidRPr="001641B4" w:rsidRDefault="00DF20CB" w:rsidP="001641B4">
      <w:pPr>
        <w:pStyle w:val="EndNoteBibliography"/>
        <w:ind w:left="720" w:hanging="720"/>
        <w:jc w:val="left"/>
        <w:rPr>
          <w:rFonts w:ascii="Times New Roman" w:hAnsi="Times New Roman"/>
          <w:noProof/>
          <w:sz w:val="24"/>
        </w:rPr>
      </w:pPr>
      <w:bookmarkStart w:id="88" w:name="_ENREF_13"/>
      <w:r w:rsidRPr="001641B4">
        <w:rPr>
          <w:rFonts w:ascii="Times New Roman" w:hAnsi="Times New Roman"/>
          <w:noProof/>
          <w:sz w:val="24"/>
        </w:rPr>
        <w:t>13.</w:t>
      </w:r>
      <w:r w:rsidRPr="001641B4">
        <w:rPr>
          <w:rFonts w:ascii="Times New Roman" w:hAnsi="Times New Roman"/>
          <w:noProof/>
          <w:sz w:val="24"/>
        </w:rPr>
        <w:tab/>
        <w:t xml:space="preserve">Was, G.S., </w:t>
      </w:r>
      <w:r w:rsidRPr="001641B4">
        <w:rPr>
          <w:rFonts w:ascii="Times New Roman" w:hAnsi="Times New Roman"/>
          <w:i/>
          <w:noProof/>
          <w:sz w:val="24"/>
        </w:rPr>
        <w:t>Fundamentals of radiation materials science</w:t>
      </w:r>
      <w:r w:rsidRPr="001641B4">
        <w:rPr>
          <w:rFonts w:ascii="Times New Roman" w:hAnsi="Times New Roman"/>
          <w:noProof/>
          <w:sz w:val="24"/>
        </w:rPr>
        <w:t>. 2007: Springer.</w:t>
      </w:r>
      <w:bookmarkEnd w:id="88"/>
    </w:p>
    <w:p w14:paraId="5CC93FDE" w14:textId="77777777" w:rsidR="00DF20CB" w:rsidRPr="001641B4" w:rsidRDefault="00DF20CB" w:rsidP="001641B4">
      <w:pPr>
        <w:pStyle w:val="EndNoteBibliography"/>
        <w:ind w:left="720" w:hanging="720"/>
        <w:jc w:val="left"/>
        <w:rPr>
          <w:rFonts w:ascii="Times New Roman" w:hAnsi="Times New Roman"/>
          <w:noProof/>
          <w:sz w:val="24"/>
        </w:rPr>
      </w:pPr>
      <w:bookmarkStart w:id="89" w:name="_ENREF_14"/>
      <w:r w:rsidRPr="001641B4">
        <w:rPr>
          <w:rFonts w:ascii="Times New Roman" w:hAnsi="Times New Roman"/>
          <w:noProof/>
          <w:sz w:val="24"/>
        </w:rPr>
        <w:t>14.</w:t>
      </w:r>
      <w:r w:rsidRPr="001641B4">
        <w:rPr>
          <w:rFonts w:ascii="Times New Roman" w:hAnsi="Times New Roman"/>
          <w:noProof/>
          <w:sz w:val="24"/>
        </w:rPr>
        <w:tab/>
        <w:t xml:space="preserve">Snead, L.L., et al., </w:t>
      </w:r>
      <w:r w:rsidRPr="001641B4">
        <w:rPr>
          <w:rFonts w:ascii="Times New Roman" w:hAnsi="Times New Roman"/>
          <w:i/>
          <w:noProof/>
          <w:sz w:val="24"/>
        </w:rPr>
        <w:t>Handbook of SiC properties for fuel performance modeling.</w:t>
      </w:r>
      <w:r w:rsidRPr="001641B4">
        <w:rPr>
          <w:rFonts w:ascii="Times New Roman" w:hAnsi="Times New Roman"/>
          <w:noProof/>
          <w:sz w:val="24"/>
        </w:rPr>
        <w:t xml:space="preserve"> Journal of Nuclear Materials, 2007. </w:t>
      </w:r>
      <w:r w:rsidRPr="001641B4">
        <w:rPr>
          <w:rFonts w:ascii="Times New Roman" w:hAnsi="Times New Roman"/>
          <w:b/>
          <w:noProof/>
          <w:sz w:val="24"/>
        </w:rPr>
        <w:t>371</w:t>
      </w:r>
      <w:r w:rsidRPr="001641B4">
        <w:rPr>
          <w:rFonts w:ascii="Times New Roman" w:hAnsi="Times New Roman"/>
          <w:noProof/>
          <w:sz w:val="24"/>
        </w:rPr>
        <w:t>(1): p. 329-377.</w:t>
      </w:r>
      <w:bookmarkEnd w:id="89"/>
    </w:p>
    <w:p w14:paraId="6F8A78D9" w14:textId="77777777" w:rsidR="00DF20CB" w:rsidRPr="001641B4" w:rsidRDefault="00DF20CB" w:rsidP="001641B4">
      <w:pPr>
        <w:pStyle w:val="EndNoteBibliography"/>
        <w:ind w:left="720" w:hanging="720"/>
        <w:jc w:val="left"/>
        <w:rPr>
          <w:rFonts w:ascii="Times New Roman" w:hAnsi="Times New Roman"/>
          <w:noProof/>
          <w:sz w:val="24"/>
        </w:rPr>
      </w:pPr>
      <w:bookmarkStart w:id="90" w:name="_ENREF_15"/>
      <w:r w:rsidRPr="001641B4">
        <w:rPr>
          <w:rFonts w:ascii="Times New Roman" w:hAnsi="Times New Roman"/>
          <w:noProof/>
          <w:sz w:val="24"/>
        </w:rPr>
        <w:t>15.</w:t>
      </w:r>
      <w:r w:rsidRPr="001641B4">
        <w:rPr>
          <w:rFonts w:ascii="Times New Roman" w:hAnsi="Times New Roman"/>
          <w:noProof/>
          <w:sz w:val="24"/>
        </w:rPr>
        <w:tab/>
        <w:t xml:space="preserve">Minato, K., et al., </w:t>
      </w:r>
      <w:r w:rsidRPr="001641B4">
        <w:rPr>
          <w:rFonts w:ascii="Times New Roman" w:hAnsi="Times New Roman"/>
          <w:i/>
          <w:noProof/>
          <w:sz w:val="24"/>
        </w:rPr>
        <w:t>Improvements in quality of as-manufactured fuels for high-temperature gas-cooled reactors.</w:t>
      </w:r>
      <w:r w:rsidRPr="001641B4">
        <w:rPr>
          <w:rFonts w:ascii="Times New Roman" w:hAnsi="Times New Roman"/>
          <w:noProof/>
          <w:sz w:val="24"/>
        </w:rPr>
        <w:t xml:space="preserve"> Journal of Nuclear Science and Technology, 1997. </w:t>
      </w:r>
      <w:r w:rsidRPr="001641B4">
        <w:rPr>
          <w:rFonts w:ascii="Times New Roman" w:hAnsi="Times New Roman"/>
          <w:b/>
          <w:noProof/>
          <w:sz w:val="24"/>
        </w:rPr>
        <w:t>34</w:t>
      </w:r>
      <w:r w:rsidRPr="001641B4">
        <w:rPr>
          <w:rFonts w:ascii="Times New Roman" w:hAnsi="Times New Roman"/>
          <w:noProof/>
          <w:sz w:val="24"/>
        </w:rPr>
        <w:t>(3): p. 325-333.</w:t>
      </w:r>
      <w:bookmarkEnd w:id="90"/>
    </w:p>
    <w:p w14:paraId="10610E25" w14:textId="77777777" w:rsidR="00DF20CB" w:rsidRPr="001641B4" w:rsidRDefault="00DF20CB" w:rsidP="001641B4">
      <w:pPr>
        <w:pStyle w:val="EndNoteBibliography"/>
        <w:ind w:left="720" w:hanging="720"/>
        <w:jc w:val="left"/>
        <w:rPr>
          <w:rFonts w:ascii="Times New Roman" w:hAnsi="Times New Roman"/>
          <w:noProof/>
          <w:sz w:val="24"/>
        </w:rPr>
      </w:pPr>
      <w:bookmarkStart w:id="91" w:name="_ENREF_16"/>
      <w:r w:rsidRPr="001641B4">
        <w:rPr>
          <w:rFonts w:ascii="Times New Roman" w:hAnsi="Times New Roman"/>
          <w:noProof/>
          <w:sz w:val="24"/>
        </w:rPr>
        <w:t>16.</w:t>
      </w:r>
      <w:r w:rsidRPr="001641B4">
        <w:rPr>
          <w:rFonts w:ascii="Times New Roman" w:hAnsi="Times New Roman"/>
          <w:noProof/>
          <w:sz w:val="24"/>
        </w:rPr>
        <w:tab/>
        <w:t xml:space="preserve">Hofmann, P., </w:t>
      </w:r>
      <w:r w:rsidRPr="001641B4">
        <w:rPr>
          <w:rFonts w:ascii="Times New Roman" w:hAnsi="Times New Roman"/>
          <w:i/>
          <w:noProof/>
          <w:sz w:val="24"/>
        </w:rPr>
        <w:t>Current knowledge on core degradation phenomena, a review.</w:t>
      </w:r>
      <w:r w:rsidRPr="001641B4">
        <w:rPr>
          <w:rFonts w:ascii="Times New Roman" w:hAnsi="Times New Roman"/>
          <w:noProof/>
          <w:sz w:val="24"/>
        </w:rPr>
        <w:t xml:space="preserve"> Journal of nuclear materials, 1999. </w:t>
      </w:r>
      <w:r w:rsidRPr="001641B4">
        <w:rPr>
          <w:rFonts w:ascii="Times New Roman" w:hAnsi="Times New Roman"/>
          <w:b/>
          <w:noProof/>
          <w:sz w:val="24"/>
        </w:rPr>
        <w:t>270</w:t>
      </w:r>
      <w:r w:rsidRPr="001641B4">
        <w:rPr>
          <w:rFonts w:ascii="Times New Roman" w:hAnsi="Times New Roman"/>
          <w:noProof/>
          <w:sz w:val="24"/>
        </w:rPr>
        <w:t>(1): p. 194-211.</w:t>
      </w:r>
      <w:bookmarkEnd w:id="91"/>
    </w:p>
    <w:p w14:paraId="6A5801C9" w14:textId="77777777" w:rsidR="00DF20CB" w:rsidRPr="001641B4" w:rsidRDefault="00DF20CB" w:rsidP="001641B4">
      <w:pPr>
        <w:pStyle w:val="EndNoteBibliography"/>
        <w:ind w:left="720" w:hanging="720"/>
        <w:jc w:val="left"/>
        <w:rPr>
          <w:rFonts w:ascii="Times New Roman" w:hAnsi="Times New Roman"/>
          <w:noProof/>
          <w:sz w:val="24"/>
        </w:rPr>
      </w:pPr>
      <w:bookmarkStart w:id="92" w:name="_ENREF_17"/>
      <w:r w:rsidRPr="001641B4">
        <w:rPr>
          <w:rFonts w:ascii="Times New Roman" w:hAnsi="Times New Roman"/>
          <w:noProof/>
          <w:sz w:val="24"/>
        </w:rPr>
        <w:t>17.</w:t>
      </w:r>
      <w:r w:rsidRPr="001641B4">
        <w:rPr>
          <w:rFonts w:ascii="Times New Roman" w:hAnsi="Times New Roman"/>
          <w:noProof/>
          <w:sz w:val="24"/>
        </w:rPr>
        <w:tab/>
        <w:t xml:space="preserve">George, N.M., et al., </w:t>
      </w:r>
      <w:r w:rsidRPr="001641B4">
        <w:rPr>
          <w:rFonts w:ascii="Times New Roman" w:hAnsi="Times New Roman"/>
          <w:i/>
          <w:noProof/>
          <w:sz w:val="24"/>
        </w:rPr>
        <w:t>Neutronic analysis of candidate accident-tolerant cladding concepts in pressurized water reactors.</w:t>
      </w:r>
      <w:r w:rsidRPr="001641B4">
        <w:rPr>
          <w:rFonts w:ascii="Times New Roman" w:hAnsi="Times New Roman"/>
          <w:noProof/>
          <w:sz w:val="24"/>
        </w:rPr>
        <w:t xml:space="preserve"> Annals of Nuclear Energy, 2015. </w:t>
      </w:r>
      <w:r w:rsidRPr="001641B4">
        <w:rPr>
          <w:rFonts w:ascii="Times New Roman" w:hAnsi="Times New Roman"/>
          <w:b/>
          <w:noProof/>
          <w:sz w:val="24"/>
        </w:rPr>
        <w:t>75</w:t>
      </w:r>
      <w:r w:rsidRPr="001641B4">
        <w:rPr>
          <w:rFonts w:ascii="Times New Roman" w:hAnsi="Times New Roman"/>
          <w:noProof/>
          <w:sz w:val="24"/>
        </w:rPr>
        <w:t>: p. 703-712.</w:t>
      </w:r>
      <w:bookmarkEnd w:id="92"/>
    </w:p>
    <w:p w14:paraId="0D91F40A" w14:textId="77777777" w:rsidR="00DF20CB" w:rsidRPr="001641B4" w:rsidRDefault="00DF20CB" w:rsidP="001641B4">
      <w:pPr>
        <w:pStyle w:val="EndNoteBibliography"/>
        <w:ind w:left="720" w:hanging="720"/>
        <w:jc w:val="left"/>
        <w:rPr>
          <w:rFonts w:ascii="Times New Roman" w:hAnsi="Times New Roman"/>
          <w:noProof/>
          <w:sz w:val="24"/>
        </w:rPr>
      </w:pPr>
      <w:bookmarkStart w:id="93" w:name="_ENREF_18"/>
      <w:r w:rsidRPr="001641B4">
        <w:rPr>
          <w:rFonts w:ascii="Times New Roman" w:hAnsi="Times New Roman"/>
          <w:noProof/>
          <w:sz w:val="24"/>
        </w:rPr>
        <w:t>18.</w:t>
      </w:r>
      <w:r w:rsidRPr="001641B4">
        <w:rPr>
          <w:rFonts w:ascii="Times New Roman" w:hAnsi="Times New Roman"/>
          <w:noProof/>
          <w:sz w:val="24"/>
        </w:rPr>
        <w:tab/>
        <w:t xml:space="preserve">Cathcart, J., et al., </w:t>
      </w:r>
      <w:r w:rsidRPr="001641B4">
        <w:rPr>
          <w:rFonts w:ascii="Times New Roman" w:hAnsi="Times New Roman"/>
          <w:i/>
          <w:noProof/>
          <w:sz w:val="24"/>
        </w:rPr>
        <w:t>Zirconium metal-water oxidation kinetics. IV. Reaction rate studies</w:t>
      </w:r>
      <w:r w:rsidRPr="001641B4">
        <w:rPr>
          <w:rFonts w:ascii="Times New Roman" w:hAnsi="Times New Roman"/>
          <w:noProof/>
          <w:sz w:val="24"/>
        </w:rPr>
        <w:t>. 1977, Oak Ridge National Lab., Tenn.(USA).</w:t>
      </w:r>
      <w:bookmarkEnd w:id="93"/>
    </w:p>
    <w:p w14:paraId="7E7FAABD" w14:textId="77777777" w:rsidR="00DF20CB" w:rsidRPr="001641B4" w:rsidRDefault="00DF20CB" w:rsidP="001641B4">
      <w:pPr>
        <w:pStyle w:val="EndNoteBibliography"/>
        <w:ind w:left="720" w:hanging="720"/>
        <w:jc w:val="left"/>
        <w:rPr>
          <w:rFonts w:ascii="Times New Roman" w:hAnsi="Times New Roman"/>
          <w:noProof/>
          <w:sz w:val="24"/>
        </w:rPr>
      </w:pPr>
      <w:bookmarkStart w:id="94" w:name="_ENREF_19"/>
      <w:r w:rsidRPr="001641B4">
        <w:rPr>
          <w:rFonts w:ascii="Times New Roman" w:hAnsi="Times New Roman"/>
          <w:noProof/>
          <w:sz w:val="24"/>
        </w:rPr>
        <w:t>19.</w:t>
      </w:r>
      <w:r w:rsidRPr="001641B4">
        <w:rPr>
          <w:rFonts w:ascii="Times New Roman" w:hAnsi="Times New Roman"/>
          <w:noProof/>
          <w:sz w:val="24"/>
        </w:rPr>
        <w:tab/>
        <w:t xml:space="preserve">Pint, B.A., et al., </w:t>
      </w:r>
      <w:r w:rsidRPr="001641B4">
        <w:rPr>
          <w:rFonts w:ascii="Times New Roman" w:hAnsi="Times New Roman"/>
          <w:i/>
          <w:noProof/>
          <w:sz w:val="24"/>
        </w:rPr>
        <w:t>High temperature oxidation of fuel cladding candidate materials in steam–hydrogen environments.</w:t>
      </w:r>
      <w:r w:rsidRPr="001641B4">
        <w:rPr>
          <w:rFonts w:ascii="Times New Roman" w:hAnsi="Times New Roman"/>
          <w:noProof/>
          <w:sz w:val="24"/>
        </w:rPr>
        <w:t xml:space="preserve"> Journal of Nuclear Materials, 2013. </w:t>
      </w:r>
      <w:r w:rsidRPr="001641B4">
        <w:rPr>
          <w:rFonts w:ascii="Times New Roman" w:hAnsi="Times New Roman"/>
          <w:b/>
          <w:noProof/>
          <w:sz w:val="24"/>
        </w:rPr>
        <w:t>440</w:t>
      </w:r>
      <w:r w:rsidRPr="001641B4">
        <w:rPr>
          <w:rFonts w:ascii="Times New Roman" w:hAnsi="Times New Roman"/>
          <w:noProof/>
          <w:sz w:val="24"/>
        </w:rPr>
        <w:t>(1): p. 420-427.</w:t>
      </w:r>
      <w:bookmarkEnd w:id="94"/>
    </w:p>
    <w:p w14:paraId="3480AA7C" w14:textId="77777777" w:rsidR="00DF20CB" w:rsidRPr="001641B4" w:rsidRDefault="00DF20CB" w:rsidP="001641B4">
      <w:pPr>
        <w:pStyle w:val="EndNoteBibliography"/>
        <w:ind w:left="720" w:hanging="720"/>
        <w:jc w:val="left"/>
        <w:rPr>
          <w:rFonts w:ascii="Times New Roman" w:hAnsi="Times New Roman"/>
          <w:noProof/>
          <w:sz w:val="24"/>
        </w:rPr>
      </w:pPr>
      <w:bookmarkStart w:id="95" w:name="_ENREF_20"/>
      <w:r w:rsidRPr="001641B4">
        <w:rPr>
          <w:rFonts w:ascii="Times New Roman" w:hAnsi="Times New Roman"/>
          <w:noProof/>
          <w:sz w:val="24"/>
        </w:rPr>
        <w:t>20.</w:t>
      </w:r>
      <w:r w:rsidRPr="001641B4">
        <w:rPr>
          <w:rFonts w:ascii="Times New Roman" w:hAnsi="Times New Roman"/>
          <w:noProof/>
          <w:sz w:val="24"/>
        </w:rPr>
        <w:tab/>
        <w:t xml:space="preserve">Terrani, K., S. Zinkle, and L. Snead, </w:t>
      </w:r>
      <w:r w:rsidRPr="001641B4">
        <w:rPr>
          <w:rFonts w:ascii="Times New Roman" w:hAnsi="Times New Roman"/>
          <w:i/>
          <w:noProof/>
          <w:sz w:val="24"/>
        </w:rPr>
        <w:t>Advanced oxidation-resistant iron-based alloys for LWR fuel cladding.</w:t>
      </w:r>
      <w:r w:rsidRPr="001641B4">
        <w:rPr>
          <w:rFonts w:ascii="Times New Roman" w:hAnsi="Times New Roman"/>
          <w:noProof/>
          <w:sz w:val="24"/>
        </w:rPr>
        <w:t xml:space="preserve"> Journal of Nuclear Materials, 2014. </w:t>
      </w:r>
      <w:r w:rsidRPr="001641B4">
        <w:rPr>
          <w:rFonts w:ascii="Times New Roman" w:hAnsi="Times New Roman"/>
          <w:b/>
          <w:noProof/>
          <w:sz w:val="24"/>
        </w:rPr>
        <w:t>448</w:t>
      </w:r>
      <w:r w:rsidRPr="001641B4">
        <w:rPr>
          <w:rFonts w:ascii="Times New Roman" w:hAnsi="Times New Roman"/>
          <w:noProof/>
          <w:sz w:val="24"/>
        </w:rPr>
        <w:t>(1): p. 420-435.</w:t>
      </w:r>
      <w:bookmarkEnd w:id="95"/>
    </w:p>
    <w:p w14:paraId="451534FC" w14:textId="77777777" w:rsidR="00DF20CB" w:rsidRPr="001641B4" w:rsidRDefault="00DF20CB" w:rsidP="001641B4">
      <w:pPr>
        <w:pStyle w:val="EndNoteBibliography"/>
        <w:ind w:left="720" w:hanging="720"/>
        <w:jc w:val="left"/>
        <w:rPr>
          <w:rFonts w:ascii="Times New Roman" w:hAnsi="Times New Roman"/>
          <w:noProof/>
          <w:sz w:val="24"/>
        </w:rPr>
      </w:pPr>
      <w:bookmarkStart w:id="96" w:name="_ENREF_21"/>
      <w:r w:rsidRPr="001641B4">
        <w:rPr>
          <w:rFonts w:ascii="Times New Roman" w:hAnsi="Times New Roman"/>
          <w:noProof/>
          <w:sz w:val="24"/>
        </w:rPr>
        <w:t>21.</w:t>
      </w:r>
      <w:r w:rsidRPr="001641B4">
        <w:rPr>
          <w:rFonts w:ascii="Times New Roman" w:hAnsi="Times New Roman"/>
          <w:noProof/>
          <w:sz w:val="24"/>
        </w:rPr>
        <w:tab/>
        <w:t xml:space="preserve">Terrani, K.A., et al., </w:t>
      </w:r>
      <w:r w:rsidRPr="001641B4">
        <w:rPr>
          <w:rFonts w:ascii="Times New Roman" w:hAnsi="Times New Roman"/>
          <w:i/>
          <w:noProof/>
          <w:sz w:val="24"/>
        </w:rPr>
        <w:t>Silicon Carbide Oxidation in Steam up to 2 MPa.</w:t>
      </w:r>
      <w:r w:rsidRPr="001641B4">
        <w:rPr>
          <w:rFonts w:ascii="Times New Roman" w:hAnsi="Times New Roman"/>
          <w:noProof/>
          <w:sz w:val="24"/>
        </w:rPr>
        <w:t xml:space="preserve"> Journal of the American Ceramic Society, 2014. </w:t>
      </w:r>
      <w:r w:rsidRPr="001641B4">
        <w:rPr>
          <w:rFonts w:ascii="Times New Roman" w:hAnsi="Times New Roman"/>
          <w:b/>
          <w:noProof/>
          <w:sz w:val="24"/>
        </w:rPr>
        <w:t>97</w:t>
      </w:r>
      <w:r w:rsidRPr="001641B4">
        <w:rPr>
          <w:rFonts w:ascii="Times New Roman" w:hAnsi="Times New Roman"/>
          <w:noProof/>
          <w:sz w:val="24"/>
        </w:rPr>
        <w:t>(8): p. 2331-2352.</w:t>
      </w:r>
      <w:bookmarkEnd w:id="96"/>
    </w:p>
    <w:p w14:paraId="33042B8C" w14:textId="77777777" w:rsidR="00DF20CB" w:rsidRPr="001641B4" w:rsidRDefault="00DF20CB" w:rsidP="001641B4">
      <w:pPr>
        <w:pStyle w:val="EndNoteBibliography"/>
        <w:ind w:left="720" w:hanging="720"/>
        <w:jc w:val="left"/>
        <w:rPr>
          <w:rFonts w:ascii="Times New Roman" w:hAnsi="Times New Roman"/>
          <w:noProof/>
          <w:sz w:val="24"/>
        </w:rPr>
      </w:pPr>
      <w:bookmarkStart w:id="97" w:name="_ENREF_22"/>
      <w:r w:rsidRPr="001641B4">
        <w:rPr>
          <w:rFonts w:ascii="Times New Roman" w:hAnsi="Times New Roman"/>
          <w:noProof/>
          <w:sz w:val="24"/>
        </w:rPr>
        <w:lastRenderedPageBreak/>
        <w:t>22.</w:t>
      </w:r>
      <w:r w:rsidRPr="001641B4">
        <w:rPr>
          <w:rFonts w:ascii="Times New Roman" w:hAnsi="Times New Roman"/>
          <w:noProof/>
          <w:sz w:val="24"/>
        </w:rPr>
        <w:tab/>
        <w:t xml:space="preserve">Strasser, A., et al., </w:t>
      </w:r>
      <w:r w:rsidRPr="001641B4">
        <w:rPr>
          <w:rFonts w:ascii="Times New Roman" w:hAnsi="Times New Roman"/>
          <w:i/>
          <w:noProof/>
          <w:sz w:val="24"/>
        </w:rPr>
        <w:t>An Evaluation of Stainless Steel Cladding for Use in Current Design LWRs, NP-2642</w:t>
      </w:r>
      <w:r w:rsidRPr="001641B4">
        <w:rPr>
          <w:rFonts w:ascii="Times New Roman" w:hAnsi="Times New Roman"/>
          <w:noProof/>
          <w:sz w:val="24"/>
        </w:rPr>
        <w:t>. 1982, Electric Power Research Institute: Palo Alto, CA.</w:t>
      </w:r>
      <w:bookmarkEnd w:id="97"/>
    </w:p>
    <w:p w14:paraId="3C8DFB1C" w14:textId="77777777" w:rsidR="00DF20CB" w:rsidRPr="001641B4" w:rsidRDefault="00DF20CB" w:rsidP="001641B4">
      <w:pPr>
        <w:pStyle w:val="EndNoteBibliography"/>
        <w:ind w:left="720" w:hanging="720"/>
        <w:jc w:val="left"/>
        <w:rPr>
          <w:rFonts w:ascii="Times New Roman" w:hAnsi="Times New Roman"/>
          <w:noProof/>
          <w:sz w:val="24"/>
        </w:rPr>
      </w:pPr>
      <w:bookmarkStart w:id="98" w:name="_ENREF_23"/>
      <w:r w:rsidRPr="001641B4">
        <w:rPr>
          <w:rFonts w:ascii="Times New Roman" w:hAnsi="Times New Roman"/>
          <w:noProof/>
          <w:sz w:val="24"/>
        </w:rPr>
        <w:t>23.</w:t>
      </w:r>
      <w:r w:rsidRPr="001641B4">
        <w:rPr>
          <w:rFonts w:ascii="Times New Roman" w:hAnsi="Times New Roman"/>
          <w:noProof/>
          <w:sz w:val="24"/>
        </w:rPr>
        <w:tab/>
        <w:t xml:space="preserve">Ben-Belgacem, M., et al., </w:t>
      </w:r>
      <w:r w:rsidRPr="001641B4">
        <w:rPr>
          <w:rFonts w:ascii="Times New Roman" w:hAnsi="Times New Roman"/>
          <w:i/>
          <w:noProof/>
          <w:sz w:val="24"/>
        </w:rPr>
        <w:t>Thermo-mechanical analysis of LWR SiC/SiC composite cladding.</w:t>
      </w:r>
      <w:r w:rsidRPr="001641B4">
        <w:rPr>
          <w:rFonts w:ascii="Times New Roman" w:hAnsi="Times New Roman"/>
          <w:noProof/>
          <w:sz w:val="24"/>
        </w:rPr>
        <w:t xml:space="preserve"> Journal of Nuclear Materials, 2014. </w:t>
      </w:r>
      <w:r w:rsidRPr="001641B4">
        <w:rPr>
          <w:rFonts w:ascii="Times New Roman" w:hAnsi="Times New Roman"/>
          <w:b/>
          <w:noProof/>
          <w:sz w:val="24"/>
        </w:rPr>
        <w:t>447</w:t>
      </w:r>
      <w:r w:rsidRPr="001641B4">
        <w:rPr>
          <w:rFonts w:ascii="Times New Roman" w:hAnsi="Times New Roman"/>
          <w:noProof/>
          <w:sz w:val="24"/>
        </w:rPr>
        <w:t>(1-3): p. 125-142.</w:t>
      </w:r>
      <w:bookmarkEnd w:id="98"/>
    </w:p>
    <w:p w14:paraId="1796B8E2" w14:textId="77777777" w:rsidR="00DF20CB" w:rsidRPr="001641B4" w:rsidRDefault="00DF20CB" w:rsidP="001641B4">
      <w:pPr>
        <w:pStyle w:val="EndNoteBibliography"/>
        <w:ind w:left="720" w:hanging="720"/>
        <w:jc w:val="left"/>
        <w:rPr>
          <w:rFonts w:ascii="Times New Roman" w:hAnsi="Times New Roman"/>
          <w:noProof/>
          <w:sz w:val="24"/>
        </w:rPr>
      </w:pPr>
      <w:bookmarkStart w:id="99" w:name="_ENREF_24"/>
      <w:r w:rsidRPr="001641B4">
        <w:rPr>
          <w:rFonts w:ascii="Times New Roman" w:hAnsi="Times New Roman"/>
          <w:noProof/>
          <w:sz w:val="24"/>
        </w:rPr>
        <w:t>24.</w:t>
      </w:r>
      <w:r w:rsidRPr="001641B4">
        <w:rPr>
          <w:rFonts w:ascii="Times New Roman" w:hAnsi="Times New Roman"/>
          <w:noProof/>
          <w:sz w:val="24"/>
        </w:rPr>
        <w:tab/>
        <w:t xml:space="preserve">Yueh, K. and K.A. Terrani, </w:t>
      </w:r>
      <w:r w:rsidRPr="001641B4">
        <w:rPr>
          <w:rFonts w:ascii="Times New Roman" w:hAnsi="Times New Roman"/>
          <w:i/>
          <w:noProof/>
          <w:sz w:val="24"/>
        </w:rPr>
        <w:t>Silicon carbide composite for light water reactor fuel assembly applications.</w:t>
      </w:r>
      <w:r w:rsidRPr="001641B4">
        <w:rPr>
          <w:rFonts w:ascii="Times New Roman" w:hAnsi="Times New Roman"/>
          <w:noProof/>
          <w:sz w:val="24"/>
        </w:rPr>
        <w:t xml:space="preserve"> Journal of Nuclear Materials, 2014. </w:t>
      </w:r>
      <w:r w:rsidRPr="001641B4">
        <w:rPr>
          <w:rFonts w:ascii="Times New Roman" w:hAnsi="Times New Roman"/>
          <w:b/>
          <w:noProof/>
          <w:sz w:val="24"/>
        </w:rPr>
        <w:t>448</w:t>
      </w:r>
      <w:r w:rsidRPr="001641B4">
        <w:rPr>
          <w:rFonts w:ascii="Times New Roman" w:hAnsi="Times New Roman"/>
          <w:noProof/>
          <w:sz w:val="24"/>
        </w:rPr>
        <w:t>(1): p. 380-388.</w:t>
      </w:r>
      <w:bookmarkEnd w:id="99"/>
    </w:p>
    <w:p w14:paraId="5E683E3E" w14:textId="77777777" w:rsidR="00DF20CB" w:rsidRPr="001641B4" w:rsidRDefault="00DF20CB" w:rsidP="001641B4">
      <w:pPr>
        <w:pStyle w:val="EndNoteBibliography"/>
        <w:ind w:left="720" w:hanging="720"/>
        <w:jc w:val="left"/>
        <w:rPr>
          <w:rFonts w:ascii="Times New Roman" w:hAnsi="Times New Roman"/>
          <w:noProof/>
          <w:sz w:val="24"/>
        </w:rPr>
      </w:pPr>
      <w:bookmarkStart w:id="100" w:name="_ENREF_25"/>
      <w:r w:rsidRPr="001641B4">
        <w:rPr>
          <w:rFonts w:ascii="Times New Roman" w:hAnsi="Times New Roman"/>
          <w:noProof/>
          <w:sz w:val="24"/>
        </w:rPr>
        <w:t>25.</w:t>
      </w:r>
      <w:r w:rsidRPr="001641B4">
        <w:rPr>
          <w:rFonts w:ascii="Times New Roman" w:hAnsi="Times New Roman"/>
          <w:noProof/>
          <w:sz w:val="24"/>
        </w:rPr>
        <w:tab/>
        <w:t xml:space="preserve">Permann, C.J., </w:t>
      </w:r>
      <w:r w:rsidRPr="001641B4">
        <w:rPr>
          <w:rFonts w:ascii="Times New Roman" w:hAnsi="Times New Roman"/>
          <w:i/>
          <w:noProof/>
          <w:sz w:val="24"/>
        </w:rPr>
        <w:t>Multidimensional Multisale Fuels Modeling and Simulation</w:t>
      </w:r>
      <w:r w:rsidRPr="001641B4">
        <w:rPr>
          <w:rFonts w:ascii="Times New Roman" w:hAnsi="Times New Roman"/>
          <w:noProof/>
          <w:sz w:val="24"/>
        </w:rPr>
        <w:t xml:space="preserve">, in </w:t>
      </w:r>
      <w:r w:rsidRPr="001641B4">
        <w:rPr>
          <w:rFonts w:ascii="Times New Roman" w:hAnsi="Times New Roman"/>
          <w:i/>
          <w:noProof/>
          <w:sz w:val="24"/>
        </w:rPr>
        <w:t>Nuclear Fuels &amp; Materials Spotlight</w:t>
      </w:r>
      <w:r w:rsidRPr="001641B4">
        <w:rPr>
          <w:rFonts w:ascii="Times New Roman" w:hAnsi="Times New Roman"/>
          <w:noProof/>
          <w:sz w:val="24"/>
        </w:rPr>
        <w:t>. Idaho National Laboratory.</w:t>
      </w:r>
      <w:bookmarkEnd w:id="100"/>
    </w:p>
    <w:p w14:paraId="17A5CF36" w14:textId="77777777" w:rsidR="00DF20CB" w:rsidRPr="001641B4" w:rsidRDefault="00DF20CB" w:rsidP="001641B4">
      <w:pPr>
        <w:pStyle w:val="EndNoteBibliography"/>
        <w:ind w:left="720" w:hanging="720"/>
        <w:jc w:val="left"/>
        <w:rPr>
          <w:rFonts w:ascii="Times New Roman" w:hAnsi="Times New Roman"/>
          <w:noProof/>
          <w:sz w:val="24"/>
        </w:rPr>
      </w:pPr>
      <w:bookmarkStart w:id="101" w:name="_ENREF_26"/>
      <w:r w:rsidRPr="001641B4">
        <w:rPr>
          <w:rFonts w:ascii="Times New Roman" w:hAnsi="Times New Roman"/>
          <w:noProof/>
          <w:sz w:val="24"/>
        </w:rPr>
        <w:t>26.</w:t>
      </w:r>
      <w:r w:rsidRPr="001641B4">
        <w:rPr>
          <w:rFonts w:ascii="Times New Roman" w:hAnsi="Times New Roman"/>
          <w:noProof/>
          <w:sz w:val="24"/>
        </w:rPr>
        <w:tab/>
        <w:t xml:space="preserve">George, N.M., et al., </w:t>
      </w:r>
      <w:r w:rsidRPr="001641B4">
        <w:rPr>
          <w:rFonts w:ascii="Times New Roman" w:hAnsi="Times New Roman"/>
          <w:i/>
          <w:noProof/>
          <w:sz w:val="24"/>
        </w:rPr>
        <w:t>Full-core Evaluation of Enhanced Alternate Cladding Concepts in BWRs (in review).</w:t>
      </w:r>
      <w:r w:rsidRPr="001641B4">
        <w:rPr>
          <w:rFonts w:ascii="Times New Roman" w:hAnsi="Times New Roman"/>
          <w:noProof/>
          <w:sz w:val="24"/>
        </w:rPr>
        <w:t xml:space="preserve"> 2015.</w:t>
      </w:r>
      <w:bookmarkEnd w:id="101"/>
    </w:p>
    <w:p w14:paraId="2606B0B3" w14:textId="77777777" w:rsidR="00DF20CB" w:rsidRPr="001641B4" w:rsidRDefault="00DF20CB" w:rsidP="001641B4">
      <w:pPr>
        <w:pStyle w:val="EndNoteBibliography"/>
        <w:ind w:left="720" w:hanging="720"/>
        <w:jc w:val="left"/>
        <w:rPr>
          <w:rFonts w:ascii="Times New Roman" w:hAnsi="Times New Roman"/>
          <w:noProof/>
          <w:sz w:val="24"/>
        </w:rPr>
      </w:pPr>
      <w:bookmarkStart w:id="102" w:name="_ENREF_27"/>
      <w:r w:rsidRPr="001641B4">
        <w:rPr>
          <w:rFonts w:ascii="Times New Roman" w:hAnsi="Times New Roman"/>
          <w:noProof/>
          <w:sz w:val="24"/>
        </w:rPr>
        <w:t>27.</w:t>
      </w:r>
      <w:r w:rsidRPr="001641B4">
        <w:rPr>
          <w:rFonts w:ascii="Times New Roman" w:hAnsi="Times New Roman"/>
          <w:noProof/>
          <w:sz w:val="24"/>
        </w:rPr>
        <w:tab/>
        <w:t xml:space="preserve">Gaston, D., et al., </w:t>
      </w:r>
      <w:r w:rsidRPr="001641B4">
        <w:rPr>
          <w:rFonts w:ascii="Times New Roman" w:hAnsi="Times New Roman"/>
          <w:i/>
          <w:noProof/>
          <w:sz w:val="24"/>
        </w:rPr>
        <w:t>MOOSE: A parallel computational framework for coupled systems of nonlinear equations.</w:t>
      </w:r>
      <w:r w:rsidRPr="001641B4">
        <w:rPr>
          <w:rFonts w:ascii="Times New Roman" w:hAnsi="Times New Roman"/>
          <w:noProof/>
          <w:sz w:val="24"/>
        </w:rPr>
        <w:t xml:space="preserve"> Nuclear Engineering and Design, 2009. </w:t>
      </w:r>
      <w:r w:rsidRPr="001641B4">
        <w:rPr>
          <w:rFonts w:ascii="Times New Roman" w:hAnsi="Times New Roman"/>
          <w:b/>
          <w:noProof/>
          <w:sz w:val="24"/>
        </w:rPr>
        <w:t>239</w:t>
      </w:r>
      <w:r w:rsidRPr="001641B4">
        <w:rPr>
          <w:rFonts w:ascii="Times New Roman" w:hAnsi="Times New Roman"/>
          <w:noProof/>
          <w:sz w:val="24"/>
        </w:rPr>
        <w:t>(10): p. 1768-1778.</w:t>
      </w:r>
      <w:bookmarkEnd w:id="102"/>
    </w:p>
    <w:p w14:paraId="405C28DC" w14:textId="77777777" w:rsidR="00DF20CB" w:rsidRPr="001641B4" w:rsidRDefault="00DF20CB" w:rsidP="001641B4">
      <w:pPr>
        <w:pStyle w:val="EndNoteBibliography"/>
        <w:ind w:left="720" w:hanging="720"/>
        <w:jc w:val="left"/>
        <w:rPr>
          <w:rFonts w:ascii="Times New Roman" w:hAnsi="Times New Roman"/>
          <w:noProof/>
          <w:sz w:val="24"/>
        </w:rPr>
      </w:pPr>
      <w:bookmarkStart w:id="103" w:name="_ENREF_28"/>
      <w:r w:rsidRPr="001641B4">
        <w:rPr>
          <w:rFonts w:ascii="Times New Roman" w:hAnsi="Times New Roman"/>
          <w:noProof/>
          <w:sz w:val="24"/>
        </w:rPr>
        <w:t>28.</w:t>
      </w:r>
      <w:r w:rsidRPr="001641B4">
        <w:rPr>
          <w:rFonts w:ascii="Times New Roman" w:hAnsi="Times New Roman"/>
          <w:noProof/>
          <w:sz w:val="24"/>
        </w:rPr>
        <w:tab/>
        <w:t xml:space="preserve">Hales, J., et al., </w:t>
      </w:r>
      <w:r w:rsidRPr="001641B4">
        <w:rPr>
          <w:rFonts w:ascii="Times New Roman" w:hAnsi="Times New Roman"/>
          <w:i/>
          <w:noProof/>
          <w:sz w:val="24"/>
        </w:rPr>
        <w:t>Verification of the BISON fuel performance code.</w:t>
      </w:r>
      <w:r w:rsidRPr="001641B4">
        <w:rPr>
          <w:rFonts w:ascii="Times New Roman" w:hAnsi="Times New Roman"/>
          <w:noProof/>
          <w:sz w:val="24"/>
        </w:rPr>
        <w:t xml:space="preserve"> Annals of Nuclear Energy, 2014. </w:t>
      </w:r>
      <w:r w:rsidRPr="001641B4">
        <w:rPr>
          <w:rFonts w:ascii="Times New Roman" w:hAnsi="Times New Roman"/>
          <w:b/>
          <w:noProof/>
          <w:sz w:val="24"/>
        </w:rPr>
        <w:t>71</w:t>
      </w:r>
      <w:r w:rsidRPr="001641B4">
        <w:rPr>
          <w:rFonts w:ascii="Times New Roman" w:hAnsi="Times New Roman"/>
          <w:noProof/>
          <w:sz w:val="24"/>
        </w:rPr>
        <w:t>: p. 81-90.</w:t>
      </w:r>
      <w:bookmarkEnd w:id="103"/>
    </w:p>
    <w:p w14:paraId="31622365" w14:textId="77777777" w:rsidR="00DF20CB" w:rsidRPr="001641B4" w:rsidRDefault="00DF20CB" w:rsidP="001641B4">
      <w:pPr>
        <w:pStyle w:val="EndNoteBibliography"/>
        <w:ind w:left="720" w:hanging="720"/>
        <w:jc w:val="left"/>
        <w:rPr>
          <w:rFonts w:ascii="Times New Roman" w:hAnsi="Times New Roman"/>
          <w:noProof/>
          <w:sz w:val="24"/>
        </w:rPr>
      </w:pPr>
      <w:bookmarkStart w:id="104" w:name="_ENREF_29"/>
      <w:r w:rsidRPr="001641B4">
        <w:rPr>
          <w:rFonts w:ascii="Times New Roman" w:hAnsi="Times New Roman"/>
          <w:noProof/>
          <w:sz w:val="24"/>
        </w:rPr>
        <w:t>29.</w:t>
      </w:r>
      <w:r w:rsidRPr="001641B4">
        <w:rPr>
          <w:rFonts w:ascii="Times New Roman" w:hAnsi="Times New Roman"/>
          <w:noProof/>
          <w:sz w:val="24"/>
        </w:rPr>
        <w:tab/>
        <w:t xml:space="preserve">Williamson, R. and S. Novascone, </w:t>
      </w:r>
      <w:r w:rsidRPr="001641B4">
        <w:rPr>
          <w:rFonts w:ascii="Times New Roman" w:hAnsi="Times New Roman"/>
          <w:i/>
          <w:noProof/>
          <w:sz w:val="24"/>
        </w:rPr>
        <w:t>Application of the BISON Fuel Performance Code of the FUMEX-III Coordinated Research Project.</w:t>
      </w:r>
      <w:r w:rsidRPr="001641B4">
        <w:rPr>
          <w:rFonts w:ascii="Times New Roman" w:hAnsi="Times New Roman"/>
          <w:noProof/>
          <w:sz w:val="24"/>
        </w:rPr>
        <w:t xml:space="preserve"> 2013.</w:t>
      </w:r>
      <w:bookmarkEnd w:id="104"/>
    </w:p>
    <w:p w14:paraId="4DD9CED4" w14:textId="77777777" w:rsidR="00DF20CB" w:rsidRPr="001641B4" w:rsidRDefault="00DF20CB" w:rsidP="001641B4">
      <w:pPr>
        <w:pStyle w:val="EndNoteBibliography"/>
        <w:ind w:left="720" w:hanging="720"/>
        <w:jc w:val="left"/>
        <w:rPr>
          <w:rFonts w:ascii="Times New Roman" w:hAnsi="Times New Roman"/>
          <w:noProof/>
          <w:sz w:val="24"/>
        </w:rPr>
      </w:pPr>
      <w:bookmarkStart w:id="105" w:name="_ENREF_30"/>
      <w:r w:rsidRPr="001641B4">
        <w:rPr>
          <w:rFonts w:ascii="Times New Roman" w:hAnsi="Times New Roman"/>
          <w:noProof/>
          <w:sz w:val="24"/>
        </w:rPr>
        <w:t>30.</w:t>
      </w:r>
      <w:r w:rsidRPr="001641B4">
        <w:rPr>
          <w:rFonts w:ascii="Times New Roman" w:hAnsi="Times New Roman"/>
          <w:noProof/>
          <w:sz w:val="24"/>
        </w:rPr>
        <w:tab/>
        <w:t xml:space="preserve">Hales, J., et al., </w:t>
      </w:r>
      <w:r w:rsidRPr="001641B4">
        <w:rPr>
          <w:rFonts w:ascii="Times New Roman" w:hAnsi="Times New Roman"/>
          <w:i/>
          <w:noProof/>
          <w:sz w:val="24"/>
        </w:rPr>
        <w:t>BISON Theory Manual The Equations Behind Nuclear Fuel Analysis.</w:t>
      </w:r>
      <w:r w:rsidRPr="001641B4">
        <w:rPr>
          <w:rFonts w:ascii="Times New Roman" w:hAnsi="Times New Roman"/>
          <w:noProof/>
          <w:sz w:val="24"/>
        </w:rPr>
        <w:t xml:space="preserve"> 2013.</w:t>
      </w:r>
      <w:bookmarkEnd w:id="105"/>
    </w:p>
    <w:p w14:paraId="37859787" w14:textId="77777777" w:rsidR="00DF20CB" w:rsidRPr="001641B4" w:rsidRDefault="00DF20CB" w:rsidP="001641B4">
      <w:pPr>
        <w:pStyle w:val="EndNoteBibliography"/>
        <w:ind w:left="720" w:hanging="720"/>
        <w:jc w:val="left"/>
        <w:rPr>
          <w:rFonts w:ascii="Times New Roman" w:hAnsi="Times New Roman"/>
          <w:noProof/>
          <w:sz w:val="24"/>
        </w:rPr>
      </w:pPr>
      <w:bookmarkStart w:id="106" w:name="_ENREF_31"/>
      <w:r w:rsidRPr="001641B4">
        <w:rPr>
          <w:rFonts w:ascii="Times New Roman" w:hAnsi="Times New Roman"/>
          <w:noProof/>
          <w:sz w:val="24"/>
        </w:rPr>
        <w:t>31.</w:t>
      </w:r>
      <w:r w:rsidRPr="001641B4">
        <w:rPr>
          <w:rFonts w:ascii="Times New Roman" w:hAnsi="Times New Roman"/>
          <w:noProof/>
          <w:sz w:val="24"/>
        </w:rPr>
        <w:tab/>
        <w:t xml:space="preserve">Smith, K. and J. Rhodes, </w:t>
      </w:r>
      <w:r w:rsidRPr="001641B4">
        <w:rPr>
          <w:rFonts w:ascii="Times New Roman" w:hAnsi="Times New Roman"/>
          <w:i/>
          <w:noProof/>
          <w:sz w:val="24"/>
        </w:rPr>
        <w:t>CASMO-4 characteristics method for two-dimensional PWR and BWR core calculations.</w:t>
      </w:r>
      <w:r w:rsidRPr="001641B4">
        <w:rPr>
          <w:rFonts w:ascii="Times New Roman" w:hAnsi="Times New Roman"/>
          <w:noProof/>
          <w:sz w:val="24"/>
        </w:rPr>
        <w:t xml:space="preserve"> Trans. Am. Nucl. Soc, 2000. </w:t>
      </w:r>
      <w:r w:rsidRPr="001641B4">
        <w:rPr>
          <w:rFonts w:ascii="Times New Roman" w:hAnsi="Times New Roman"/>
          <w:b/>
          <w:noProof/>
          <w:sz w:val="24"/>
        </w:rPr>
        <w:t>83</w:t>
      </w:r>
      <w:r w:rsidRPr="001641B4">
        <w:rPr>
          <w:rFonts w:ascii="Times New Roman" w:hAnsi="Times New Roman"/>
          <w:noProof/>
          <w:sz w:val="24"/>
        </w:rPr>
        <w:t>: p. 294.</w:t>
      </w:r>
      <w:bookmarkEnd w:id="106"/>
    </w:p>
    <w:p w14:paraId="5B4DD1FF" w14:textId="77777777" w:rsidR="00DF20CB" w:rsidRPr="001641B4" w:rsidRDefault="00DF20CB" w:rsidP="001641B4">
      <w:pPr>
        <w:pStyle w:val="EndNoteBibliography"/>
        <w:ind w:left="720" w:hanging="720"/>
        <w:jc w:val="left"/>
        <w:rPr>
          <w:rFonts w:ascii="Times New Roman" w:hAnsi="Times New Roman"/>
          <w:noProof/>
          <w:sz w:val="24"/>
        </w:rPr>
      </w:pPr>
      <w:bookmarkStart w:id="107" w:name="_ENREF_32"/>
      <w:r w:rsidRPr="001641B4">
        <w:rPr>
          <w:rFonts w:ascii="Times New Roman" w:hAnsi="Times New Roman"/>
          <w:noProof/>
          <w:sz w:val="24"/>
        </w:rPr>
        <w:t>32.</w:t>
      </w:r>
      <w:r w:rsidRPr="001641B4">
        <w:rPr>
          <w:rFonts w:ascii="Times New Roman" w:hAnsi="Times New Roman"/>
          <w:noProof/>
          <w:sz w:val="24"/>
        </w:rPr>
        <w:tab/>
        <w:t xml:space="preserve">Kucukboyaci, V.N., M. Ouisloumen, and F. Franceschini. </w:t>
      </w:r>
      <w:r w:rsidRPr="001641B4">
        <w:rPr>
          <w:rFonts w:ascii="Times New Roman" w:hAnsi="Times New Roman"/>
          <w:i/>
          <w:noProof/>
          <w:sz w:val="24"/>
        </w:rPr>
        <w:t>Two-dimensional whole core transport calculations using PARAGON</w:t>
      </w:r>
      <w:r w:rsidRPr="001641B4">
        <w:rPr>
          <w:rFonts w:ascii="Times New Roman" w:hAnsi="Times New Roman"/>
          <w:noProof/>
          <w:sz w:val="24"/>
        </w:rPr>
        <w:t xml:space="preserve">. in </w:t>
      </w:r>
      <w:r w:rsidRPr="001641B4">
        <w:rPr>
          <w:rFonts w:ascii="Times New Roman" w:hAnsi="Times New Roman"/>
          <w:i/>
          <w:noProof/>
          <w:sz w:val="24"/>
        </w:rPr>
        <w:t>Proc. Int. Conf. on Mathematics, Computational Methods &amp; Reactor Physics (M&amp;C 2009)</w:t>
      </w:r>
      <w:r w:rsidRPr="001641B4">
        <w:rPr>
          <w:rFonts w:ascii="Times New Roman" w:hAnsi="Times New Roman"/>
          <w:noProof/>
          <w:sz w:val="24"/>
        </w:rPr>
        <w:t>. 2009.</w:t>
      </w:r>
      <w:bookmarkEnd w:id="107"/>
    </w:p>
    <w:p w14:paraId="42323C0F" w14:textId="77777777" w:rsidR="00DF20CB" w:rsidRPr="001641B4" w:rsidRDefault="00DF20CB" w:rsidP="001641B4">
      <w:pPr>
        <w:pStyle w:val="EndNoteBibliography"/>
        <w:ind w:left="720" w:hanging="720"/>
        <w:jc w:val="left"/>
        <w:rPr>
          <w:rFonts w:ascii="Times New Roman" w:hAnsi="Times New Roman"/>
          <w:noProof/>
          <w:sz w:val="24"/>
        </w:rPr>
      </w:pPr>
      <w:bookmarkStart w:id="108" w:name="_ENREF_33"/>
      <w:r w:rsidRPr="001641B4">
        <w:rPr>
          <w:rFonts w:ascii="Times New Roman" w:hAnsi="Times New Roman"/>
          <w:noProof/>
          <w:sz w:val="24"/>
        </w:rPr>
        <w:t>33.</w:t>
      </w:r>
      <w:r w:rsidRPr="001641B4">
        <w:rPr>
          <w:rFonts w:ascii="Times New Roman" w:hAnsi="Times New Roman"/>
          <w:noProof/>
          <w:sz w:val="24"/>
        </w:rPr>
        <w:tab/>
        <w:t xml:space="preserve">Driscoll, M.J., T.J. Downar, and E.E. Pilat, </w:t>
      </w:r>
      <w:r w:rsidRPr="001641B4">
        <w:rPr>
          <w:rFonts w:ascii="Times New Roman" w:hAnsi="Times New Roman"/>
          <w:i/>
          <w:noProof/>
          <w:sz w:val="24"/>
        </w:rPr>
        <w:t>The linear reactivity model for nuclear fuel management</w:t>
      </w:r>
      <w:r w:rsidRPr="001641B4">
        <w:rPr>
          <w:rFonts w:ascii="Times New Roman" w:hAnsi="Times New Roman"/>
          <w:noProof/>
          <w:sz w:val="24"/>
        </w:rPr>
        <w:t>. 1990: American Nuclear Society La Grange Park.</w:t>
      </w:r>
      <w:bookmarkEnd w:id="108"/>
    </w:p>
    <w:p w14:paraId="0293C7B6" w14:textId="77777777" w:rsidR="00DF20CB" w:rsidRPr="001641B4" w:rsidRDefault="00DF20CB" w:rsidP="001641B4">
      <w:pPr>
        <w:pStyle w:val="EndNoteBibliography"/>
        <w:ind w:left="720" w:hanging="720"/>
        <w:jc w:val="left"/>
        <w:rPr>
          <w:rFonts w:ascii="Times New Roman" w:hAnsi="Times New Roman"/>
          <w:noProof/>
          <w:sz w:val="24"/>
        </w:rPr>
      </w:pPr>
      <w:bookmarkStart w:id="109" w:name="_ENREF_34"/>
      <w:r w:rsidRPr="001641B4">
        <w:rPr>
          <w:rFonts w:ascii="Times New Roman" w:hAnsi="Times New Roman"/>
          <w:noProof/>
          <w:sz w:val="24"/>
        </w:rPr>
        <w:t>34.</w:t>
      </w:r>
      <w:r w:rsidRPr="001641B4">
        <w:rPr>
          <w:rFonts w:ascii="Times New Roman" w:hAnsi="Times New Roman"/>
          <w:noProof/>
          <w:sz w:val="24"/>
        </w:rPr>
        <w:tab/>
        <w:t xml:space="preserve">Downar, T., et al., </w:t>
      </w:r>
      <w:r w:rsidRPr="001641B4">
        <w:rPr>
          <w:rFonts w:ascii="Times New Roman" w:hAnsi="Times New Roman"/>
          <w:i/>
          <w:noProof/>
          <w:sz w:val="24"/>
        </w:rPr>
        <w:t>PARCS v2. 6 US NRC core neutronics simulator theory manual.</w:t>
      </w:r>
      <w:r w:rsidRPr="001641B4">
        <w:rPr>
          <w:rFonts w:ascii="Times New Roman" w:hAnsi="Times New Roman"/>
          <w:noProof/>
          <w:sz w:val="24"/>
        </w:rPr>
        <w:t xml:space="preserve"> Purdue University/NRC, 2004.</w:t>
      </w:r>
      <w:bookmarkEnd w:id="109"/>
    </w:p>
    <w:p w14:paraId="105A75F7" w14:textId="77777777" w:rsidR="00DF20CB" w:rsidRPr="001641B4" w:rsidRDefault="00DF20CB" w:rsidP="001641B4">
      <w:pPr>
        <w:pStyle w:val="EndNoteBibliography"/>
        <w:ind w:left="720" w:hanging="720"/>
        <w:jc w:val="left"/>
        <w:rPr>
          <w:rFonts w:ascii="Times New Roman" w:hAnsi="Times New Roman"/>
          <w:noProof/>
          <w:sz w:val="24"/>
        </w:rPr>
      </w:pPr>
      <w:bookmarkStart w:id="110" w:name="_ENREF_35"/>
      <w:r w:rsidRPr="001641B4">
        <w:rPr>
          <w:rFonts w:ascii="Times New Roman" w:hAnsi="Times New Roman"/>
          <w:noProof/>
          <w:sz w:val="24"/>
        </w:rPr>
        <w:t>35.</w:t>
      </w:r>
      <w:r w:rsidRPr="001641B4">
        <w:rPr>
          <w:rFonts w:ascii="Times New Roman" w:hAnsi="Times New Roman"/>
          <w:noProof/>
          <w:sz w:val="24"/>
        </w:rPr>
        <w:tab/>
        <w:t xml:space="preserve">Maldonado, G., et al., </w:t>
      </w:r>
      <w:r w:rsidRPr="001641B4">
        <w:rPr>
          <w:rFonts w:ascii="Times New Roman" w:hAnsi="Times New Roman"/>
          <w:i/>
          <w:noProof/>
          <w:sz w:val="24"/>
        </w:rPr>
        <w:t>Integration of the NESTLE Core Simulator with SCALE.</w:t>
      </w:r>
      <w:r w:rsidRPr="001641B4">
        <w:rPr>
          <w:rFonts w:ascii="Times New Roman" w:hAnsi="Times New Roman"/>
          <w:noProof/>
          <w:sz w:val="24"/>
        </w:rPr>
        <w:t xml:space="preserve"> Transactions of the American Nuclear Society, 2009. </w:t>
      </w:r>
      <w:r w:rsidRPr="001641B4">
        <w:rPr>
          <w:rFonts w:ascii="Times New Roman" w:hAnsi="Times New Roman"/>
          <w:b/>
          <w:noProof/>
          <w:sz w:val="24"/>
        </w:rPr>
        <w:t>100</w:t>
      </w:r>
      <w:r w:rsidRPr="001641B4">
        <w:rPr>
          <w:rFonts w:ascii="Times New Roman" w:hAnsi="Times New Roman"/>
          <w:noProof/>
          <w:sz w:val="24"/>
        </w:rPr>
        <w:t>: p. 619-620.</w:t>
      </w:r>
      <w:bookmarkEnd w:id="110"/>
    </w:p>
    <w:p w14:paraId="4847BFD5" w14:textId="77777777" w:rsidR="00DF20CB" w:rsidRPr="001641B4" w:rsidRDefault="00DF20CB" w:rsidP="001641B4">
      <w:pPr>
        <w:pStyle w:val="EndNoteBibliography"/>
        <w:ind w:left="720" w:hanging="720"/>
        <w:jc w:val="left"/>
        <w:rPr>
          <w:rFonts w:ascii="Times New Roman" w:hAnsi="Times New Roman"/>
          <w:noProof/>
          <w:sz w:val="24"/>
        </w:rPr>
      </w:pPr>
      <w:bookmarkStart w:id="111" w:name="_ENREF_36"/>
      <w:r w:rsidRPr="001641B4">
        <w:rPr>
          <w:rFonts w:ascii="Times New Roman" w:hAnsi="Times New Roman"/>
          <w:noProof/>
          <w:sz w:val="24"/>
        </w:rPr>
        <w:t>36.</w:t>
      </w:r>
      <w:r w:rsidRPr="001641B4">
        <w:rPr>
          <w:rFonts w:ascii="Times New Roman" w:hAnsi="Times New Roman"/>
          <w:noProof/>
          <w:sz w:val="24"/>
        </w:rPr>
        <w:tab/>
        <w:t xml:space="preserve">DeHart, M.D. and S.M. Bowman, </w:t>
      </w:r>
      <w:r w:rsidRPr="001641B4">
        <w:rPr>
          <w:rFonts w:ascii="Times New Roman" w:hAnsi="Times New Roman"/>
          <w:i/>
          <w:noProof/>
          <w:sz w:val="24"/>
        </w:rPr>
        <w:t>Reactor physics methods and analysis capabilities in SCALE.</w:t>
      </w:r>
      <w:r w:rsidRPr="001641B4">
        <w:rPr>
          <w:rFonts w:ascii="Times New Roman" w:hAnsi="Times New Roman"/>
          <w:noProof/>
          <w:sz w:val="24"/>
        </w:rPr>
        <w:t xml:space="preserve"> Nuclear Technology, 2011. </w:t>
      </w:r>
      <w:r w:rsidRPr="001641B4">
        <w:rPr>
          <w:rFonts w:ascii="Times New Roman" w:hAnsi="Times New Roman"/>
          <w:b/>
          <w:noProof/>
          <w:sz w:val="24"/>
        </w:rPr>
        <w:t>174</w:t>
      </w:r>
      <w:r w:rsidRPr="001641B4">
        <w:rPr>
          <w:rFonts w:ascii="Times New Roman" w:hAnsi="Times New Roman"/>
          <w:noProof/>
          <w:sz w:val="24"/>
        </w:rPr>
        <w:t>.</w:t>
      </w:r>
      <w:bookmarkEnd w:id="111"/>
    </w:p>
    <w:p w14:paraId="3A954EF7" w14:textId="77777777" w:rsidR="00DF20CB" w:rsidRPr="001641B4" w:rsidRDefault="00DF20CB" w:rsidP="001641B4">
      <w:pPr>
        <w:pStyle w:val="EndNoteBibliography"/>
        <w:ind w:left="720" w:hanging="720"/>
        <w:jc w:val="left"/>
        <w:rPr>
          <w:rFonts w:ascii="Times New Roman" w:hAnsi="Times New Roman"/>
          <w:noProof/>
          <w:sz w:val="24"/>
        </w:rPr>
      </w:pPr>
      <w:bookmarkStart w:id="112" w:name="_ENREF_37"/>
      <w:r w:rsidRPr="001641B4">
        <w:rPr>
          <w:rFonts w:ascii="Times New Roman" w:hAnsi="Times New Roman"/>
          <w:noProof/>
          <w:sz w:val="24"/>
        </w:rPr>
        <w:t>37.</w:t>
      </w:r>
      <w:r w:rsidRPr="001641B4">
        <w:rPr>
          <w:rFonts w:ascii="Times New Roman" w:hAnsi="Times New Roman"/>
          <w:noProof/>
          <w:sz w:val="24"/>
        </w:rPr>
        <w:tab/>
        <w:t xml:space="preserve">Bowman, S.M., </w:t>
      </w:r>
      <w:r w:rsidRPr="001641B4">
        <w:rPr>
          <w:rFonts w:ascii="Times New Roman" w:hAnsi="Times New Roman"/>
          <w:i/>
          <w:noProof/>
          <w:sz w:val="24"/>
        </w:rPr>
        <w:t>SCALE 6: comprehensive nuclear safety analysis code system.</w:t>
      </w:r>
      <w:r w:rsidRPr="001641B4">
        <w:rPr>
          <w:rFonts w:ascii="Times New Roman" w:hAnsi="Times New Roman"/>
          <w:noProof/>
          <w:sz w:val="24"/>
        </w:rPr>
        <w:t xml:space="preserve"> Nuclear technology, 2011. </w:t>
      </w:r>
      <w:r w:rsidRPr="001641B4">
        <w:rPr>
          <w:rFonts w:ascii="Times New Roman" w:hAnsi="Times New Roman"/>
          <w:b/>
          <w:noProof/>
          <w:sz w:val="24"/>
        </w:rPr>
        <w:t>174</w:t>
      </w:r>
      <w:r w:rsidRPr="001641B4">
        <w:rPr>
          <w:rFonts w:ascii="Times New Roman" w:hAnsi="Times New Roman"/>
          <w:noProof/>
          <w:sz w:val="24"/>
        </w:rPr>
        <w:t>(2): p. 126-148.</w:t>
      </w:r>
      <w:bookmarkEnd w:id="112"/>
    </w:p>
    <w:p w14:paraId="4FBB8FC1" w14:textId="77777777" w:rsidR="00DF20CB" w:rsidRPr="001641B4" w:rsidRDefault="00DF20CB" w:rsidP="001641B4">
      <w:pPr>
        <w:pStyle w:val="EndNoteBibliography"/>
        <w:ind w:left="720" w:hanging="720"/>
        <w:jc w:val="left"/>
        <w:rPr>
          <w:rFonts w:ascii="Times New Roman" w:hAnsi="Times New Roman"/>
          <w:noProof/>
          <w:sz w:val="24"/>
        </w:rPr>
      </w:pPr>
      <w:bookmarkStart w:id="113" w:name="_ENREF_38"/>
      <w:r w:rsidRPr="001641B4">
        <w:rPr>
          <w:rFonts w:ascii="Times New Roman" w:hAnsi="Times New Roman"/>
          <w:noProof/>
          <w:sz w:val="24"/>
        </w:rPr>
        <w:t>38.</w:t>
      </w:r>
      <w:r w:rsidRPr="001641B4">
        <w:rPr>
          <w:rFonts w:ascii="Times New Roman" w:hAnsi="Times New Roman"/>
          <w:noProof/>
          <w:sz w:val="24"/>
        </w:rPr>
        <w:tab/>
        <w:t xml:space="preserve">Chadwick, M., et al., </w:t>
      </w:r>
      <w:r w:rsidRPr="001641B4">
        <w:rPr>
          <w:rFonts w:ascii="Times New Roman" w:hAnsi="Times New Roman"/>
          <w:i/>
          <w:noProof/>
          <w:sz w:val="24"/>
        </w:rPr>
        <w:t>ENDF/B-VII. 0: Next generation evaluated nuclear data library for nuclear science and technology.</w:t>
      </w:r>
      <w:r w:rsidRPr="001641B4">
        <w:rPr>
          <w:rFonts w:ascii="Times New Roman" w:hAnsi="Times New Roman"/>
          <w:noProof/>
          <w:sz w:val="24"/>
        </w:rPr>
        <w:t xml:space="preserve"> Nuclear data sheets, 2006. </w:t>
      </w:r>
      <w:r w:rsidRPr="001641B4">
        <w:rPr>
          <w:rFonts w:ascii="Times New Roman" w:hAnsi="Times New Roman"/>
          <w:b/>
          <w:noProof/>
          <w:sz w:val="24"/>
        </w:rPr>
        <w:t>107</w:t>
      </w:r>
      <w:r w:rsidRPr="001641B4">
        <w:rPr>
          <w:rFonts w:ascii="Times New Roman" w:hAnsi="Times New Roman"/>
          <w:noProof/>
          <w:sz w:val="24"/>
        </w:rPr>
        <w:t>(12): p. 2931-3060.</w:t>
      </w:r>
      <w:bookmarkEnd w:id="113"/>
    </w:p>
    <w:p w14:paraId="7351EE4E" w14:textId="77777777" w:rsidR="00DF20CB" w:rsidRPr="001641B4" w:rsidRDefault="00DF20CB" w:rsidP="001641B4">
      <w:pPr>
        <w:pStyle w:val="EndNoteBibliography"/>
        <w:ind w:left="720" w:hanging="720"/>
        <w:jc w:val="left"/>
        <w:rPr>
          <w:rFonts w:ascii="Times New Roman" w:hAnsi="Times New Roman"/>
          <w:noProof/>
          <w:sz w:val="24"/>
        </w:rPr>
      </w:pPr>
      <w:bookmarkStart w:id="114" w:name="_ENREF_39"/>
      <w:r w:rsidRPr="001641B4">
        <w:rPr>
          <w:rFonts w:ascii="Times New Roman" w:hAnsi="Times New Roman"/>
          <w:noProof/>
          <w:sz w:val="24"/>
        </w:rPr>
        <w:t>39.</w:t>
      </w:r>
      <w:r w:rsidRPr="001641B4">
        <w:rPr>
          <w:rFonts w:ascii="Times New Roman" w:hAnsi="Times New Roman"/>
          <w:noProof/>
          <w:sz w:val="24"/>
        </w:rPr>
        <w:tab/>
        <w:t xml:space="preserve">Godfrey, A., </w:t>
      </w:r>
      <w:r w:rsidRPr="001641B4">
        <w:rPr>
          <w:rFonts w:ascii="Times New Roman" w:hAnsi="Times New Roman"/>
          <w:i/>
          <w:noProof/>
          <w:sz w:val="24"/>
        </w:rPr>
        <w:t>VERA Core Physics Benchmark Progression Problem Specifications</w:t>
      </w:r>
      <w:r w:rsidRPr="001641B4">
        <w:rPr>
          <w:rFonts w:ascii="Times New Roman" w:hAnsi="Times New Roman"/>
          <w:noProof/>
          <w:sz w:val="24"/>
        </w:rPr>
        <w:t>. 2013, Revision.</w:t>
      </w:r>
      <w:bookmarkEnd w:id="114"/>
    </w:p>
    <w:p w14:paraId="33217D79" w14:textId="77777777" w:rsidR="00DF20CB" w:rsidRPr="001641B4" w:rsidRDefault="00DF20CB" w:rsidP="001641B4">
      <w:pPr>
        <w:pStyle w:val="EndNoteBibliography"/>
        <w:ind w:left="720" w:hanging="720"/>
        <w:jc w:val="left"/>
        <w:rPr>
          <w:rFonts w:ascii="Times New Roman" w:hAnsi="Times New Roman"/>
          <w:noProof/>
          <w:sz w:val="24"/>
        </w:rPr>
      </w:pPr>
      <w:bookmarkStart w:id="115" w:name="_ENREF_40"/>
      <w:r w:rsidRPr="001641B4">
        <w:rPr>
          <w:rFonts w:ascii="Times New Roman" w:hAnsi="Times New Roman"/>
          <w:noProof/>
          <w:sz w:val="24"/>
        </w:rPr>
        <w:t>40.</w:t>
      </w:r>
      <w:r w:rsidRPr="001641B4">
        <w:rPr>
          <w:rFonts w:ascii="Times New Roman" w:hAnsi="Times New Roman"/>
          <w:noProof/>
          <w:sz w:val="24"/>
        </w:rPr>
        <w:tab/>
        <w:t xml:space="preserve">Kim, Y. and M. Baek, </w:t>
      </w:r>
      <w:r w:rsidRPr="001641B4">
        <w:rPr>
          <w:rFonts w:ascii="Times New Roman" w:hAnsi="Times New Roman"/>
          <w:i/>
          <w:noProof/>
          <w:sz w:val="24"/>
        </w:rPr>
        <w:t>Elimination of double-heterogeneity through a reactivity-equivalent physical transformation.</w:t>
      </w:r>
      <w:r w:rsidRPr="001641B4">
        <w:rPr>
          <w:rFonts w:ascii="Times New Roman" w:hAnsi="Times New Roman"/>
          <w:noProof/>
          <w:sz w:val="24"/>
        </w:rPr>
        <w:t xml:space="preserve"> 2005.</w:t>
      </w:r>
      <w:bookmarkEnd w:id="115"/>
    </w:p>
    <w:p w14:paraId="2E8AEB92" w14:textId="77777777" w:rsidR="00DF20CB" w:rsidRPr="001641B4" w:rsidRDefault="00DF20CB" w:rsidP="001641B4">
      <w:pPr>
        <w:pStyle w:val="EndNoteBibliography"/>
        <w:ind w:left="720" w:hanging="720"/>
        <w:jc w:val="left"/>
        <w:rPr>
          <w:rFonts w:ascii="Times New Roman" w:hAnsi="Times New Roman"/>
          <w:noProof/>
          <w:sz w:val="24"/>
        </w:rPr>
      </w:pPr>
      <w:bookmarkStart w:id="116" w:name="_ENREF_41"/>
      <w:r w:rsidRPr="001641B4">
        <w:rPr>
          <w:rFonts w:ascii="Times New Roman" w:hAnsi="Times New Roman"/>
          <w:noProof/>
          <w:sz w:val="24"/>
        </w:rPr>
        <w:t>41.</w:t>
      </w:r>
      <w:r w:rsidRPr="001641B4">
        <w:rPr>
          <w:rFonts w:ascii="Times New Roman" w:hAnsi="Times New Roman"/>
          <w:noProof/>
          <w:sz w:val="24"/>
        </w:rPr>
        <w:tab/>
        <w:t xml:space="preserve">Kanthal, A., </w:t>
      </w:r>
      <w:r w:rsidRPr="001641B4">
        <w:rPr>
          <w:rFonts w:ascii="Times New Roman" w:hAnsi="Times New Roman"/>
          <w:i/>
          <w:noProof/>
          <w:sz w:val="24"/>
        </w:rPr>
        <w:t>APMT Tube Material datasheet.</w:t>
      </w:r>
      <w:r w:rsidRPr="001641B4">
        <w:rPr>
          <w:rFonts w:ascii="Times New Roman" w:hAnsi="Times New Roman"/>
          <w:noProof/>
          <w:sz w:val="24"/>
        </w:rPr>
        <w:t xml:space="preserve"> AB Sandvik group, Sandviken, Sweden.</w:t>
      </w:r>
      <w:bookmarkEnd w:id="116"/>
    </w:p>
    <w:p w14:paraId="291AF5CA" w14:textId="77777777" w:rsidR="00DF20CB" w:rsidRPr="001641B4" w:rsidRDefault="00DF20CB" w:rsidP="001641B4">
      <w:pPr>
        <w:pStyle w:val="EndNoteBibliography"/>
        <w:ind w:left="720" w:hanging="720"/>
        <w:jc w:val="left"/>
        <w:rPr>
          <w:rFonts w:ascii="Times New Roman" w:hAnsi="Times New Roman"/>
          <w:noProof/>
          <w:sz w:val="24"/>
        </w:rPr>
      </w:pPr>
      <w:bookmarkStart w:id="117" w:name="_ENREF_42"/>
      <w:r w:rsidRPr="001641B4">
        <w:rPr>
          <w:rFonts w:ascii="Times New Roman" w:hAnsi="Times New Roman"/>
          <w:noProof/>
          <w:sz w:val="24"/>
        </w:rPr>
        <w:t>42.</w:t>
      </w:r>
      <w:r w:rsidRPr="001641B4">
        <w:rPr>
          <w:rFonts w:ascii="Times New Roman" w:hAnsi="Times New Roman"/>
          <w:noProof/>
          <w:sz w:val="24"/>
        </w:rPr>
        <w:tab/>
      </w:r>
      <w:r w:rsidRPr="001641B4">
        <w:rPr>
          <w:rFonts w:ascii="Times New Roman" w:hAnsi="Times New Roman"/>
          <w:i/>
          <w:noProof/>
          <w:sz w:val="24"/>
        </w:rPr>
        <w:t>Fuel design data.</w:t>
      </w:r>
      <w:r w:rsidRPr="001641B4">
        <w:rPr>
          <w:rFonts w:ascii="Times New Roman" w:hAnsi="Times New Roman"/>
          <w:noProof/>
          <w:sz w:val="24"/>
        </w:rPr>
        <w:t xml:space="preserve"> Nuclear Engineering International, 2004. </w:t>
      </w:r>
      <w:r w:rsidRPr="001641B4">
        <w:rPr>
          <w:rFonts w:ascii="Times New Roman" w:hAnsi="Times New Roman"/>
          <w:b/>
          <w:noProof/>
          <w:sz w:val="24"/>
        </w:rPr>
        <w:t>49, Sept.</w:t>
      </w:r>
      <w:r w:rsidRPr="001641B4">
        <w:rPr>
          <w:rFonts w:ascii="Times New Roman" w:hAnsi="Times New Roman"/>
          <w:noProof/>
          <w:sz w:val="24"/>
        </w:rPr>
        <w:t>(September): p. 26-35.</w:t>
      </w:r>
      <w:bookmarkEnd w:id="117"/>
    </w:p>
    <w:p w14:paraId="5756C889" w14:textId="77777777" w:rsidR="00DF20CB" w:rsidRPr="001641B4" w:rsidRDefault="00DF20CB" w:rsidP="001641B4">
      <w:pPr>
        <w:pStyle w:val="EndNoteBibliography"/>
        <w:ind w:left="720" w:hanging="720"/>
        <w:jc w:val="left"/>
        <w:rPr>
          <w:rFonts w:ascii="Times New Roman" w:hAnsi="Times New Roman"/>
          <w:noProof/>
          <w:sz w:val="24"/>
        </w:rPr>
      </w:pPr>
      <w:bookmarkStart w:id="118" w:name="_ENREF_43"/>
      <w:r w:rsidRPr="001641B4">
        <w:rPr>
          <w:rFonts w:ascii="Times New Roman" w:hAnsi="Times New Roman"/>
          <w:noProof/>
          <w:sz w:val="24"/>
        </w:rPr>
        <w:t>43.</w:t>
      </w:r>
      <w:r w:rsidRPr="001641B4">
        <w:rPr>
          <w:rFonts w:ascii="Times New Roman" w:hAnsi="Times New Roman"/>
          <w:noProof/>
          <w:sz w:val="24"/>
        </w:rPr>
        <w:tab/>
        <w:t xml:space="preserve">Bloore, D.A., </w:t>
      </w:r>
      <w:r w:rsidRPr="001641B4">
        <w:rPr>
          <w:rFonts w:ascii="Times New Roman" w:hAnsi="Times New Roman"/>
          <w:i/>
          <w:noProof/>
          <w:sz w:val="24"/>
        </w:rPr>
        <w:t>Reactor physics assessment of thick silicon carbide clad PWR fuels</w:t>
      </w:r>
      <w:r w:rsidRPr="001641B4">
        <w:rPr>
          <w:rFonts w:ascii="Times New Roman" w:hAnsi="Times New Roman"/>
          <w:noProof/>
          <w:sz w:val="24"/>
        </w:rPr>
        <w:t>. 2013, Massachusetts Institute of Technology.</w:t>
      </w:r>
      <w:bookmarkEnd w:id="118"/>
    </w:p>
    <w:p w14:paraId="748A778B" w14:textId="77777777" w:rsidR="00DF20CB" w:rsidRPr="001641B4" w:rsidRDefault="00DF20CB" w:rsidP="001641B4">
      <w:pPr>
        <w:pStyle w:val="EndNoteBibliography"/>
        <w:ind w:left="720" w:hanging="720"/>
        <w:jc w:val="left"/>
        <w:rPr>
          <w:rFonts w:ascii="Times New Roman" w:hAnsi="Times New Roman"/>
          <w:noProof/>
          <w:sz w:val="24"/>
        </w:rPr>
      </w:pPr>
      <w:bookmarkStart w:id="119" w:name="_ENREF_44"/>
      <w:r w:rsidRPr="001641B4">
        <w:rPr>
          <w:rFonts w:ascii="Times New Roman" w:hAnsi="Times New Roman"/>
          <w:noProof/>
          <w:sz w:val="24"/>
        </w:rPr>
        <w:lastRenderedPageBreak/>
        <w:t>44.</w:t>
      </w:r>
      <w:r w:rsidRPr="001641B4">
        <w:rPr>
          <w:rFonts w:ascii="Times New Roman" w:hAnsi="Times New Roman"/>
          <w:noProof/>
          <w:sz w:val="24"/>
        </w:rPr>
        <w:tab/>
        <w:t xml:space="preserve">Smith, H.J., </w:t>
      </w:r>
      <w:r w:rsidRPr="001641B4">
        <w:rPr>
          <w:rFonts w:ascii="Times New Roman" w:hAnsi="Times New Roman"/>
          <w:i/>
          <w:noProof/>
          <w:sz w:val="24"/>
        </w:rPr>
        <w:t>Analysis of Experimental Data for High Burnup BWR Spent Fuel Isotopic Validation - SVEA-96 and GE14 Assembly Designs.</w:t>
      </w:r>
      <w:r w:rsidRPr="001641B4">
        <w:rPr>
          <w:rFonts w:ascii="Times New Roman" w:hAnsi="Times New Roman"/>
          <w:noProof/>
          <w:sz w:val="24"/>
        </w:rPr>
        <w:t xml:space="preserve"> ORNL/TM-2013/18, 2013.</w:t>
      </w:r>
      <w:bookmarkEnd w:id="119"/>
    </w:p>
    <w:p w14:paraId="5686EA62" w14:textId="77777777" w:rsidR="00DF20CB" w:rsidRPr="001641B4" w:rsidRDefault="00DF20CB" w:rsidP="001641B4">
      <w:pPr>
        <w:pStyle w:val="EndNoteBibliography"/>
        <w:ind w:left="720" w:hanging="720"/>
        <w:jc w:val="left"/>
        <w:rPr>
          <w:rFonts w:ascii="Times New Roman" w:hAnsi="Times New Roman"/>
          <w:noProof/>
          <w:sz w:val="24"/>
        </w:rPr>
      </w:pPr>
      <w:bookmarkStart w:id="120" w:name="_ENREF_45"/>
      <w:r w:rsidRPr="001641B4">
        <w:rPr>
          <w:rFonts w:ascii="Times New Roman" w:hAnsi="Times New Roman"/>
          <w:noProof/>
          <w:sz w:val="24"/>
        </w:rPr>
        <w:t>45.</w:t>
      </w:r>
      <w:r w:rsidRPr="001641B4">
        <w:rPr>
          <w:rFonts w:ascii="Times New Roman" w:hAnsi="Times New Roman"/>
          <w:noProof/>
          <w:sz w:val="24"/>
        </w:rPr>
        <w:tab/>
        <w:t xml:space="preserve">Fensin, M.L., </w:t>
      </w:r>
      <w:r w:rsidRPr="001641B4">
        <w:rPr>
          <w:rFonts w:ascii="Times New Roman" w:hAnsi="Times New Roman"/>
          <w:i/>
          <w:noProof/>
          <w:sz w:val="24"/>
        </w:rPr>
        <w:t>Optimum Boiling Water Reactor Fuel Design Strategies to Enhance Reactor Shutdown by the Standby Liquid Control System</w:t>
      </w:r>
      <w:r w:rsidRPr="001641B4">
        <w:rPr>
          <w:rFonts w:ascii="Times New Roman" w:hAnsi="Times New Roman"/>
          <w:noProof/>
          <w:sz w:val="24"/>
        </w:rPr>
        <w:t>. 2004, M.S. Thesis, University of Florida.</w:t>
      </w:r>
      <w:bookmarkEnd w:id="120"/>
    </w:p>
    <w:p w14:paraId="2E184C19" w14:textId="77777777" w:rsidR="00DF20CB" w:rsidRPr="001641B4" w:rsidRDefault="00DF20CB" w:rsidP="001641B4">
      <w:pPr>
        <w:pStyle w:val="EndNoteBibliography"/>
        <w:ind w:left="720" w:hanging="720"/>
        <w:jc w:val="left"/>
        <w:rPr>
          <w:rFonts w:ascii="Times New Roman" w:hAnsi="Times New Roman"/>
          <w:noProof/>
          <w:sz w:val="24"/>
        </w:rPr>
      </w:pPr>
      <w:bookmarkStart w:id="121" w:name="_ENREF_46"/>
      <w:r w:rsidRPr="001641B4">
        <w:rPr>
          <w:rFonts w:ascii="Times New Roman" w:hAnsi="Times New Roman"/>
          <w:noProof/>
          <w:sz w:val="24"/>
        </w:rPr>
        <w:t>46.</w:t>
      </w:r>
      <w:r w:rsidRPr="001641B4">
        <w:rPr>
          <w:rFonts w:ascii="Times New Roman" w:hAnsi="Times New Roman"/>
          <w:noProof/>
          <w:sz w:val="24"/>
        </w:rPr>
        <w:tab/>
        <w:t xml:space="preserve">Watford, G. </w:t>
      </w:r>
      <w:r w:rsidRPr="001641B4">
        <w:rPr>
          <w:rFonts w:ascii="Times New Roman" w:hAnsi="Times New Roman"/>
          <w:i/>
          <w:noProof/>
          <w:sz w:val="24"/>
        </w:rPr>
        <w:t>Advanced 10× 10 GE BWR fuel design</w:t>
      </w:r>
      <w:r w:rsidRPr="001641B4">
        <w:rPr>
          <w:rFonts w:ascii="Times New Roman" w:hAnsi="Times New Roman"/>
          <w:noProof/>
          <w:sz w:val="24"/>
        </w:rPr>
        <w:t xml:space="preserve">. in </w:t>
      </w:r>
      <w:r w:rsidRPr="001641B4">
        <w:rPr>
          <w:rFonts w:ascii="Times New Roman" w:hAnsi="Times New Roman"/>
          <w:i/>
          <w:noProof/>
          <w:sz w:val="24"/>
        </w:rPr>
        <w:t>Proceedings of ANS Topical Meeting on Advances in Fuel Management II, Myrtle Beach, South Carolina</w:t>
      </w:r>
      <w:r w:rsidRPr="001641B4">
        <w:rPr>
          <w:rFonts w:ascii="Times New Roman" w:hAnsi="Times New Roman"/>
          <w:noProof/>
          <w:sz w:val="24"/>
        </w:rPr>
        <w:t>. 1997.</w:t>
      </w:r>
      <w:bookmarkEnd w:id="121"/>
    </w:p>
    <w:p w14:paraId="57F40601" w14:textId="77777777" w:rsidR="00DF20CB" w:rsidRPr="001641B4" w:rsidRDefault="00DF20CB" w:rsidP="001641B4">
      <w:pPr>
        <w:pStyle w:val="EndNoteBibliography"/>
        <w:ind w:left="720" w:hanging="720"/>
        <w:jc w:val="left"/>
        <w:rPr>
          <w:rFonts w:ascii="Times New Roman" w:hAnsi="Times New Roman"/>
          <w:noProof/>
          <w:sz w:val="24"/>
        </w:rPr>
      </w:pPr>
      <w:bookmarkStart w:id="122" w:name="_ENREF_47"/>
      <w:r w:rsidRPr="001641B4">
        <w:rPr>
          <w:rFonts w:ascii="Times New Roman" w:hAnsi="Times New Roman"/>
          <w:noProof/>
          <w:sz w:val="24"/>
        </w:rPr>
        <w:t>47.</w:t>
      </w:r>
      <w:r w:rsidRPr="001641B4">
        <w:rPr>
          <w:rFonts w:ascii="Times New Roman" w:hAnsi="Times New Roman"/>
          <w:noProof/>
          <w:sz w:val="24"/>
        </w:rPr>
        <w:tab/>
        <w:t xml:space="preserve">Asgari, M., et al., </w:t>
      </w:r>
      <w:r w:rsidRPr="001641B4">
        <w:rPr>
          <w:rFonts w:ascii="Times New Roman" w:hAnsi="Times New Roman"/>
          <w:i/>
          <w:noProof/>
          <w:sz w:val="24"/>
        </w:rPr>
        <w:t>Application of the N-Streaming SM concept to Peach Bottom 2 Cycle 17.</w:t>
      </w:r>
      <w:r w:rsidRPr="001641B4">
        <w:rPr>
          <w:rFonts w:ascii="Times New Roman" w:hAnsi="Times New Roman"/>
          <w:noProof/>
          <w:sz w:val="24"/>
        </w:rPr>
        <w:t xml:space="preserve"> 2006.</w:t>
      </w:r>
      <w:bookmarkEnd w:id="122"/>
    </w:p>
    <w:p w14:paraId="0D7576D5" w14:textId="77777777" w:rsidR="00DF20CB" w:rsidRPr="001641B4" w:rsidRDefault="00DF20CB" w:rsidP="001641B4">
      <w:pPr>
        <w:pStyle w:val="EndNoteBibliography"/>
        <w:ind w:left="720" w:hanging="720"/>
        <w:jc w:val="left"/>
        <w:rPr>
          <w:rFonts w:ascii="Times New Roman" w:hAnsi="Times New Roman"/>
          <w:noProof/>
          <w:sz w:val="24"/>
        </w:rPr>
      </w:pPr>
      <w:bookmarkStart w:id="123" w:name="_ENREF_48"/>
      <w:r w:rsidRPr="001641B4">
        <w:rPr>
          <w:rFonts w:ascii="Times New Roman" w:hAnsi="Times New Roman"/>
          <w:noProof/>
          <w:sz w:val="24"/>
        </w:rPr>
        <w:t>48.</w:t>
      </w:r>
      <w:r w:rsidRPr="001641B4">
        <w:rPr>
          <w:rFonts w:ascii="Times New Roman" w:hAnsi="Times New Roman"/>
          <w:noProof/>
          <w:sz w:val="24"/>
        </w:rPr>
        <w:tab/>
        <w:t xml:space="preserve">Larsen, N., </w:t>
      </w:r>
      <w:r w:rsidRPr="001641B4">
        <w:rPr>
          <w:rFonts w:ascii="Times New Roman" w:hAnsi="Times New Roman"/>
          <w:i/>
          <w:noProof/>
          <w:sz w:val="24"/>
        </w:rPr>
        <w:t>Core Design and Operating Data for Cycles 1 and 2 of Peach Bottom 2</w:t>
      </w:r>
      <w:r w:rsidRPr="001641B4">
        <w:rPr>
          <w:rFonts w:ascii="Times New Roman" w:hAnsi="Times New Roman"/>
          <w:noProof/>
          <w:sz w:val="24"/>
        </w:rPr>
        <w:t>. 1978, General Electric Co., San Jose, CA (USA). Nuclear Energy Engineering Div.</w:t>
      </w:r>
      <w:bookmarkEnd w:id="123"/>
    </w:p>
    <w:p w14:paraId="4C1C300C" w14:textId="77777777" w:rsidR="00DF20CB" w:rsidRPr="001641B4" w:rsidRDefault="00DF20CB" w:rsidP="001641B4">
      <w:pPr>
        <w:pStyle w:val="EndNoteBibliography"/>
        <w:ind w:left="720" w:hanging="720"/>
        <w:jc w:val="left"/>
        <w:rPr>
          <w:rFonts w:ascii="Times New Roman" w:hAnsi="Times New Roman"/>
          <w:noProof/>
          <w:sz w:val="24"/>
        </w:rPr>
      </w:pPr>
      <w:bookmarkStart w:id="124" w:name="_ENREF_49"/>
      <w:r w:rsidRPr="001641B4">
        <w:rPr>
          <w:rFonts w:ascii="Times New Roman" w:hAnsi="Times New Roman"/>
          <w:noProof/>
          <w:sz w:val="24"/>
        </w:rPr>
        <w:t>49.</w:t>
      </w:r>
      <w:r w:rsidRPr="001641B4">
        <w:rPr>
          <w:rFonts w:ascii="Times New Roman" w:hAnsi="Times New Roman"/>
          <w:noProof/>
          <w:sz w:val="24"/>
        </w:rPr>
        <w:tab/>
        <w:t xml:space="preserve">Turinsky, P.J., </w:t>
      </w:r>
      <w:r w:rsidRPr="001641B4">
        <w:rPr>
          <w:rFonts w:ascii="Times New Roman" w:hAnsi="Times New Roman"/>
          <w:i/>
          <w:noProof/>
          <w:sz w:val="24"/>
        </w:rPr>
        <w:t>Few-Group Neutron Diffusion Equation Solver Utilizing the Nodal Expansion Method for Eigenvalue, Adjoint, Fixed-Source Steady-State and Transient Problems.</w:t>
      </w:r>
      <w:r w:rsidRPr="001641B4">
        <w:rPr>
          <w:rFonts w:ascii="Times New Roman" w:hAnsi="Times New Roman"/>
          <w:noProof/>
          <w:sz w:val="24"/>
        </w:rPr>
        <w:t xml:space="preserve"> Electric Power Research Center, North Carolina State University, Raleigh, NC, USA, 1994.</w:t>
      </w:r>
      <w:bookmarkEnd w:id="124"/>
    </w:p>
    <w:p w14:paraId="1326734E" w14:textId="77777777" w:rsidR="00DF20CB" w:rsidRPr="001641B4" w:rsidRDefault="00DF20CB" w:rsidP="001641B4">
      <w:pPr>
        <w:pStyle w:val="EndNoteBibliography"/>
        <w:ind w:left="720" w:hanging="720"/>
        <w:jc w:val="left"/>
        <w:rPr>
          <w:rFonts w:ascii="Times New Roman" w:hAnsi="Times New Roman"/>
          <w:noProof/>
          <w:sz w:val="24"/>
        </w:rPr>
      </w:pPr>
      <w:bookmarkStart w:id="125" w:name="_ENREF_50"/>
      <w:r w:rsidRPr="001641B4">
        <w:rPr>
          <w:rFonts w:ascii="Times New Roman" w:hAnsi="Times New Roman"/>
          <w:noProof/>
          <w:sz w:val="24"/>
        </w:rPr>
        <w:t>50.</w:t>
      </w:r>
      <w:r w:rsidRPr="001641B4">
        <w:rPr>
          <w:rFonts w:ascii="Times New Roman" w:hAnsi="Times New Roman"/>
          <w:noProof/>
          <w:sz w:val="24"/>
        </w:rPr>
        <w:tab/>
        <w:t xml:space="preserve">N.P. Luciano, e.a., </w:t>
      </w:r>
      <w:r w:rsidRPr="001641B4">
        <w:rPr>
          <w:rFonts w:ascii="Times New Roman" w:hAnsi="Times New Roman"/>
          <w:i/>
          <w:noProof/>
          <w:sz w:val="24"/>
        </w:rPr>
        <w:t>"The NESTLE 3D Nodal Core Simulator: Modern Reactor Models," accepted</w:t>
      </w:r>
      <w:r w:rsidRPr="001641B4">
        <w:rPr>
          <w:rFonts w:ascii="Times New Roman" w:hAnsi="Times New Roman"/>
          <w:noProof/>
          <w:sz w:val="24"/>
        </w:rPr>
        <w:t xml:space="preserve">, in </w:t>
      </w:r>
      <w:r w:rsidRPr="001641B4">
        <w:rPr>
          <w:rFonts w:ascii="Times New Roman" w:hAnsi="Times New Roman"/>
          <w:i/>
          <w:noProof/>
          <w:sz w:val="24"/>
        </w:rPr>
        <w:t>ANS MC2015 Joint International Conference on Mathematics and Computation (M&amp;C)</w:t>
      </w:r>
      <w:r w:rsidRPr="001641B4">
        <w:rPr>
          <w:rFonts w:ascii="Times New Roman" w:hAnsi="Times New Roman"/>
          <w:noProof/>
          <w:sz w:val="24"/>
        </w:rPr>
        <w:t>. ANS: Nashville, TN, USA, April 2015.</w:t>
      </w:r>
      <w:bookmarkEnd w:id="125"/>
    </w:p>
    <w:p w14:paraId="0CF66036" w14:textId="77777777" w:rsidR="00DF20CB" w:rsidRPr="001641B4" w:rsidRDefault="00DF20CB" w:rsidP="001641B4">
      <w:pPr>
        <w:pStyle w:val="EndNoteBibliography"/>
        <w:ind w:left="720" w:hanging="720"/>
        <w:jc w:val="left"/>
        <w:rPr>
          <w:rFonts w:ascii="Times New Roman" w:hAnsi="Times New Roman"/>
          <w:noProof/>
          <w:sz w:val="24"/>
        </w:rPr>
      </w:pPr>
      <w:bookmarkStart w:id="126" w:name="_ENREF_51"/>
      <w:r w:rsidRPr="001641B4">
        <w:rPr>
          <w:rFonts w:ascii="Times New Roman" w:hAnsi="Times New Roman"/>
          <w:noProof/>
          <w:sz w:val="24"/>
        </w:rPr>
        <w:t>51.</w:t>
      </w:r>
      <w:r w:rsidRPr="001641B4">
        <w:rPr>
          <w:rFonts w:ascii="Times New Roman" w:hAnsi="Times New Roman"/>
          <w:noProof/>
          <w:sz w:val="24"/>
        </w:rPr>
        <w:tab/>
        <w:t xml:space="preserve">Galloway, J., et al., </w:t>
      </w:r>
      <w:r w:rsidRPr="001641B4">
        <w:rPr>
          <w:rFonts w:ascii="Times New Roman" w:hAnsi="Times New Roman"/>
          <w:i/>
          <w:noProof/>
          <w:sz w:val="24"/>
        </w:rPr>
        <w:t>BWR modeling capability and Scale/Triton lattice-to-core integration of the Nestle nodal simulator-331</w:t>
      </w:r>
      <w:r w:rsidRPr="001641B4">
        <w:rPr>
          <w:rFonts w:ascii="Times New Roman" w:hAnsi="Times New Roman"/>
          <w:noProof/>
          <w:sz w:val="24"/>
        </w:rPr>
        <w:t xml:space="preserve">, in </w:t>
      </w:r>
      <w:r w:rsidRPr="001641B4">
        <w:rPr>
          <w:rFonts w:ascii="Times New Roman" w:hAnsi="Times New Roman"/>
          <w:i/>
          <w:noProof/>
          <w:sz w:val="24"/>
        </w:rPr>
        <w:t>Proc. of Physor</w:t>
      </w:r>
      <w:r w:rsidRPr="001641B4">
        <w:rPr>
          <w:rFonts w:ascii="Times New Roman" w:hAnsi="Times New Roman"/>
          <w:noProof/>
          <w:sz w:val="24"/>
        </w:rPr>
        <w:t>. 2010: Pittsburgh, PA.</w:t>
      </w:r>
      <w:bookmarkEnd w:id="126"/>
    </w:p>
    <w:p w14:paraId="1A2D6523" w14:textId="77777777" w:rsidR="00DF20CB" w:rsidRPr="001641B4" w:rsidRDefault="00DF20CB" w:rsidP="001641B4">
      <w:pPr>
        <w:pStyle w:val="EndNoteBibliography"/>
        <w:ind w:left="720" w:hanging="720"/>
        <w:jc w:val="left"/>
        <w:rPr>
          <w:rFonts w:ascii="Times New Roman" w:hAnsi="Times New Roman"/>
          <w:noProof/>
          <w:sz w:val="24"/>
        </w:rPr>
      </w:pPr>
      <w:bookmarkStart w:id="127" w:name="_ENREF_52"/>
      <w:r w:rsidRPr="001641B4">
        <w:rPr>
          <w:rFonts w:ascii="Times New Roman" w:hAnsi="Times New Roman"/>
          <w:noProof/>
          <w:sz w:val="24"/>
        </w:rPr>
        <w:t>52.</w:t>
      </w:r>
      <w:r w:rsidRPr="001641B4">
        <w:rPr>
          <w:rFonts w:ascii="Times New Roman" w:hAnsi="Times New Roman"/>
          <w:noProof/>
          <w:sz w:val="24"/>
        </w:rPr>
        <w:tab/>
        <w:t xml:space="preserve">Galloway, J.D., </w:t>
      </w:r>
      <w:r w:rsidRPr="001641B4">
        <w:rPr>
          <w:rFonts w:ascii="Times New Roman" w:hAnsi="Times New Roman"/>
          <w:i/>
          <w:noProof/>
          <w:sz w:val="24"/>
        </w:rPr>
        <w:t>Boiling Water Reactor Core Simulation with Generalized Isotopic Inventory Tracking for Actinide Management</w:t>
      </w:r>
      <w:r w:rsidRPr="001641B4">
        <w:rPr>
          <w:rFonts w:ascii="Times New Roman" w:hAnsi="Times New Roman"/>
          <w:noProof/>
          <w:sz w:val="24"/>
        </w:rPr>
        <w:t>. 2010, PhD Dissertation, University of Tennessee.</w:t>
      </w:r>
      <w:bookmarkEnd w:id="127"/>
    </w:p>
    <w:p w14:paraId="06A081A4" w14:textId="77777777" w:rsidR="00DF20CB" w:rsidRPr="001641B4" w:rsidRDefault="00DF20CB" w:rsidP="001641B4">
      <w:pPr>
        <w:pStyle w:val="EndNoteBibliography"/>
        <w:ind w:left="720" w:hanging="720"/>
        <w:jc w:val="left"/>
        <w:rPr>
          <w:rFonts w:ascii="Times New Roman" w:hAnsi="Times New Roman"/>
          <w:noProof/>
          <w:sz w:val="24"/>
        </w:rPr>
      </w:pPr>
      <w:bookmarkStart w:id="128" w:name="_ENREF_53"/>
      <w:r w:rsidRPr="001641B4">
        <w:rPr>
          <w:rFonts w:ascii="Times New Roman" w:hAnsi="Times New Roman"/>
          <w:noProof/>
          <w:sz w:val="24"/>
        </w:rPr>
        <w:t>53.</w:t>
      </w:r>
      <w:r w:rsidRPr="001641B4">
        <w:rPr>
          <w:rFonts w:ascii="Times New Roman" w:hAnsi="Times New Roman"/>
          <w:noProof/>
          <w:sz w:val="24"/>
        </w:rPr>
        <w:tab/>
        <w:t xml:space="preserve">Ottinger, K.E., </w:t>
      </w:r>
      <w:r w:rsidRPr="001641B4">
        <w:rPr>
          <w:rFonts w:ascii="Times New Roman" w:hAnsi="Times New Roman"/>
          <w:i/>
          <w:noProof/>
          <w:sz w:val="24"/>
        </w:rPr>
        <w:t>Multi-cycle boiling water reactor fuel cycle optimization.</w:t>
      </w:r>
      <w:r w:rsidRPr="001641B4">
        <w:rPr>
          <w:rFonts w:ascii="Times New Roman" w:hAnsi="Times New Roman"/>
          <w:noProof/>
          <w:sz w:val="24"/>
        </w:rPr>
        <w:t xml:space="preserve"> 2014.</w:t>
      </w:r>
      <w:bookmarkEnd w:id="128"/>
    </w:p>
    <w:p w14:paraId="7223E1BB" w14:textId="77777777" w:rsidR="00DF20CB" w:rsidRPr="001641B4" w:rsidRDefault="00DF20CB" w:rsidP="001641B4">
      <w:pPr>
        <w:pStyle w:val="EndNoteBibliography"/>
        <w:ind w:left="720" w:hanging="720"/>
        <w:jc w:val="left"/>
        <w:rPr>
          <w:rFonts w:ascii="Times New Roman" w:hAnsi="Times New Roman"/>
          <w:noProof/>
          <w:sz w:val="24"/>
        </w:rPr>
      </w:pPr>
      <w:bookmarkStart w:id="129" w:name="_ENREF_54"/>
      <w:r w:rsidRPr="001641B4">
        <w:rPr>
          <w:rFonts w:ascii="Times New Roman" w:hAnsi="Times New Roman"/>
          <w:noProof/>
          <w:sz w:val="24"/>
        </w:rPr>
        <w:t>54.</w:t>
      </w:r>
      <w:r w:rsidRPr="001641B4">
        <w:rPr>
          <w:rFonts w:ascii="Times New Roman" w:hAnsi="Times New Roman"/>
          <w:noProof/>
          <w:sz w:val="24"/>
        </w:rPr>
        <w:tab/>
        <w:t xml:space="preserve">Lemmon, E., et al., </w:t>
      </w:r>
      <w:r w:rsidRPr="001641B4">
        <w:rPr>
          <w:rFonts w:ascii="Times New Roman" w:hAnsi="Times New Roman"/>
          <w:i/>
          <w:noProof/>
          <w:sz w:val="24"/>
        </w:rPr>
        <w:t>NIST12 Thermodynamic and Transport Properties of Pure Fluids-NIST Standard Reference Database 23</w:t>
      </w:r>
      <w:r w:rsidRPr="001641B4">
        <w:rPr>
          <w:rFonts w:ascii="Times New Roman" w:hAnsi="Times New Roman"/>
          <w:noProof/>
          <w:sz w:val="24"/>
        </w:rPr>
        <w:t>. 2007, Version.</w:t>
      </w:r>
      <w:bookmarkEnd w:id="129"/>
    </w:p>
    <w:p w14:paraId="18FA06A5" w14:textId="77777777" w:rsidR="00DF20CB" w:rsidRPr="001641B4" w:rsidRDefault="00DF20CB" w:rsidP="001641B4">
      <w:pPr>
        <w:pStyle w:val="EndNoteBibliography"/>
        <w:ind w:left="720" w:hanging="720"/>
        <w:jc w:val="left"/>
        <w:rPr>
          <w:rFonts w:ascii="Times New Roman" w:hAnsi="Times New Roman"/>
          <w:noProof/>
          <w:sz w:val="24"/>
        </w:rPr>
      </w:pPr>
      <w:bookmarkStart w:id="130" w:name="_ENREF_55"/>
      <w:r w:rsidRPr="001641B4">
        <w:rPr>
          <w:rFonts w:ascii="Times New Roman" w:hAnsi="Times New Roman"/>
          <w:noProof/>
          <w:sz w:val="24"/>
        </w:rPr>
        <w:t>55.</w:t>
      </w:r>
      <w:r w:rsidRPr="001641B4">
        <w:rPr>
          <w:rFonts w:ascii="Times New Roman" w:hAnsi="Times New Roman"/>
          <w:noProof/>
          <w:sz w:val="24"/>
        </w:rPr>
        <w:tab/>
        <w:t xml:space="preserve">Luciano, N., </w:t>
      </w:r>
      <w:r w:rsidRPr="001641B4">
        <w:rPr>
          <w:rFonts w:ascii="Times New Roman" w:hAnsi="Times New Roman"/>
          <w:i/>
          <w:noProof/>
          <w:sz w:val="24"/>
        </w:rPr>
        <w:t>The Drift Flux Model as Implemented in NESTLE.</w:t>
      </w:r>
      <w:r w:rsidRPr="001641B4">
        <w:rPr>
          <w:rFonts w:ascii="Times New Roman" w:hAnsi="Times New Roman"/>
          <w:noProof/>
          <w:sz w:val="24"/>
        </w:rPr>
        <w:t xml:space="preserve"> 2012.</w:t>
      </w:r>
      <w:bookmarkEnd w:id="130"/>
    </w:p>
    <w:p w14:paraId="3294AA10" w14:textId="77777777" w:rsidR="00DF20CB" w:rsidRPr="001641B4" w:rsidRDefault="00DF20CB" w:rsidP="001641B4">
      <w:pPr>
        <w:pStyle w:val="EndNoteBibliography"/>
        <w:ind w:left="720" w:hanging="720"/>
        <w:jc w:val="left"/>
        <w:rPr>
          <w:rFonts w:ascii="Times New Roman" w:hAnsi="Times New Roman"/>
          <w:noProof/>
          <w:sz w:val="24"/>
        </w:rPr>
      </w:pPr>
      <w:bookmarkStart w:id="131" w:name="_ENREF_56"/>
      <w:r w:rsidRPr="001641B4">
        <w:rPr>
          <w:rFonts w:ascii="Times New Roman" w:hAnsi="Times New Roman"/>
          <w:noProof/>
          <w:sz w:val="24"/>
        </w:rPr>
        <w:t>56.</w:t>
      </w:r>
      <w:r w:rsidRPr="001641B4">
        <w:rPr>
          <w:rFonts w:ascii="Times New Roman" w:hAnsi="Times New Roman"/>
          <w:noProof/>
          <w:sz w:val="24"/>
        </w:rPr>
        <w:tab/>
        <w:t xml:space="preserve">Hunn, J.D. and R.A. Lowden, </w:t>
      </w:r>
      <w:r w:rsidRPr="001641B4">
        <w:rPr>
          <w:rFonts w:ascii="Times New Roman" w:hAnsi="Times New Roman"/>
          <w:i/>
          <w:noProof/>
          <w:sz w:val="24"/>
        </w:rPr>
        <w:t>Data compilation for AGR-1 baseline coated particle composite LEU01-46T</w:t>
      </w:r>
      <w:r w:rsidRPr="001641B4">
        <w:rPr>
          <w:rFonts w:ascii="Times New Roman" w:hAnsi="Times New Roman"/>
          <w:noProof/>
          <w:sz w:val="24"/>
        </w:rPr>
        <w:t>. 2006, Oak Ridge National Laboratory (United States).</w:t>
      </w:r>
      <w:bookmarkEnd w:id="131"/>
    </w:p>
    <w:p w14:paraId="7924E093" w14:textId="77777777" w:rsidR="00DF20CB" w:rsidRPr="001641B4" w:rsidRDefault="00DF20CB" w:rsidP="001641B4">
      <w:pPr>
        <w:pStyle w:val="EndNoteBibliography"/>
        <w:ind w:left="720" w:hanging="720"/>
        <w:jc w:val="left"/>
        <w:rPr>
          <w:rFonts w:ascii="Times New Roman" w:hAnsi="Times New Roman"/>
          <w:noProof/>
          <w:sz w:val="24"/>
        </w:rPr>
      </w:pPr>
      <w:bookmarkStart w:id="132" w:name="_ENREF_57"/>
      <w:r w:rsidRPr="001641B4">
        <w:rPr>
          <w:rFonts w:ascii="Times New Roman" w:hAnsi="Times New Roman"/>
          <w:noProof/>
          <w:sz w:val="24"/>
        </w:rPr>
        <w:t>57.</w:t>
      </w:r>
      <w:r w:rsidRPr="001641B4">
        <w:rPr>
          <w:rFonts w:ascii="Times New Roman" w:hAnsi="Times New Roman"/>
          <w:noProof/>
          <w:sz w:val="24"/>
        </w:rPr>
        <w:tab/>
        <w:t xml:space="preserve">Morris, R.N. and P. Pappano, </w:t>
      </w:r>
      <w:r w:rsidRPr="001641B4">
        <w:rPr>
          <w:rFonts w:ascii="Times New Roman" w:hAnsi="Times New Roman"/>
          <w:i/>
          <w:noProof/>
          <w:sz w:val="24"/>
        </w:rPr>
        <w:t>Estimation of maximum coated particle fuel compact packing fraction.</w:t>
      </w:r>
      <w:r w:rsidRPr="001641B4">
        <w:rPr>
          <w:rFonts w:ascii="Times New Roman" w:hAnsi="Times New Roman"/>
          <w:noProof/>
          <w:sz w:val="24"/>
        </w:rPr>
        <w:t xml:space="preserve"> Journal of nuclear materials, 2007. </w:t>
      </w:r>
      <w:r w:rsidRPr="001641B4">
        <w:rPr>
          <w:rFonts w:ascii="Times New Roman" w:hAnsi="Times New Roman"/>
          <w:b/>
          <w:noProof/>
          <w:sz w:val="24"/>
        </w:rPr>
        <w:t>361</w:t>
      </w:r>
      <w:r w:rsidRPr="001641B4">
        <w:rPr>
          <w:rFonts w:ascii="Times New Roman" w:hAnsi="Times New Roman"/>
          <w:noProof/>
          <w:sz w:val="24"/>
        </w:rPr>
        <w:t>(1): p. 18-29.</w:t>
      </w:r>
      <w:bookmarkEnd w:id="132"/>
    </w:p>
    <w:p w14:paraId="7B9E8840" w14:textId="77777777" w:rsidR="00DF20CB" w:rsidRPr="001641B4" w:rsidRDefault="00DF20CB" w:rsidP="001641B4">
      <w:pPr>
        <w:pStyle w:val="EndNoteBibliography"/>
        <w:ind w:left="720" w:hanging="720"/>
        <w:jc w:val="left"/>
        <w:rPr>
          <w:rFonts w:ascii="Times New Roman" w:hAnsi="Times New Roman"/>
          <w:noProof/>
          <w:sz w:val="24"/>
        </w:rPr>
      </w:pPr>
      <w:bookmarkStart w:id="133" w:name="_ENREF_58"/>
      <w:r w:rsidRPr="001641B4">
        <w:rPr>
          <w:rFonts w:ascii="Times New Roman" w:hAnsi="Times New Roman"/>
          <w:noProof/>
          <w:sz w:val="24"/>
        </w:rPr>
        <w:t>58.</w:t>
      </w:r>
      <w:r w:rsidRPr="001641B4">
        <w:rPr>
          <w:rFonts w:ascii="Times New Roman" w:hAnsi="Times New Roman"/>
          <w:noProof/>
          <w:sz w:val="24"/>
        </w:rPr>
        <w:tab/>
        <w:t xml:space="preserve">Shapiro, R., I. Younker, and M. Fratoni, </w:t>
      </w:r>
      <w:r w:rsidRPr="001641B4">
        <w:rPr>
          <w:rFonts w:ascii="Times New Roman" w:hAnsi="Times New Roman"/>
          <w:i/>
          <w:noProof/>
          <w:sz w:val="24"/>
        </w:rPr>
        <w:t>Neutronic performance of accident tolerant fuels.</w:t>
      </w:r>
      <w:r w:rsidRPr="001641B4">
        <w:rPr>
          <w:rFonts w:ascii="Times New Roman" w:hAnsi="Times New Roman"/>
          <w:noProof/>
          <w:sz w:val="24"/>
        </w:rPr>
        <w:t xml:space="preserve"> Trans. Am. Nucl. Soc, 2013. </w:t>
      </w:r>
      <w:r w:rsidRPr="001641B4">
        <w:rPr>
          <w:rFonts w:ascii="Times New Roman" w:hAnsi="Times New Roman"/>
          <w:b/>
          <w:noProof/>
          <w:sz w:val="24"/>
        </w:rPr>
        <w:t>109</w:t>
      </w:r>
      <w:r w:rsidRPr="001641B4">
        <w:rPr>
          <w:rFonts w:ascii="Times New Roman" w:hAnsi="Times New Roman"/>
          <w:noProof/>
          <w:sz w:val="24"/>
        </w:rPr>
        <w:t>: p. 1351-1353.</w:t>
      </w:r>
      <w:bookmarkEnd w:id="133"/>
    </w:p>
    <w:p w14:paraId="531FE6F7" w14:textId="20050506" w:rsidR="00C15E83" w:rsidRPr="001641B4" w:rsidRDefault="00D00A8B" w:rsidP="001641B4">
      <w:pPr>
        <w:ind w:left="360"/>
        <w:jc w:val="left"/>
        <w:rPr>
          <w:rFonts w:cs="Times New Roman"/>
          <w:szCs w:val="24"/>
        </w:rPr>
      </w:pPr>
      <w:r w:rsidRPr="001641B4">
        <w:rPr>
          <w:rFonts w:cs="Times New Roman"/>
          <w:szCs w:val="24"/>
        </w:rPr>
        <w:fldChar w:fldCharType="end"/>
      </w:r>
    </w:p>
    <w:p w14:paraId="09EC7AB5" w14:textId="77777777" w:rsidR="00211958" w:rsidRPr="00817846" w:rsidRDefault="00211958" w:rsidP="00817846">
      <w:pPr>
        <w:ind w:left="360"/>
        <w:jc w:val="both"/>
        <w:rPr>
          <w:rFonts w:cs="Times New Roman"/>
          <w:szCs w:val="24"/>
        </w:rPr>
      </w:pPr>
    </w:p>
    <w:p w14:paraId="502C3796" w14:textId="77777777" w:rsidR="00211958" w:rsidRPr="00817846" w:rsidRDefault="00211958" w:rsidP="00817846">
      <w:pPr>
        <w:ind w:left="360"/>
        <w:jc w:val="both"/>
        <w:rPr>
          <w:rFonts w:cs="Times New Roman"/>
          <w:szCs w:val="24"/>
        </w:rPr>
      </w:pPr>
    </w:p>
    <w:p w14:paraId="4B5D5A6C" w14:textId="77777777" w:rsidR="00211958" w:rsidRDefault="00211958" w:rsidP="007B074B">
      <w:pPr>
        <w:ind w:left="360"/>
        <w:jc w:val="left"/>
        <w:rPr>
          <w:rFonts w:cs="Times New Roman"/>
          <w:szCs w:val="24"/>
        </w:rPr>
      </w:pPr>
    </w:p>
    <w:p w14:paraId="5762AE69" w14:textId="77777777" w:rsidR="00211958" w:rsidRDefault="00211958" w:rsidP="007B074B">
      <w:pPr>
        <w:ind w:left="360"/>
        <w:jc w:val="left"/>
        <w:rPr>
          <w:rFonts w:cs="Times New Roman"/>
          <w:szCs w:val="24"/>
        </w:rPr>
      </w:pPr>
    </w:p>
    <w:p w14:paraId="74DEFBF8" w14:textId="77777777" w:rsidR="002515C4" w:rsidRDefault="002515C4" w:rsidP="00343544">
      <w:pPr>
        <w:jc w:val="left"/>
        <w:rPr>
          <w:rFonts w:cs="Times New Roman"/>
          <w:szCs w:val="24"/>
        </w:rPr>
      </w:pPr>
    </w:p>
    <w:p w14:paraId="29755F71" w14:textId="630DD34B" w:rsidR="00211958" w:rsidRDefault="003D6D4C" w:rsidP="003D6D4C">
      <w:pPr>
        <w:ind w:left="360"/>
        <w:jc w:val="both"/>
        <w:rPr>
          <w:rFonts w:cs="Times New Roman"/>
          <w:b/>
          <w:sz w:val="32"/>
          <w:szCs w:val="24"/>
        </w:rPr>
      </w:pPr>
      <w:r>
        <w:rPr>
          <w:rFonts w:cs="Times New Roman"/>
          <w:b/>
          <w:sz w:val="32"/>
          <w:szCs w:val="24"/>
        </w:rPr>
        <w:lastRenderedPageBreak/>
        <w:t>APPENDIX</w:t>
      </w:r>
    </w:p>
    <w:p w14:paraId="16DB3FC1" w14:textId="77777777" w:rsidR="00211958" w:rsidRDefault="00211958" w:rsidP="00211958">
      <w:pPr>
        <w:ind w:left="360"/>
        <w:rPr>
          <w:rFonts w:cs="Times New Roman"/>
          <w:b/>
          <w:sz w:val="32"/>
          <w:szCs w:val="24"/>
        </w:rPr>
      </w:pPr>
    </w:p>
    <w:p w14:paraId="74299073" w14:textId="77777777" w:rsidR="00211958" w:rsidRDefault="00211958" w:rsidP="00211958">
      <w:pPr>
        <w:ind w:left="360"/>
        <w:rPr>
          <w:rFonts w:cs="Times New Roman"/>
          <w:b/>
          <w:sz w:val="32"/>
          <w:szCs w:val="24"/>
        </w:rPr>
      </w:pPr>
    </w:p>
    <w:p w14:paraId="79977499" w14:textId="77777777" w:rsidR="00211958" w:rsidRDefault="00211958" w:rsidP="00211958">
      <w:pPr>
        <w:ind w:left="360"/>
        <w:rPr>
          <w:rFonts w:cs="Times New Roman"/>
          <w:b/>
          <w:sz w:val="32"/>
          <w:szCs w:val="24"/>
        </w:rPr>
      </w:pPr>
    </w:p>
    <w:p w14:paraId="42611648" w14:textId="77777777" w:rsidR="00211958" w:rsidRDefault="00211958" w:rsidP="00211958">
      <w:pPr>
        <w:ind w:left="360"/>
        <w:rPr>
          <w:rFonts w:cs="Times New Roman"/>
          <w:b/>
          <w:sz w:val="32"/>
          <w:szCs w:val="24"/>
        </w:rPr>
      </w:pPr>
    </w:p>
    <w:p w14:paraId="21A09602" w14:textId="77777777" w:rsidR="00211958" w:rsidRDefault="00211958" w:rsidP="00211958">
      <w:pPr>
        <w:ind w:left="360"/>
        <w:rPr>
          <w:rFonts w:cs="Times New Roman"/>
          <w:b/>
          <w:sz w:val="32"/>
          <w:szCs w:val="24"/>
        </w:rPr>
      </w:pPr>
    </w:p>
    <w:p w14:paraId="28A79A01" w14:textId="77777777" w:rsidR="00211958" w:rsidRDefault="00211958" w:rsidP="00211958">
      <w:pPr>
        <w:ind w:left="360"/>
        <w:rPr>
          <w:rFonts w:cs="Times New Roman"/>
          <w:b/>
          <w:sz w:val="32"/>
          <w:szCs w:val="24"/>
        </w:rPr>
      </w:pPr>
    </w:p>
    <w:p w14:paraId="40CBD295" w14:textId="77777777" w:rsidR="00211958" w:rsidRDefault="00211958" w:rsidP="00211958">
      <w:pPr>
        <w:ind w:left="360"/>
        <w:rPr>
          <w:rFonts w:cs="Times New Roman"/>
          <w:b/>
          <w:sz w:val="32"/>
          <w:szCs w:val="24"/>
        </w:rPr>
      </w:pPr>
    </w:p>
    <w:p w14:paraId="665A7D23" w14:textId="77777777" w:rsidR="00211958" w:rsidRDefault="00211958" w:rsidP="00211958">
      <w:pPr>
        <w:ind w:left="360"/>
        <w:rPr>
          <w:rFonts w:cs="Times New Roman"/>
          <w:b/>
          <w:sz w:val="32"/>
          <w:szCs w:val="24"/>
        </w:rPr>
      </w:pPr>
    </w:p>
    <w:p w14:paraId="387F8DD8" w14:textId="77777777" w:rsidR="00211958" w:rsidRDefault="00211958" w:rsidP="00211958">
      <w:pPr>
        <w:ind w:left="360"/>
        <w:rPr>
          <w:rFonts w:cs="Times New Roman"/>
          <w:b/>
          <w:sz w:val="32"/>
          <w:szCs w:val="24"/>
        </w:rPr>
      </w:pPr>
    </w:p>
    <w:p w14:paraId="1071610D" w14:textId="77777777" w:rsidR="00211958" w:rsidRDefault="00211958" w:rsidP="00211958">
      <w:pPr>
        <w:ind w:left="360"/>
        <w:rPr>
          <w:rFonts w:cs="Times New Roman"/>
          <w:b/>
          <w:sz w:val="32"/>
          <w:szCs w:val="24"/>
        </w:rPr>
      </w:pPr>
    </w:p>
    <w:p w14:paraId="68A4F16F" w14:textId="77777777" w:rsidR="00211958" w:rsidRDefault="00211958" w:rsidP="00211958">
      <w:pPr>
        <w:ind w:left="360"/>
        <w:rPr>
          <w:rFonts w:cs="Times New Roman"/>
          <w:b/>
          <w:sz w:val="32"/>
          <w:szCs w:val="24"/>
        </w:rPr>
      </w:pPr>
    </w:p>
    <w:p w14:paraId="1ACF14A1" w14:textId="77777777" w:rsidR="00211958" w:rsidRDefault="00211958" w:rsidP="00211958">
      <w:pPr>
        <w:ind w:left="360"/>
        <w:rPr>
          <w:rFonts w:cs="Times New Roman"/>
          <w:b/>
          <w:sz w:val="32"/>
          <w:szCs w:val="24"/>
        </w:rPr>
      </w:pPr>
    </w:p>
    <w:p w14:paraId="15572E25" w14:textId="77777777" w:rsidR="00211958" w:rsidRDefault="00211958" w:rsidP="00211958">
      <w:pPr>
        <w:ind w:left="360"/>
        <w:rPr>
          <w:rFonts w:cs="Times New Roman"/>
          <w:b/>
          <w:sz w:val="32"/>
          <w:szCs w:val="24"/>
        </w:rPr>
      </w:pPr>
    </w:p>
    <w:p w14:paraId="4C920A1F" w14:textId="77777777" w:rsidR="00211958" w:rsidRDefault="00211958" w:rsidP="00211958">
      <w:pPr>
        <w:ind w:left="360"/>
        <w:rPr>
          <w:rFonts w:cs="Times New Roman"/>
          <w:b/>
          <w:sz w:val="32"/>
          <w:szCs w:val="24"/>
        </w:rPr>
      </w:pPr>
    </w:p>
    <w:p w14:paraId="199B2872" w14:textId="77777777" w:rsidR="00211958" w:rsidRDefault="00211958" w:rsidP="00211958">
      <w:pPr>
        <w:ind w:left="360"/>
        <w:rPr>
          <w:rFonts w:cs="Times New Roman"/>
          <w:b/>
          <w:sz w:val="32"/>
          <w:szCs w:val="24"/>
        </w:rPr>
      </w:pPr>
    </w:p>
    <w:p w14:paraId="706B6771" w14:textId="77777777" w:rsidR="00211958" w:rsidRDefault="00211958" w:rsidP="00211958">
      <w:pPr>
        <w:ind w:left="360"/>
        <w:rPr>
          <w:rFonts w:cs="Times New Roman"/>
          <w:b/>
          <w:sz w:val="32"/>
          <w:szCs w:val="24"/>
        </w:rPr>
      </w:pPr>
    </w:p>
    <w:p w14:paraId="636C4592" w14:textId="77777777" w:rsidR="00211958" w:rsidRDefault="00211958" w:rsidP="00211958">
      <w:pPr>
        <w:ind w:left="360"/>
        <w:rPr>
          <w:rFonts w:cs="Times New Roman"/>
          <w:b/>
          <w:sz w:val="32"/>
          <w:szCs w:val="24"/>
        </w:rPr>
      </w:pPr>
    </w:p>
    <w:p w14:paraId="4BB5E50E" w14:textId="77777777" w:rsidR="00211958" w:rsidRDefault="00211958" w:rsidP="00211958">
      <w:pPr>
        <w:ind w:left="360"/>
        <w:rPr>
          <w:rFonts w:cs="Times New Roman"/>
          <w:b/>
          <w:sz w:val="32"/>
          <w:szCs w:val="24"/>
        </w:rPr>
      </w:pPr>
    </w:p>
    <w:p w14:paraId="1C211CF6" w14:textId="77777777" w:rsidR="00211958" w:rsidRDefault="00211958" w:rsidP="00211958">
      <w:pPr>
        <w:ind w:left="360"/>
        <w:rPr>
          <w:rFonts w:cs="Times New Roman"/>
          <w:b/>
          <w:sz w:val="32"/>
          <w:szCs w:val="24"/>
        </w:rPr>
      </w:pPr>
    </w:p>
    <w:p w14:paraId="3D60B8CC" w14:textId="77777777" w:rsidR="00211958" w:rsidRPr="004D5D9E" w:rsidRDefault="004D5D9E" w:rsidP="004D5D9E">
      <w:pPr>
        <w:jc w:val="left"/>
        <w:rPr>
          <w:rFonts w:cs="Times New Roman"/>
          <w:b/>
          <w:sz w:val="28"/>
          <w:szCs w:val="24"/>
        </w:rPr>
      </w:pPr>
      <w:r w:rsidRPr="004D5D9E">
        <w:rPr>
          <w:rFonts w:cs="Times New Roman"/>
          <w:b/>
          <w:sz w:val="28"/>
          <w:szCs w:val="24"/>
        </w:rPr>
        <w:lastRenderedPageBreak/>
        <w:t xml:space="preserve">Appendix A: Sample </w:t>
      </w:r>
      <w:r w:rsidR="00DC0A3C">
        <w:rPr>
          <w:rFonts w:cs="Times New Roman"/>
          <w:b/>
          <w:sz w:val="28"/>
          <w:szCs w:val="24"/>
        </w:rPr>
        <w:t>10 × 10</w:t>
      </w:r>
      <w:r w:rsidRPr="004D5D9E">
        <w:rPr>
          <w:rFonts w:cs="Times New Roman"/>
          <w:b/>
          <w:sz w:val="28"/>
          <w:szCs w:val="24"/>
        </w:rPr>
        <w:t xml:space="preserve"> BWR Lattice Physics SCALE Input</w:t>
      </w:r>
    </w:p>
    <w:p w14:paraId="429E432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=t-depl parm</w:t>
      </w:r>
      <w:proofErr w:type="gramStart"/>
      <w:r w:rsidRPr="00050337">
        <w:rPr>
          <w:rFonts w:ascii="Lucida Console" w:hAnsi="Lucida Console"/>
          <w:sz w:val="20"/>
          <w:szCs w:val="20"/>
        </w:rPr>
        <w:t>=(</w:t>
      </w:r>
      <w:proofErr w:type="gramEnd"/>
      <w:r w:rsidRPr="00050337">
        <w:rPr>
          <w:rFonts w:ascii="Lucida Console" w:hAnsi="Lucida Console"/>
          <w:sz w:val="20"/>
          <w:szCs w:val="20"/>
        </w:rPr>
        <w:t>centrm, addnux=2)</w:t>
      </w:r>
    </w:p>
    <w:p w14:paraId="4C81F45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BWR GE </w:t>
      </w:r>
      <w:r w:rsidR="00812D95">
        <w:rPr>
          <w:rFonts w:ascii="Lucida Console" w:hAnsi="Lucida Console"/>
          <w:sz w:val="20"/>
          <w:szCs w:val="20"/>
        </w:rPr>
        <w:t>10 × 10</w:t>
      </w:r>
      <w:r w:rsidRPr="00050337">
        <w:rPr>
          <w:rFonts w:ascii="Lucida Console" w:hAnsi="Lucida Console"/>
          <w:sz w:val="20"/>
          <w:szCs w:val="20"/>
        </w:rPr>
        <w:t xml:space="preserve">-8, 2D full assembly model </w:t>
      </w:r>
    </w:p>
    <w:p w14:paraId="3088C0DF"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xsLib</w:t>
      </w:r>
      <w:proofErr w:type="gramEnd"/>
    </w:p>
    <w:p w14:paraId="095BF51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w:t>
      </w:r>
    </w:p>
    <w:p w14:paraId="27D74C07"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template</w:t>
      </w:r>
      <w:proofErr w:type="gramEnd"/>
      <w:r w:rsidRPr="00050337">
        <w:rPr>
          <w:rFonts w:ascii="Lucida Console" w:hAnsi="Lucida Console"/>
          <w:sz w:val="20"/>
          <w:szCs w:val="20"/>
        </w:rPr>
        <w:t xml:space="preserve"> to generate libraries for ORIGEN-S </w:t>
      </w:r>
      <w:bookmarkStart w:id="134" w:name="_GoBack"/>
      <w:bookmarkEnd w:id="134"/>
    </w:p>
    <w:p w14:paraId="098C7101"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parameters</w:t>
      </w:r>
      <w:proofErr w:type="gramEnd"/>
      <w:r w:rsidRPr="00050337">
        <w:rPr>
          <w:rFonts w:ascii="Lucida Console" w:hAnsi="Lucida Console"/>
          <w:sz w:val="20"/>
          <w:szCs w:val="20"/>
        </w:rPr>
        <w:t xml:space="preserve"> are: u235wt%      - wt% U235</w:t>
      </w:r>
    </w:p>
    <w:p w14:paraId="6BD7D94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u234wt%      - wt% U234</w:t>
      </w:r>
    </w:p>
    <w:p w14:paraId="52B74F2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u236wt%      - wt% U236</w:t>
      </w:r>
    </w:p>
    <w:p w14:paraId="5D65A88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u238wt%      - wt% U238</w:t>
      </w:r>
    </w:p>
    <w:p w14:paraId="1FFFE0F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ddd</w:t>
      </w:r>
      <w:proofErr w:type="gramEnd"/>
      <w:r w:rsidRPr="00050337">
        <w:rPr>
          <w:rFonts w:ascii="Lucida Console" w:hAnsi="Lucida Console"/>
          <w:sz w:val="20"/>
          <w:szCs w:val="20"/>
        </w:rPr>
        <w:t xml:space="preserve">          - coolant density (g/cc)</w:t>
      </w:r>
    </w:p>
    <w:p w14:paraId="3666695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dancoff1     - dancoff factor 1</w:t>
      </w:r>
    </w:p>
    <w:p w14:paraId="11E3903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dancoff2     - dancoff factor 2</w:t>
      </w:r>
    </w:p>
    <w:p w14:paraId="621F3EA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namelibrary  -</w:t>
      </w:r>
      <w:proofErr w:type="gramEnd"/>
      <w:r w:rsidRPr="00050337">
        <w:rPr>
          <w:rFonts w:ascii="Lucida Console" w:hAnsi="Lucida Console"/>
          <w:sz w:val="20"/>
          <w:szCs w:val="20"/>
        </w:rPr>
        <w:t xml:space="preserve"> name of generated ORIGEN library</w:t>
      </w:r>
    </w:p>
    <w:p w14:paraId="63B375D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specpow</w:t>
      </w:r>
      <w:proofErr w:type="gramEnd"/>
      <w:r w:rsidRPr="00050337">
        <w:rPr>
          <w:rFonts w:ascii="Lucida Console" w:hAnsi="Lucida Console"/>
          <w:sz w:val="20"/>
          <w:szCs w:val="20"/>
        </w:rPr>
        <w:t xml:space="preserve">      - average specific power</w:t>
      </w:r>
    </w:p>
    <w:p w14:paraId="76BDA06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daystoburn</w:t>
      </w:r>
      <w:proofErr w:type="gramEnd"/>
      <w:r w:rsidRPr="00050337">
        <w:rPr>
          <w:rFonts w:ascii="Lucida Console" w:hAnsi="Lucida Console"/>
          <w:sz w:val="20"/>
          <w:szCs w:val="20"/>
        </w:rPr>
        <w:t xml:space="preserve">   - depletion interval in days</w:t>
      </w:r>
    </w:p>
    <w:p w14:paraId="63BECE87"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options</w:t>
      </w:r>
      <w:proofErr w:type="gramEnd"/>
      <w:r w:rsidRPr="00050337">
        <w:rPr>
          <w:rFonts w:ascii="Lucida Console" w:hAnsi="Lucida Console"/>
          <w:sz w:val="20"/>
          <w:szCs w:val="20"/>
        </w:rPr>
        <w:t xml:space="preserve"> are:    name         - g10_</w:t>
      </w:r>
    </w:p>
    <w:p w14:paraId="2A0605D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enrichment</w:t>
      </w:r>
      <w:proofErr w:type="gramEnd"/>
      <w:r w:rsidRPr="00050337">
        <w:rPr>
          <w:rFonts w:ascii="Lucida Console" w:hAnsi="Lucida Console"/>
          <w:sz w:val="20"/>
          <w:szCs w:val="20"/>
        </w:rPr>
        <w:t xml:space="preserve">   - 1.5, 2.0, 3.0, 4.0, 5.0, 6.0</w:t>
      </w:r>
    </w:p>
    <w:p w14:paraId="441B833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mod</w:t>
      </w:r>
      <w:proofErr w:type="gramEnd"/>
      <w:r w:rsidRPr="00050337">
        <w:rPr>
          <w:rFonts w:ascii="Lucida Console" w:hAnsi="Lucida Console"/>
          <w:sz w:val="20"/>
          <w:szCs w:val="20"/>
        </w:rPr>
        <w:t xml:space="preserve">. </w:t>
      </w:r>
      <w:proofErr w:type="gramStart"/>
      <w:r w:rsidRPr="00050337">
        <w:rPr>
          <w:rFonts w:ascii="Lucida Console" w:hAnsi="Lucida Console"/>
          <w:sz w:val="20"/>
          <w:szCs w:val="20"/>
        </w:rPr>
        <w:t>density</w:t>
      </w:r>
      <w:proofErr w:type="gramEnd"/>
      <w:r w:rsidRPr="00050337">
        <w:rPr>
          <w:rFonts w:ascii="Lucida Console" w:hAnsi="Lucida Console"/>
          <w:sz w:val="20"/>
          <w:szCs w:val="20"/>
        </w:rPr>
        <w:t xml:space="preserve"> - 0.1, 0.3, 0.5, 0.7, 0.9</w:t>
      </w:r>
    </w:p>
    <w:p w14:paraId="6E85BAF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dancoff1     - 0.5125, 0.4042, 0.3302, 0.2762,</w:t>
      </w:r>
    </w:p>
    <w:p w14:paraId="1B622B0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0.2351</w:t>
      </w:r>
    </w:p>
    <w:p w14:paraId="2018DC0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dancoff2     - 0.3335, 0.2664, 0.2203, 0.1864,</w:t>
      </w:r>
    </w:p>
    <w:p w14:paraId="74BE768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0.1603</w:t>
      </w:r>
    </w:p>
    <w:p w14:paraId="49D6CFE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spec</w:t>
      </w:r>
      <w:proofErr w:type="gramEnd"/>
      <w:r w:rsidRPr="00050337">
        <w:rPr>
          <w:rFonts w:ascii="Lucida Console" w:hAnsi="Lucida Console"/>
          <w:sz w:val="20"/>
          <w:szCs w:val="20"/>
        </w:rPr>
        <w:t>. power  - 40.0</w:t>
      </w:r>
    </w:p>
    <w:p w14:paraId="50F35C5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burnups</w:t>
      </w:r>
      <w:proofErr w:type="gramEnd"/>
      <w:r w:rsidRPr="00050337">
        <w:rPr>
          <w:rFonts w:ascii="Lucida Console" w:hAnsi="Lucida Console"/>
          <w:sz w:val="20"/>
          <w:szCs w:val="20"/>
        </w:rPr>
        <w:t xml:space="preserve">      - 0, 1.5, 3, 4.5, 6, 7.5, 9, 10.5,</w:t>
      </w:r>
    </w:p>
    <w:p w14:paraId="232A33A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12, 13.5, 15, 16.5, 18, 19.5,</w:t>
      </w:r>
    </w:p>
    <w:p w14:paraId="250C2A1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21, 24, 27, 30, 33, 36, 39, 42,</w:t>
      </w:r>
    </w:p>
    <w:p w14:paraId="5EB6A1F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45, 48, 51, 54, 57, 60, 63, 66,</w:t>
      </w:r>
    </w:p>
    <w:p w14:paraId="1F6F9D9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69, 72</w:t>
      </w:r>
    </w:p>
    <w:p w14:paraId="17FDEAE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w:t>
      </w:r>
    </w:p>
    <w:p w14:paraId="03284342"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Documentation</w:t>
      </w:r>
      <w:proofErr w:type="gramEnd"/>
      <w:r w:rsidRPr="00050337">
        <w:rPr>
          <w:rFonts w:ascii="Lucida Console" w:hAnsi="Lucida Console"/>
          <w:sz w:val="20"/>
          <w:szCs w:val="20"/>
        </w:rPr>
        <w:t xml:space="preserve"> and Notes (empty fields are auto-populated):</w:t>
      </w:r>
    </w:p>
    <w:p w14:paraId="3AA8F113"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 xml:space="preserve">Change Log] </w:t>
      </w:r>
    </w:p>
    <w:p w14:paraId="7E35454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Rev 0: Generated by J. Doe | </w:t>
      </w:r>
    </w:p>
    <w:p w14:paraId="5CAFFB2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Rev 1: Generated by B. R. Betzler, June 2014</w:t>
      </w:r>
    </w:p>
    <w:p w14:paraId="6641F355"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Author(s)] B. R. Betzler</w:t>
      </w:r>
    </w:p>
    <w:p w14:paraId="0B20F5A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SCALE Version] SCALE 6.2</w:t>
      </w:r>
    </w:p>
    <w:p w14:paraId="0A7BA444"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 xml:space="preserve">Reactor Type] Boiling Water Reactor General Electric </w:t>
      </w:r>
      <w:r w:rsidR="00812D95">
        <w:rPr>
          <w:rFonts w:ascii="Lucida Console" w:hAnsi="Lucida Console"/>
          <w:sz w:val="20"/>
          <w:szCs w:val="20"/>
        </w:rPr>
        <w:t>10 × 10</w:t>
      </w:r>
      <w:r w:rsidRPr="00050337">
        <w:rPr>
          <w:rFonts w:ascii="Lucida Console" w:hAnsi="Lucida Console"/>
          <w:sz w:val="20"/>
          <w:szCs w:val="20"/>
        </w:rPr>
        <w:t>-8</w:t>
      </w:r>
    </w:p>
    <w:p w14:paraId="44596D77"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Model Info] 2D t-depl full assembly model (see Figure \ref{fi:ge</w:t>
      </w:r>
      <w:r w:rsidR="00812D95">
        <w:rPr>
          <w:rFonts w:ascii="Lucida Console" w:hAnsi="Lucida Console"/>
          <w:sz w:val="20"/>
          <w:szCs w:val="20"/>
        </w:rPr>
        <w:t>10 × 10</w:t>
      </w:r>
      <w:r w:rsidRPr="00050337">
        <w:rPr>
          <w:rFonts w:ascii="Lucida Console" w:hAnsi="Lucida Console"/>
          <w:sz w:val="20"/>
          <w:szCs w:val="20"/>
        </w:rPr>
        <w:t>-8}), xsLib cross-section library</w:t>
      </w:r>
    </w:p>
    <w:p w14:paraId="35C940E1"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 xml:space="preserve">Sources] </w:t>
      </w:r>
    </w:p>
    <w:p w14:paraId="04CAB8A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1. B. J. Ade, ``Generation of Collapsed Cross Sections for Hatch 1 Cycles 1-3 and Generation of Generic BWR Reflector Cross Sections'', ORNL/LTR-2012/559, Oak Ridge National Laboratory, 2012. | </w:t>
      </w:r>
    </w:p>
    <w:p w14:paraId="7019B78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2. H. Smith, J. Peterson, and J. Hu, ``Fuel Assembly Modeling for the Modeling and Simulation Toolset'', ORNL/LTR-2012-555 Rev. 1, Oak Ridge National Laboratory, 2013.</w:t>
      </w:r>
      <w:proofErr w:type="gramEnd"/>
    </w:p>
    <w:p w14:paraId="25A1A07D"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Data Range]</w:t>
      </w:r>
    </w:p>
    <w:p w14:paraId="44969FF8"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Libraries]</w:t>
      </w:r>
    </w:p>
    <w:p w14:paraId="6183CEA6"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Power]</w:t>
      </w:r>
    </w:p>
    <w:p w14:paraId="189BA32E"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t>
      </w:r>
      <w:proofErr w:type="gramEnd"/>
      <w:r w:rsidRPr="00050337">
        <w:rPr>
          <w:rFonts w:ascii="Lucida Console" w:hAnsi="Lucida Console"/>
          <w:sz w:val="20"/>
          <w:szCs w:val="20"/>
        </w:rPr>
        <w:t xml:space="preserve">Other Info] </w:t>
      </w:r>
    </w:p>
    <w:p w14:paraId="25CFCC4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Channel box data, fuel/gap/channel moderator densities, and temperatures from Reference 1.</w:t>
      </w:r>
    </w:p>
    <w:p w14:paraId="2FDC1B28"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All other dimensions, materials, etc. from Reference 2.</w:t>
      </w:r>
      <w:proofErr w:type="gramEnd"/>
    </w:p>
    <w:p w14:paraId="2A0A87D4"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figure</w:t>
      </w:r>
      <w:proofErr w:type="gramEnd"/>
      <w:r w:rsidRPr="00050337">
        <w:rPr>
          <w:rFonts w:ascii="Lucida Console" w:hAnsi="Lucida Console"/>
          <w:sz w:val="20"/>
          <w:szCs w:val="20"/>
        </w:rPr>
        <w:t>{ge</w:t>
      </w:r>
      <w:r w:rsidR="00812D95">
        <w:rPr>
          <w:rFonts w:ascii="Lucida Console" w:hAnsi="Lucida Console"/>
          <w:sz w:val="20"/>
          <w:szCs w:val="20"/>
        </w:rPr>
        <w:t>10 × 10</w:t>
      </w:r>
      <w:r w:rsidRPr="00050337">
        <w:rPr>
          <w:rFonts w:ascii="Lucida Console" w:hAnsi="Lucida Console"/>
          <w:sz w:val="20"/>
          <w:szCs w:val="20"/>
        </w:rPr>
        <w:t xml:space="preserve">-8.pdf: BWR GE </w:t>
      </w:r>
      <w:r w:rsidR="00812D95">
        <w:rPr>
          <w:rFonts w:ascii="Lucida Console" w:hAnsi="Lucida Console"/>
          <w:sz w:val="20"/>
          <w:szCs w:val="20"/>
        </w:rPr>
        <w:t>10 × 10</w:t>
      </w:r>
      <w:r w:rsidRPr="00050337">
        <w:rPr>
          <w:rFonts w:ascii="Lucida Console" w:hAnsi="Lucida Console"/>
          <w:sz w:val="20"/>
          <w:szCs w:val="20"/>
        </w:rPr>
        <w:t>-8.}</w:t>
      </w:r>
    </w:p>
    <w:p w14:paraId="71098FA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w:t>
      </w:r>
    </w:p>
    <w:p w14:paraId="16D7F57F"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alias</w:t>
      </w:r>
    </w:p>
    <w:p w14:paraId="75F1D31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$fuel 1 11 21 end</w:t>
      </w:r>
    </w:p>
    <w:p w14:paraId="593BFDE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$clad 2 12 22 32 end</w:t>
      </w:r>
    </w:p>
    <w:p w14:paraId="6D88A47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mod  3</w:t>
      </w:r>
      <w:proofErr w:type="gramEnd"/>
      <w:r w:rsidRPr="00050337">
        <w:rPr>
          <w:rFonts w:ascii="Lucida Console" w:hAnsi="Lucida Console"/>
          <w:sz w:val="20"/>
          <w:szCs w:val="20"/>
        </w:rPr>
        <w:t xml:space="preserve"> 13 23 33 end</w:t>
      </w:r>
    </w:p>
    <w:p w14:paraId="2E1B4F3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gap  4</w:t>
      </w:r>
      <w:proofErr w:type="gramEnd"/>
      <w:r w:rsidRPr="00050337">
        <w:rPr>
          <w:rFonts w:ascii="Lucida Console" w:hAnsi="Lucida Console"/>
          <w:sz w:val="20"/>
          <w:szCs w:val="20"/>
        </w:rPr>
        <w:t xml:space="preserve"> 14 24 34 end</w:t>
      </w:r>
    </w:p>
    <w:p w14:paraId="68BBAC8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lastRenderedPageBreak/>
        <w:t xml:space="preserve">  $fgad 311 312 313 314 315 316 317 end</w:t>
      </w:r>
    </w:p>
    <w:p w14:paraId="02D5A66F"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alias</w:t>
      </w:r>
    </w:p>
    <w:p w14:paraId="595EB46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213CE47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w:t>
      </w:r>
    </w:p>
    <w:p w14:paraId="38146C9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comp</w:t>
      </w:r>
    </w:p>
    <w:p w14:paraId="02959BE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408B4469"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fuel</w:t>
      </w:r>
      <w:proofErr w:type="gramEnd"/>
    </w:p>
    <w:p w14:paraId="39CC594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uo2 $fuel den=10.42 1 948.45 92234 u234wt%</w:t>
      </w:r>
    </w:p>
    <w:p w14:paraId="6F8996D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92235 u235wt%</w:t>
      </w:r>
    </w:p>
    <w:p w14:paraId="0C6C89B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92236 u236wt%</w:t>
      </w:r>
    </w:p>
    <w:p w14:paraId="3AEC735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92238 u238wt% end</w:t>
      </w:r>
    </w:p>
    <w:p w14:paraId="1C10E6F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4F791A7F"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fuel</w:t>
      </w:r>
      <w:proofErr w:type="gramEnd"/>
      <w:r w:rsidRPr="00050337">
        <w:rPr>
          <w:rFonts w:ascii="Lucida Console" w:hAnsi="Lucida Console"/>
          <w:sz w:val="20"/>
          <w:szCs w:val="20"/>
        </w:rPr>
        <w:t xml:space="preserve"> - with 5.0% Gd2O3</w:t>
      </w:r>
    </w:p>
    <w:p w14:paraId="73FA5DA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gd2o3 $fgad den=10.24 0.05 948.45 end </w:t>
      </w:r>
    </w:p>
    <w:p w14:paraId="66E73EC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uo2   $fgad den=10.24 0.95 948.45 92234 u234wt%</w:t>
      </w:r>
    </w:p>
    <w:p w14:paraId="50616A2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92235 u235wt%</w:t>
      </w:r>
    </w:p>
    <w:p w14:paraId="4431798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92236 u236wt%</w:t>
      </w:r>
    </w:p>
    <w:p w14:paraId="390F644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92238 u238wt% end</w:t>
      </w:r>
    </w:p>
    <w:p w14:paraId="1E87529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487806F4"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clad</w:t>
      </w:r>
      <w:proofErr w:type="gramEnd"/>
      <w:r w:rsidRPr="00050337">
        <w:rPr>
          <w:rFonts w:ascii="Lucida Console" w:hAnsi="Lucida Console"/>
          <w:sz w:val="20"/>
          <w:szCs w:val="20"/>
        </w:rPr>
        <w:t xml:space="preserve">  </w:t>
      </w:r>
    </w:p>
    <w:p w14:paraId="3FAF9CE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zirc2 $clad 1 636.06 end</w:t>
      </w:r>
    </w:p>
    <w:p w14:paraId="4F2310B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0F457C0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moderator</w:t>
      </w:r>
      <w:proofErr w:type="gramEnd"/>
      <w:r w:rsidRPr="00050337">
        <w:rPr>
          <w:rFonts w:ascii="Lucida Console" w:hAnsi="Lucida Console"/>
          <w:sz w:val="20"/>
          <w:szCs w:val="20"/>
        </w:rPr>
        <w:t>/coolant - water</w:t>
      </w:r>
    </w:p>
    <w:p w14:paraId="77B2C9F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h2o   $mod den=ddd 1 560.29 end</w:t>
      </w:r>
    </w:p>
    <w:p w14:paraId="20FAEAE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5511DE81"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gap</w:t>
      </w:r>
      <w:proofErr w:type="gramEnd"/>
      <w:r w:rsidRPr="00050337">
        <w:rPr>
          <w:rFonts w:ascii="Lucida Console" w:hAnsi="Lucida Console"/>
          <w:sz w:val="20"/>
          <w:szCs w:val="20"/>
        </w:rPr>
        <w:t xml:space="preserve"> - helium</w:t>
      </w:r>
    </w:p>
    <w:p w14:paraId="2991E51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he-</w:t>
      </w:r>
      <w:proofErr w:type="gramStart"/>
      <w:r w:rsidRPr="00050337">
        <w:rPr>
          <w:rFonts w:ascii="Lucida Console" w:hAnsi="Lucida Console"/>
          <w:sz w:val="20"/>
          <w:szCs w:val="20"/>
        </w:rPr>
        <w:t>4  $</w:t>
      </w:r>
      <w:proofErr w:type="gramEnd"/>
      <w:r w:rsidRPr="00050337">
        <w:rPr>
          <w:rFonts w:ascii="Lucida Console" w:hAnsi="Lucida Console"/>
          <w:sz w:val="20"/>
          <w:szCs w:val="20"/>
        </w:rPr>
        <w:t>gap den=0.00011 1 792.26 end</w:t>
      </w:r>
    </w:p>
    <w:p w14:paraId="5D0F52B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2FE60842"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moderator</w:t>
      </w:r>
      <w:proofErr w:type="gramEnd"/>
      <w:r w:rsidRPr="00050337">
        <w:rPr>
          <w:rFonts w:ascii="Lucida Console" w:hAnsi="Lucida Console"/>
          <w:sz w:val="20"/>
          <w:szCs w:val="20"/>
        </w:rPr>
        <w:t>/coolant - water in rod/channel</w:t>
      </w:r>
    </w:p>
    <w:p w14:paraId="26D79F8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h2o   5 den=0.7373 1 560.29 end</w:t>
      </w:r>
    </w:p>
    <w:p w14:paraId="390F9F7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27654C28"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channel</w:t>
      </w:r>
      <w:proofErr w:type="gramEnd"/>
      <w:r w:rsidRPr="00050337">
        <w:rPr>
          <w:rFonts w:ascii="Lucida Console" w:hAnsi="Lucida Console"/>
          <w:sz w:val="20"/>
          <w:szCs w:val="20"/>
        </w:rPr>
        <w:t xml:space="preserve">/flow tube </w:t>
      </w:r>
    </w:p>
    <w:p w14:paraId="74276FA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zirc2 6 1 560.29 end</w:t>
      </w:r>
    </w:p>
    <w:p w14:paraId="27F31A5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3445FF6E"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comp</w:t>
      </w:r>
    </w:p>
    <w:p w14:paraId="7C64DC8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446DF2E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w:t>
      </w:r>
    </w:p>
    <w:p w14:paraId="490C4E2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celldata</w:t>
      </w:r>
    </w:p>
    <w:p w14:paraId="781E030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latticecell</w:t>
      </w:r>
      <w:proofErr w:type="gramEnd"/>
      <w:r w:rsidRPr="00050337">
        <w:rPr>
          <w:rFonts w:ascii="Lucida Console" w:hAnsi="Lucida Console"/>
          <w:sz w:val="20"/>
          <w:szCs w:val="20"/>
        </w:rPr>
        <w:t xml:space="preserve"> squarepitch fueld=0.876  1</w:t>
      </w:r>
    </w:p>
    <w:p w14:paraId="326728D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gapd</w:t>
      </w:r>
      <w:proofErr w:type="gramEnd"/>
      <w:r w:rsidRPr="00050337">
        <w:rPr>
          <w:rFonts w:ascii="Lucida Console" w:hAnsi="Lucida Console"/>
          <w:sz w:val="20"/>
          <w:szCs w:val="20"/>
        </w:rPr>
        <w:t>= 0.894  4</w:t>
      </w:r>
    </w:p>
    <w:p w14:paraId="3A969F5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cladd=</w:t>
      </w:r>
      <w:proofErr w:type="gramEnd"/>
      <w:r w:rsidRPr="00050337">
        <w:rPr>
          <w:rFonts w:ascii="Lucida Console" w:hAnsi="Lucida Console"/>
          <w:sz w:val="20"/>
          <w:szCs w:val="20"/>
        </w:rPr>
        <w:t>1.026  2</w:t>
      </w:r>
    </w:p>
    <w:p w14:paraId="3F6BA14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pitch=</w:t>
      </w:r>
      <w:proofErr w:type="gramEnd"/>
      <w:r w:rsidRPr="00050337">
        <w:rPr>
          <w:rFonts w:ascii="Lucida Console" w:hAnsi="Lucida Console"/>
          <w:sz w:val="20"/>
          <w:szCs w:val="20"/>
        </w:rPr>
        <w:t>1.295  3 end</w:t>
      </w:r>
    </w:p>
    <w:p w14:paraId="1F16DE0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latticecell</w:t>
      </w:r>
      <w:proofErr w:type="gramEnd"/>
      <w:r w:rsidRPr="00050337">
        <w:rPr>
          <w:rFonts w:ascii="Lucida Console" w:hAnsi="Lucida Console"/>
          <w:sz w:val="20"/>
          <w:szCs w:val="20"/>
        </w:rPr>
        <w:t xml:space="preserve"> squarepitch fueld=0.876 11</w:t>
      </w:r>
    </w:p>
    <w:p w14:paraId="4B4FDBE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gapd</w:t>
      </w:r>
      <w:proofErr w:type="gramEnd"/>
      <w:r w:rsidRPr="00050337">
        <w:rPr>
          <w:rFonts w:ascii="Lucida Console" w:hAnsi="Lucida Console"/>
          <w:sz w:val="20"/>
          <w:szCs w:val="20"/>
        </w:rPr>
        <w:t>= 0.894 14</w:t>
      </w:r>
    </w:p>
    <w:p w14:paraId="51B4EDD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cladd=</w:t>
      </w:r>
      <w:proofErr w:type="gramEnd"/>
      <w:r w:rsidRPr="00050337">
        <w:rPr>
          <w:rFonts w:ascii="Lucida Console" w:hAnsi="Lucida Console"/>
          <w:sz w:val="20"/>
          <w:szCs w:val="20"/>
        </w:rPr>
        <w:t>1.026 12</w:t>
      </w:r>
    </w:p>
    <w:p w14:paraId="2515034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pitch=</w:t>
      </w:r>
      <w:proofErr w:type="gramEnd"/>
      <w:r w:rsidRPr="00050337">
        <w:rPr>
          <w:rFonts w:ascii="Lucida Console" w:hAnsi="Lucida Console"/>
          <w:sz w:val="20"/>
          <w:szCs w:val="20"/>
        </w:rPr>
        <w:t>1.295 13 end</w:t>
      </w:r>
    </w:p>
    <w:p w14:paraId="322CBC0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centrmdata</w:t>
      </w:r>
      <w:proofErr w:type="gramEnd"/>
      <w:r w:rsidRPr="00050337">
        <w:rPr>
          <w:rFonts w:ascii="Lucida Console" w:hAnsi="Lucida Console"/>
          <w:sz w:val="20"/>
          <w:szCs w:val="20"/>
        </w:rPr>
        <w:t xml:space="preserve"> dan2pitch(11)=dancoff1 end centrmdata</w:t>
      </w:r>
    </w:p>
    <w:p w14:paraId="79351EB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latticecell</w:t>
      </w:r>
      <w:proofErr w:type="gramEnd"/>
      <w:r w:rsidRPr="00050337">
        <w:rPr>
          <w:rFonts w:ascii="Lucida Console" w:hAnsi="Lucida Console"/>
          <w:sz w:val="20"/>
          <w:szCs w:val="20"/>
        </w:rPr>
        <w:t xml:space="preserve"> squarepitch fueld=0.876 21</w:t>
      </w:r>
    </w:p>
    <w:p w14:paraId="05E8671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gapd</w:t>
      </w:r>
      <w:proofErr w:type="gramEnd"/>
      <w:r w:rsidRPr="00050337">
        <w:rPr>
          <w:rFonts w:ascii="Lucida Console" w:hAnsi="Lucida Console"/>
          <w:sz w:val="20"/>
          <w:szCs w:val="20"/>
        </w:rPr>
        <w:t>= 0.894 24</w:t>
      </w:r>
    </w:p>
    <w:p w14:paraId="3FC6B22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cladd=</w:t>
      </w:r>
      <w:proofErr w:type="gramEnd"/>
      <w:r w:rsidRPr="00050337">
        <w:rPr>
          <w:rFonts w:ascii="Lucida Console" w:hAnsi="Lucida Console"/>
          <w:sz w:val="20"/>
          <w:szCs w:val="20"/>
        </w:rPr>
        <w:t>1.026 22</w:t>
      </w:r>
    </w:p>
    <w:p w14:paraId="44AD0D6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pitch=</w:t>
      </w:r>
      <w:proofErr w:type="gramEnd"/>
      <w:r w:rsidRPr="00050337">
        <w:rPr>
          <w:rFonts w:ascii="Lucida Console" w:hAnsi="Lucida Console"/>
          <w:sz w:val="20"/>
          <w:szCs w:val="20"/>
        </w:rPr>
        <w:t>1.295 23 end</w:t>
      </w:r>
    </w:p>
    <w:p w14:paraId="3DE8321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centrmdata</w:t>
      </w:r>
      <w:proofErr w:type="gramEnd"/>
      <w:r w:rsidRPr="00050337">
        <w:rPr>
          <w:rFonts w:ascii="Lucida Console" w:hAnsi="Lucida Console"/>
          <w:sz w:val="20"/>
          <w:szCs w:val="20"/>
        </w:rPr>
        <w:t xml:space="preserve"> dan2pitch(21)=dancoff2 end centrmdata</w:t>
      </w:r>
    </w:p>
    <w:p w14:paraId="0FD55D2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multiregion</w:t>
      </w:r>
      <w:proofErr w:type="gramEnd"/>
      <w:r w:rsidRPr="00050337">
        <w:rPr>
          <w:rFonts w:ascii="Lucida Console" w:hAnsi="Lucida Console"/>
          <w:sz w:val="20"/>
          <w:szCs w:val="20"/>
        </w:rPr>
        <w:t xml:space="preserve"> cylindrical left_bdy=reflected right_bdy=white end</w:t>
      </w:r>
    </w:p>
    <w:p w14:paraId="0762F2F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311   0.16555</w:t>
      </w:r>
    </w:p>
    <w:p w14:paraId="7A0EB84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312   0.23412</w:t>
      </w:r>
    </w:p>
    <w:p w14:paraId="21BF720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313   0.28674</w:t>
      </w:r>
    </w:p>
    <w:p w14:paraId="4885427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314   0.33110</w:t>
      </w:r>
    </w:p>
    <w:p w14:paraId="3B54A31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315   0.37018</w:t>
      </w:r>
    </w:p>
    <w:p w14:paraId="390219A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316   0.40551</w:t>
      </w:r>
    </w:p>
    <w:p w14:paraId="209EE32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317   0.43800</w:t>
      </w:r>
    </w:p>
    <w:p w14:paraId="0A7D0D9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34   0.44700</w:t>
      </w:r>
    </w:p>
    <w:p w14:paraId="7A7EF2B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32   0.51300</w:t>
      </w:r>
    </w:p>
    <w:p w14:paraId="7332D57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lastRenderedPageBreak/>
        <w:t xml:space="preserve">       33   0.73063</w:t>
      </w:r>
    </w:p>
    <w:p w14:paraId="0033EE8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zone</w:t>
      </w:r>
    </w:p>
    <w:p w14:paraId="63518E39"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celldata</w:t>
      </w:r>
    </w:p>
    <w:p w14:paraId="4ACA05D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434FB96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w:t>
      </w:r>
    </w:p>
    <w:p w14:paraId="6487FD74"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depletion</w:t>
      </w:r>
    </w:p>
    <w:p w14:paraId="501339F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$fuel flux $fgad</w:t>
      </w:r>
    </w:p>
    <w:p w14:paraId="0CA35EA6"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depletion</w:t>
      </w:r>
    </w:p>
    <w:p w14:paraId="7272B65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35C9C54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w:t>
      </w:r>
    </w:p>
    <w:p w14:paraId="18A20BF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burndata</w:t>
      </w:r>
    </w:p>
    <w:p w14:paraId="1BB0B32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power=</w:t>
      </w:r>
      <w:proofErr w:type="gramEnd"/>
      <w:r w:rsidRPr="00050337">
        <w:rPr>
          <w:rFonts w:ascii="Lucida Console" w:hAnsi="Lucida Console"/>
          <w:sz w:val="20"/>
          <w:szCs w:val="20"/>
        </w:rPr>
        <w:t>specpow burn=daystoburn down=0 end</w:t>
      </w:r>
    </w:p>
    <w:p w14:paraId="64D6C001"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burndata</w:t>
      </w:r>
    </w:p>
    <w:p w14:paraId="1D90CD7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572725A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w:t>
      </w:r>
    </w:p>
    <w:p w14:paraId="13DD105A"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model</w:t>
      </w:r>
    </w:p>
    <w:p w14:paraId="22C9108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BWR GE </w:t>
      </w:r>
      <w:r w:rsidR="00812D95">
        <w:rPr>
          <w:rFonts w:ascii="Lucida Console" w:hAnsi="Lucida Console"/>
          <w:sz w:val="20"/>
          <w:szCs w:val="20"/>
        </w:rPr>
        <w:t>10 × 10</w:t>
      </w:r>
    </w:p>
    <w:p w14:paraId="168B0D7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6F905795"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parm</w:t>
      </w:r>
    </w:p>
    <w:p w14:paraId="0F7CE8A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cmfd=</w:t>
      </w:r>
      <w:proofErr w:type="gramEnd"/>
      <w:r w:rsidRPr="00050337">
        <w:rPr>
          <w:rFonts w:ascii="Lucida Console" w:hAnsi="Lucida Console"/>
          <w:sz w:val="20"/>
          <w:szCs w:val="20"/>
        </w:rPr>
        <w:t>1</w:t>
      </w:r>
    </w:p>
    <w:p w14:paraId="45F68D3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drawit=</w:t>
      </w:r>
      <w:proofErr w:type="gramEnd"/>
      <w:r w:rsidRPr="00050337">
        <w:rPr>
          <w:rFonts w:ascii="Lucida Console" w:hAnsi="Lucida Console"/>
          <w:sz w:val="20"/>
          <w:szCs w:val="20"/>
        </w:rPr>
        <w:t>yes</w:t>
      </w:r>
    </w:p>
    <w:p w14:paraId="1E94271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echo=</w:t>
      </w:r>
      <w:proofErr w:type="gramEnd"/>
      <w:r w:rsidRPr="00050337">
        <w:rPr>
          <w:rFonts w:ascii="Lucida Console" w:hAnsi="Lucida Console"/>
          <w:sz w:val="20"/>
          <w:szCs w:val="20"/>
        </w:rPr>
        <w:t>yes</w:t>
      </w:r>
    </w:p>
    <w:p w14:paraId="34AC41F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epsinner</w:t>
      </w:r>
      <w:proofErr w:type="gramEnd"/>
      <w:r w:rsidRPr="00050337">
        <w:rPr>
          <w:rFonts w:ascii="Lucida Console" w:hAnsi="Lucida Console"/>
          <w:sz w:val="20"/>
          <w:szCs w:val="20"/>
        </w:rPr>
        <w:t xml:space="preserve">=-1e-4 </w:t>
      </w:r>
    </w:p>
    <w:p w14:paraId="4F6CA6A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fillmix=</w:t>
      </w:r>
      <w:proofErr w:type="gramEnd"/>
      <w:r w:rsidRPr="00050337">
        <w:rPr>
          <w:rFonts w:ascii="Lucida Console" w:hAnsi="Lucida Console"/>
          <w:sz w:val="20"/>
          <w:szCs w:val="20"/>
        </w:rPr>
        <w:t>5</w:t>
      </w:r>
    </w:p>
    <w:p w14:paraId="16425EC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run=</w:t>
      </w:r>
      <w:proofErr w:type="gramEnd"/>
      <w:r w:rsidRPr="00050337">
        <w:rPr>
          <w:rFonts w:ascii="Lucida Console" w:hAnsi="Lucida Console"/>
          <w:sz w:val="20"/>
          <w:szCs w:val="20"/>
        </w:rPr>
        <w:t xml:space="preserve">yes  </w:t>
      </w:r>
    </w:p>
    <w:p w14:paraId="0B3A2F9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xycmfd=</w:t>
      </w:r>
      <w:proofErr w:type="gramEnd"/>
      <w:r w:rsidRPr="00050337">
        <w:rPr>
          <w:rFonts w:ascii="Lucida Console" w:hAnsi="Lucida Console"/>
          <w:sz w:val="20"/>
          <w:szCs w:val="20"/>
        </w:rPr>
        <w:t>4</w:t>
      </w:r>
    </w:p>
    <w:p w14:paraId="52416C88"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parm</w:t>
      </w:r>
    </w:p>
    <w:p w14:paraId="32ED76B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5AF05E76"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materials</w:t>
      </w:r>
    </w:p>
    <w:p w14:paraId="5264CB1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mix</w:t>
      </w:r>
      <w:proofErr w:type="gramEnd"/>
      <w:r w:rsidRPr="00050337">
        <w:rPr>
          <w:rFonts w:ascii="Lucida Console" w:hAnsi="Lucida Console"/>
          <w:sz w:val="20"/>
          <w:szCs w:val="20"/>
        </w:rPr>
        <w:t>=$fuel pn=1 com='fuel'         end</w:t>
      </w:r>
    </w:p>
    <w:p w14:paraId="7FD0966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mix=</w:t>
      </w:r>
      <w:proofErr w:type="gramEnd"/>
      <w:r w:rsidRPr="00050337">
        <w:rPr>
          <w:rFonts w:ascii="Lucida Console" w:hAnsi="Lucida Console"/>
          <w:sz w:val="20"/>
          <w:szCs w:val="20"/>
        </w:rPr>
        <w:t>2     pn=1 com='clad'         end</w:t>
      </w:r>
    </w:p>
    <w:p w14:paraId="00271E8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mix=</w:t>
      </w:r>
      <w:proofErr w:type="gramEnd"/>
      <w:r w:rsidRPr="00050337">
        <w:rPr>
          <w:rFonts w:ascii="Lucida Console" w:hAnsi="Lucida Console"/>
          <w:sz w:val="20"/>
          <w:szCs w:val="20"/>
        </w:rPr>
        <w:t>3     pn=2 com='coolant'      end</w:t>
      </w:r>
    </w:p>
    <w:p w14:paraId="77CBC9F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mix=</w:t>
      </w:r>
      <w:proofErr w:type="gramEnd"/>
      <w:r w:rsidRPr="00050337">
        <w:rPr>
          <w:rFonts w:ascii="Lucida Console" w:hAnsi="Lucida Console"/>
          <w:sz w:val="20"/>
          <w:szCs w:val="20"/>
        </w:rPr>
        <w:t>4     pn=0 com='gap'          end</w:t>
      </w:r>
    </w:p>
    <w:p w14:paraId="60109C5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mix=</w:t>
      </w:r>
      <w:proofErr w:type="gramEnd"/>
      <w:r w:rsidRPr="00050337">
        <w:rPr>
          <w:rFonts w:ascii="Lucida Console" w:hAnsi="Lucida Console"/>
          <w:sz w:val="20"/>
          <w:szCs w:val="20"/>
        </w:rPr>
        <w:t>5     pn=2 com='coolant'      end</w:t>
      </w:r>
    </w:p>
    <w:p w14:paraId="7849BA7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mix=</w:t>
      </w:r>
      <w:proofErr w:type="gramEnd"/>
      <w:r w:rsidRPr="00050337">
        <w:rPr>
          <w:rFonts w:ascii="Lucida Console" w:hAnsi="Lucida Console"/>
          <w:sz w:val="20"/>
          <w:szCs w:val="20"/>
        </w:rPr>
        <w:t>6     pn=1 com='channel tube' end</w:t>
      </w:r>
    </w:p>
    <w:p w14:paraId="3F8489A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mix</w:t>
      </w:r>
      <w:proofErr w:type="gramEnd"/>
      <w:r w:rsidRPr="00050337">
        <w:rPr>
          <w:rFonts w:ascii="Lucida Console" w:hAnsi="Lucida Console"/>
          <w:sz w:val="20"/>
          <w:szCs w:val="20"/>
        </w:rPr>
        <w:t>=$fgad pn=1 com='fuel with 5.0% Gd2O3' end</w:t>
      </w:r>
    </w:p>
    <w:p w14:paraId="5AA0CA1E"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materials</w:t>
      </w:r>
    </w:p>
    <w:p w14:paraId="6576B89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16935A16"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geom</w:t>
      </w:r>
    </w:p>
    <w:p w14:paraId="2DF3B571"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unit</w:t>
      </w:r>
      <w:proofErr w:type="gramEnd"/>
      <w:r w:rsidRPr="00050337">
        <w:rPr>
          <w:rFonts w:ascii="Lucida Console" w:hAnsi="Lucida Console"/>
          <w:sz w:val="20"/>
          <w:szCs w:val="20"/>
        </w:rPr>
        <w:t xml:space="preserve"> 1</w:t>
      </w:r>
    </w:p>
    <w:p w14:paraId="79847368"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com</w:t>
      </w:r>
      <w:proofErr w:type="gramEnd"/>
      <w:r w:rsidRPr="00050337">
        <w:rPr>
          <w:rFonts w:ascii="Lucida Console" w:hAnsi="Lucida Console"/>
          <w:sz w:val="20"/>
          <w:szCs w:val="20"/>
        </w:rPr>
        <w:t>='fuel rod'</w:t>
      </w:r>
    </w:p>
    <w:p w14:paraId="694C684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10 0.438</w:t>
      </w:r>
    </w:p>
    <w:p w14:paraId="334A0DD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20 0.447</w:t>
      </w:r>
    </w:p>
    <w:p w14:paraId="3B01CFF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30 0.513</w:t>
      </w:r>
    </w:p>
    <w:p w14:paraId="4F940EE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1 1 10</w:t>
      </w:r>
    </w:p>
    <w:p w14:paraId="7E0D458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4 1 20 -10</w:t>
      </w:r>
    </w:p>
    <w:p w14:paraId="5E323FE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2 1 30 -20</w:t>
      </w:r>
    </w:p>
    <w:p w14:paraId="48CABA1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boundary</w:t>
      </w:r>
      <w:proofErr w:type="gramEnd"/>
      <w:r w:rsidRPr="00050337">
        <w:rPr>
          <w:rFonts w:ascii="Lucida Console" w:hAnsi="Lucida Console"/>
          <w:sz w:val="20"/>
          <w:szCs w:val="20"/>
        </w:rPr>
        <w:t xml:space="preserve"> 30</w:t>
      </w:r>
    </w:p>
    <w:p w14:paraId="2450F1A6"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unit</w:t>
      </w:r>
      <w:proofErr w:type="gramEnd"/>
      <w:r w:rsidRPr="00050337">
        <w:rPr>
          <w:rFonts w:ascii="Lucida Console" w:hAnsi="Lucida Console"/>
          <w:sz w:val="20"/>
          <w:szCs w:val="20"/>
        </w:rPr>
        <w:t xml:space="preserve"> 2</w:t>
      </w:r>
    </w:p>
    <w:p w14:paraId="50532E1E"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com</w:t>
      </w:r>
      <w:proofErr w:type="gramEnd"/>
      <w:r w:rsidRPr="00050337">
        <w:rPr>
          <w:rFonts w:ascii="Lucida Console" w:hAnsi="Lucida Console"/>
          <w:sz w:val="20"/>
          <w:szCs w:val="20"/>
        </w:rPr>
        <w:t>='fuel rod - edge'</w:t>
      </w:r>
    </w:p>
    <w:p w14:paraId="221D134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10 0.438</w:t>
      </w:r>
    </w:p>
    <w:p w14:paraId="507A927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20 0.447</w:t>
      </w:r>
    </w:p>
    <w:p w14:paraId="0950E39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30 0.513</w:t>
      </w:r>
    </w:p>
    <w:p w14:paraId="7F3849A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11 1 10</w:t>
      </w:r>
    </w:p>
    <w:p w14:paraId="2D6EB38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  4</w:t>
      </w:r>
      <w:proofErr w:type="gramEnd"/>
      <w:r w:rsidRPr="00050337">
        <w:rPr>
          <w:rFonts w:ascii="Lucida Console" w:hAnsi="Lucida Console"/>
          <w:sz w:val="20"/>
          <w:szCs w:val="20"/>
        </w:rPr>
        <w:t xml:space="preserve"> 1 20 -10</w:t>
      </w:r>
    </w:p>
    <w:p w14:paraId="0AE9574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  2</w:t>
      </w:r>
      <w:proofErr w:type="gramEnd"/>
      <w:r w:rsidRPr="00050337">
        <w:rPr>
          <w:rFonts w:ascii="Lucida Console" w:hAnsi="Lucida Console"/>
          <w:sz w:val="20"/>
          <w:szCs w:val="20"/>
        </w:rPr>
        <w:t xml:space="preserve"> 1 30 -20</w:t>
      </w:r>
    </w:p>
    <w:p w14:paraId="34C5D22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boundary</w:t>
      </w:r>
      <w:proofErr w:type="gramEnd"/>
      <w:r w:rsidRPr="00050337">
        <w:rPr>
          <w:rFonts w:ascii="Lucida Console" w:hAnsi="Lucida Console"/>
          <w:sz w:val="20"/>
          <w:szCs w:val="20"/>
        </w:rPr>
        <w:t xml:space="preserve"> 30</w:t>
      </w:r>
    </w:p>
    <w:p w14:paraId="241AEA39"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unit</w:t>
      </w:r>
      <w:proofErr w:type="gramEnd"/>
      <w:r w:rsidRPr="00050337">
        <w:rPr>
          <w:rFonts w:ascii="Lucida Console" w:hAnsi="Lucida Console"/>
          <w:sz w:val="20"/>
          <w:szCs w:val="20"/>
        </w:rPr>
        <w:t xml:space="preserve"> 3</w:t>
      </w:r>
    </w:p>
    <w:p w14:paraId="379842F5"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com</w:t>
      </w:r>
      <w:proofErr w:type="gramEnd"/>
      <w:r w:rsidRPr="00050337">
        <w:rPr>
          <w:rFonts w:ascii="Lucida Console" w:hAnsi="Lucida Console"/>
          <w:sz w:val="20"/>
          <w:szCs w:val="20"/>
        </w:rPr>
        <w:t>='fuel rod - corner'</w:t>
      </w:r>
    </w:p>
    <w:p w14:paraId="674D77F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10 0.438</w:t>
      </w:r>
    </w:p>
    <w:p w14:paraId="21FFF2B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20 0.447</w:t>
      </w:r>
    </w:p>
    <w:p w14:paraId="730FCC0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30 0.513</w:t>
      </w:r>
    </w:p>
    <w:p w14:paraId="4012BEB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lastRenderedPageBreak/>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21 1 10</w:t>
      </w:r>
    </w:p>
    <w:p w14:paraId="2A2B900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  4</w:t>
      </w:r>
      <w:proofErr w:type="gramEnd"/>
      <w:r w:rsidRPr="00050337">
        <w:rPr>
          <w:rFonts w:ascii="Lucida Console" w:hAnsi="Lucida Console"/>
          <w:sz w:val="20"/>
          <w:szCs w:val="20"/>
        </w:rPr>
        <w:t xml:space="preserve"> 1 20 -10</w:t>
      </w:r>
    </w:p>
    <w:p w14:paraId="6442428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  2</w:t>
      </w:r>
      <w:proofErr w:type="gramEnd"/>
      <w:r w:rsidRPr="00050337">
        <w:rPr>
          <w:rFonts w:ascii="Lucida Console" w:hAnsi="Lucida Console"/>
          <w:sz w:val="20"/>
          <w:szCs w:val="20"/>
        </w:rPr>
        <w:t xml:space="preserve"> 1 30 -20</w:t>
      </w:r>
    </w:p>
    <w:p w14:paraId="5CFFF06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boundary</w:t>
      </w:r>
      <w:proofErr w:type="gramEnd"/>
      <w:r w:rsidRPr="00050337">
        <w:rPr>
          <w:rFonts w:ascii="Lucida Console" w:hAnsi="Lucida Console"/>
          <w:sz w:val="20"/>
          <w:szCs w:val="20"/>
        </w:rPr>
        <w:t xml:space="preserve"> 30</w:t>
      </w:r>
    </w:p>
    <w:p w14:paraId="61B7008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unit</w:t>
      </w:r>
      <w:proofErr w:type="gramEnd"/>
      <w:r w:rsidRPr="00050337">
        <w:rPr>
          <w:rFonts w:ascii="Lucida Console" w:hAnsi="Lucida Console"/>
          <w:sz w:val="20"/>
          <w:szCs w:val="20"/>
        </w:rPr>
        <w:t xml:space="preserve"> 4</w:t>
      </w:r>
    </w:p>
    <w:p w14:paraId="449B2137"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com</w:t>
      </w:r>
      <w:proofErr w:type="gramEnd"/>
      <w:r w:rsidRPr="00050337">
        <w:rPr>
          <w:rFonts w:ascii="Lucida Console" w:hAnsi="Lucida Console"/>
          <w:sz w:val="20"/>
          <w:szCs w:val="20"/>
        </w:rPr>
        <w:t>='fuel rod - with 5.0% Gd2O'</w:t>
      </w:r>
    </w:p>
    <w:p w14:paraId="0E56185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  10</w:t>
      </w:r>
      <w:proofErr w:type="gramEnd"/>
      <w:r w:rsidRPr="00050337">
        <w:rPr>
          <w:rFonts w:ascii="Lucida Console" w:hAnsi="Lucida Console"/>
          <w:sz w:val="20"/>
          <w:szCs w:val="20"/>
        </w:rPr>
        <w:t xml:space="preserve"> 0.16555</w:t>
      </w:r>
    </w:p>
    <w:p w14:paraId="17F0A7E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  20</w:t>
      </w:r>
      <w:proofErr w:type="gramEnd"/>
      <w:r w:rsidRPr="00050337">
        <w:rPr>
          <w:rFonts w:ascii="Lucida Console" w:hAnsi="Lucida Console"/>
          <w:sz w:val="20"/>
          <w:szCs w:val="20"/>
        </w:rPr>
        <w:t xml:space="preserve"> 0.23412</w:t>
      </w:r>
    </w:p>
    <w:p w14:paraId="0665609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  30</w:t>
      </w:r>
      <w:proofErr w:type="gramEnd"/>
      <w:r w:rsidRPr="00050337">
        <w:rPr>
          <w:rFonts w:ascii="Lucida Console" w:hAnsi="Lucida Console"/>
          <w:sz w:val="20"/>
          <w:szCs w:val="20"/>
        </w:rPr>
        <w:t xml:space="preserve"> 0.28674</w:t>
      </w:r>
    </w:p>
    <w:p w14:paraId="7A386D3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  40</w:t>
      </w:r>
      <w:proofErr w:type="gramEnd"/>
      <w:r w:rsidRPr="00050337">
        <w:rPr>
          <w:rFonts w:ascii="Lucida Console" w:hAnsi="Lucida Console"/>
          <w:sz w:val="20"/>
          <w:szCs w:val="20"/>
        </w:rPr>
        <w:t xml:space="preserve"> 0.33110</w:t>
      </w:r>
    </w:p>
    <w:p w14:paraId="61C3567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  50</w:t>
      </w:r>
      <w:proofErr w:type="gramEnd"/>
      <w:r w:rsidRPr="00050337">
        <w:rPr>
          <w:rFonts w:ascii="Lucida Console" w:hAnsi="Lucida Console"/>
          <w:sz w:val="20"/>
          <w:szCs w:val="20"/>
        </w:rPr>
        <w:t xml:space="preserve"> 0.37018</w:t>
      </w:r>
    </w:p>
    <w:p w14:paraId="1DD9BC2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  60</w:t>
      </w:r>
      <w:proofErr w:type="gramEnd"/>
      <w:r w:rsidRPr="00050337">
        <w:rPr>
          <w:rFonts w:ascii="Lucida Console" w:hAnsi="Lucida Console"/>
          <w:sz w:val="20"/>
          <w:szCs w:val="20"/>
        </w:rPr>
        <w:t xml:space="preserve"> 0.40551</w:t>
      </w:r>
    </w:p>
    <w:p w14:paraId="4514B7C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  70</w:t>
      </w:r>
      <w:proofErr w:type="gramEnd"/>
      <w:r w:rsidRPr="00050337">
        <w:rPr>
          <w:rFonts w:ascii="Lucida Console" w:hAnsi="Lucida Console"/>
          <w:sz w:val="20"/>
          <w:szCs w:val="20"/>
        </w:rPr>
        <w:t xml:space="preserve"> 0.438</w:t>
      </w:r>
    </w:p>
    <w:p w14:paraId="46DA43C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  80</w:t>
      </w:r>
      <w:proofErr w:type="gramEnd"/>
      <w:r w:rsidRPr="00050337">
        <w:rPr>
          <w:rFonts w:ascii="Lucida Console" w:hAnsi="Lucida Console"/>
          <w:sz w:val="20"/>
          <w:szCs w:val="20"/>
        </w:rPr>
        <w:t xml:space="preserve"> 0.447</w:t>
      </w:r>
    </w:p>
    <w:p w14:paraId="3E67DD6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  90</w:t>
      </w:r>
      <w:proofErr w:type="gramEnd"/>
      <w:r w:rsidRPr="00050337">
        <w:rPr>
          <w:rFonts w:ascii="Lucida Console" w:hAnsi="Lucida Console"/>
          <w:sz w:val="20"/>
          <w:szCs w:val="20"/>
        </w:rPr>
        <w:t xml:space="preserve"> 0.513</w:t>
      </w:r>
    </w:p>
    <w:p w14:paraId="31A5684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311 1 10</w:t>
      </w:r>
    </w:p>
    <w:p w14:paraId="319F081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312 1 20 -10</w:t>
      </w:r>
    </w:p>
    <w:p w14:paraId="3D0579E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313 1 30 -20</w:t>
      </w:r>
    </w:p>
    <w:p w14:paraId="1623355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314 1 40 -30</w:t>
      </w:r>
    </w:p>
    <w:p w14:paraId="5FC225F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315 1 50 -40</w:t>
      </w:r>
    </w:p>
    <w:p w14:paraId="3636788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316 1 60 -50</w:t>
      </w:r>
    </w:p>
    <w:p w14:paraId="62B99A3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317 1 70 -60</w:t>
      </w:r>
    </w:p>
    <w:p w14:paraId="055D45E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4 1 80 -70</w:t>
      </w:r>
    </w:p>
    <w:p w14:paraId="664EC12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2 1 90 -80</w:t>
      </w:r>
    </w:p>
    <w:p w14:paraId="7654A4A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boundary</w:t>
      </w:r>
      <w:proofErr w:type="gramEnd"/>
      <w:r w:rsidRPr="00050337">
        <w:rPr>
          <w:rFonts w:ascii="Lucida Console" w:hAnsi="Lucida Console"/>
          <w:sz w:val="20"/>
          <w:szCs w:val="20"/>
        </w:rPr>
        <w:t xml:space="preserve"> 90</w:t>
      </w:r>
    </w:p>
    <w:p w14:paraId="283E3A78"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unit</w:t>
      </w:r>
      <w:proofErr w:type="gramEnd"/>
      <w:r w:rsidRPr="00050337">
        <w:rPr>
          <w:rFonts w:ascii="Lucida Console" w:hAnsi="Lucida Console"/>
          <w:sz w:val="20"/>
          <w:szCs w:val="20"/>
        </w:rPr>
        <w:t xml:space="preserve"> 5</w:t>
      </w:r>
    </w:p>
    <w:p w14:paraId="7655DB4B"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com</w:t>
      </w:r>
      <w:proofErr w:type="gramEnd"/>
      <w:r w:rsidRPr="00050337">
        <w:rPr>
          <w:rFonts w:ascii="Lucida Console" w:hAnsi="Lucida Console"/>
          <w:sz w:val="20"/>
          <w:szCs w:val="20"/>
        </w:rPr>
        <w:t>='water rod'</w:t>
      </w:r>
    </w:p>
    <w:p w14:paraId="56CAB3F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10 1.161</w:t>
      </w:r>
    </w:p>
    <w:p w14:paraId="396633B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20 1.261</w:t>
      </w:r>
    </w:p>
    <w:p w14:paraId="20DBB7E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5 1 10</w:t>
      </w:r>
    </w:p>
    <w:p w14:paraId="282B9F8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6 1 20 -10</w:t>
      </w:r>
    </w:p>
    <w:p w14:paraId="2C9463E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boundary</w:t>
      </w:r>
      <w:proofErr w:type="gramEnd"/>
      <w:r w:rsidRPr="00050337">
        <w:rPr>
          <w:rFonts w:ascii="Lucida Console" w:hAnsi="Lucida Console"/>
          <w:sz w:val="20"/>
          <w:szCs w:val="20"/>
        </w:rPr>
        <w:t xml:space="preserve"> 20</w:t>
      </w:r>
    </w:p>
    <w:p w14:paraId="53CA391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global</w:t>
      </w:r>
      <w:proofErr w:type="gramEnd"/>
      <w:r w:rsidRPr="00050337">
        <w:rPr>
          <w:rFonts w:ascii="Lucida Console" w:hAnsi="Lucida Console"/>
          <w:sz w:val="20"/>
          <w:szCs w:val="20"/>
        </w:rPr>
        <w:t xml:space="preserve"> unit 10</w:t>
      </w:r>
    </w:p>
    <w:p w14:paraId="0FFBFCF9"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com</w:t>
      </w:r>
      <w:proofErr w:type="gramEnd"/>
      <w:r w:rsidRPr="00050337">
        <w:rPr>
          <w:rFonts w:ascii="Lucida Console" w:hAnsi="Lucida Console"/>
          <w:sz w:val="20"/>
          <w:szCs w:val="20"/>
        </w:rPr>
        <w:t>='assembly'</w:t>
      </w:r>
    </w:p>
    <w:p w14:paraId="51248DF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cuboid</w:t>
      </w:r>
      <w:proofErr w:type="gramEnd"/>
      <w:r w:rsidRPr="00050337">
        <w:rPr>
          <w:rFonts w:ascii="Lucida Console" w:hAnsi="Lucida Console"/>
          <w:sz w:val="20"/>
          <w:szCs w:val="20"/>
        </w:rPr>
        <w:t xml:space="preserve">   10 14.32305 0.91695 14.32305 0.91695</w:t>
      </w:r>
    </w:p>
    <w:p w14:paraId="0267D8D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cuboid</w:t>
      </w:r>
      <w:proofErr w:type="gramEnd"/>
      <w:r w:rsidRPr="00050337">
        <w:rPr>
          <w:rFonts w:ascii="Lucida Console" w:hAnsi="Lucida Console"/>
          <w:sz w:val="20"/>
          <w:szCs w:val="20"/>
        </w:rPr>
        <w:t xml:space="preserve">   20 14.52625 0.71375 14.52625 0.71375</w:t>
      </w:r>
    </w:p>
    <w:p w14:paraId="64F7415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cuboid</w:t>
      </w:r>
      <w:proofErr w:type="gramEnd"/>
      <w:r w:rsidRPr="00050337">
        <w:rPr>
          <w:rFonts w:ascii="Lucida Console" w:hAnsi="Lucida Console"/>
          <w:sz w:val="20"/>
          <w:szCs w:val="20"/>
        </w:rPr>
        <w:t xml:space="preserve">   30 15.24 0 15.24  0</w:t>
      </w:r>
    </w:p>
    <w:p w14:paraId="7C939DFF"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for</w:t>
      </w:r>
      <w:proofErr w:type="gramEnd"/>
      <w:r w:rsidRPr="00050337">
        <w:rPr>
          <w:rFonts w:ascii="Lucida Console" w:hAnsi="Lucida Console"/>
          <w:sz w:val="20"/>
          <w:szCs w:val="20"/>
        </w:rPr>
        <w:t xml:space="preserve"> rounded corners, bottom right to top left</w:t>
      </w:r>
    </w:p>
    <w:p w14:paraId="4621313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11 0.9652 chord -x=1.88215 chord -y=1.88215 origin x=1.88215 y=1.88215 sides=16</w:t>
      </w:r>
    </w:p>
    <w:p w14:paraId="026A660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12 1.1684 chord -x=1.88215 chord -y=1.88215 origin x=1.88215 y=1.88215 sides=16</w:t>
      </w:r>
    </w:p>
    <w:p w14:paraId="46D7BF0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cuboid</w:t>
      </w:r>
      <w:proofErr w:type="gramEnd"/>
      <w:r w:rsidRPr="00050337">
        <w:rPr>
          <w:rFonts w:ascii="Lucida Console" w:hAnsi="Lucida Console"/>
          <w:sz w:val="20"/>
          <w:szCs w:val="20"/>
        </w:rPr>
        <w:t xml:space="preserve">   13 1.88215  0.71375  1.88215  0.71375</w:t>
      </w:r>
    </w:p>
    <w:p w14:paraId="5DC75B4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21 0.9652 chord +x=13.35785 chord -y=1.88215 origin x=13.35785 y=1.88215 sides=16</w:t>
      </w:r>
    </w:p>
    <w:p w14:paraId="4404F84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22 1.1684 chord +x=13.35785 chord -y=1.88215 origin x=13.35785 y=1.88215 sides=16</w:t>
      </w:r>
    </w:p>
    <w:p w14:paraId="0DB5749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cuboid</w:t>
      </w:r>
      <w:proofErr w:type="gramEnd"/>
      <w:r w:rsidRPr="00050337">
        <w:rPr>
          <w:rFonts w:ascii="Lucida Console" w:hAnsi="Lucida Console"/>
          <w:sz w:val="20"/>
          <w:szCs w:val="20"/>
        </w:rPr>
        <w:t xml:space="preserve">   23 14.52625 13.35785  1.88215  0.71375</w:t>
      </w:r>
    </w:p>
    <w:p w14:paraId="0546928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31 0.9652 chord -x=1.88215 chord +y=13.35785 origin x=1.88215 y=13.35785 sides=16</w:t>
      </w:r>
    </w:p>
    <w:p w14:paraId="7F71394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32 1.1684 chord -x=1.88215 chord +y=13.35785 origin x=1.88215 y=13.35785 sides=16</w:t>
      </w:r>
    </w:p>
    <w:p w14:paraId="35AF8E5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cuboid</w:t>
      </w:r>
      <w:proofErr w:type="gramEnd"/>
      <w:r w:rsidRPr="00050337">
        <w:rPr>
          <w:rFonts w:ascii="Lucida Console" w:hAnsi="Lucida Console"/>
          <w:sz w:val="20"/>
          <w:szCs w:val="20"/>
        </w:rPr>
        <w:t xml:space="preserve">   33 1.88215  0.71375 14.52625 13.35785</w:t>
      </w:r>
    </w:p>
    <w:p w14:paraId="2AF4A44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41 0.9652 chord +x=13.35785 chord +y=13.35785 origin x=13.35785 y=13.35785 sides=16</w:t>
      </w:r>
    </w:p>
    <w:p w14:paraId="0650121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cylinder</w:t>
      </w:r>
      <w:proofErr w:type="gramEnd"/>
      <w:r w:rsidRPr="00050337">
        <w:rPr>
          <w:rFonts w:ascii="Lucida Console" w:hAnsi="Lucida Console"/>
          <w:sz w:val="20"/>
          <w:szCs w:val="20"/>
        </w:rPr>
        <w:t xml:space="preserve"> 42 1.1684 chord +x=13.35785 chord +y=13.35785 origin x=13.35785 y=13.35785 sides=16</w:t>
      </w:r>
    </w:p>
    <w:p w14:paraId="48D3AAD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cuboid</w:t>
      </w:r>
      <w:proofErr w:type="gramEnd"/>
      <w:r w:rsidRPr="00050337">
        <w:rPr>
          <w:rFonts w:ascii="Lucida Console" w:hAnsi="Lucida Console"/>
          <w:sz w:val="20"/>
          <w:szCs w:val="20"/>
        </w:rPr>
        <w:t xml:space="preserve">   43 14.52625 13.35785 14.52625 13.35785</w:t>
      </w:r>
    </w:p>
    <w:p w14:paraId="7B4DDECE"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pin</w:t>
      </w:r>
      <w:proofErr w:type="gramEnd"/>
      <w:r w:rsidRPr="00050337">
        <w:rPr>
          <w:rFonts w:ascii="Lucida Console" w:hAnsi="Lucida Console"/>
          <w:sz w:val="20"/>
          <w:szCs w:val="20"/>
        </w:rPr>
        <w:t>-by-pin construction</w:t>
      </w:r>
    </w:p>
    <w:p w14:paraId="756989D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3 origin x= 1.79250 y= 1.79250</w:t>
      </w:r>
    </w:p>
    <w:p w14:paraId="6CD99A1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3.08750 y= 1.79250</w:t>
      </w:r>
    </w:p>
    <w:p w14:paraId="72F9BCA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4.38250 y= 1.79250</w:t>
      </w:r>
    </w:p>
    <w:p w14:paraId="71C7FB9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lastRenderedPageBreak/>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5.67750 y= 1.79250</w:t>
      </w:r>
    </w:p>
    <w:p w14:paraId="200C638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6.97250 y= 1.79250</w:t>
      </w:r>
    </w:p>
    <w:p w14:paraId="1652A2B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8.26750 y= 1.79250</w:t>
      </w:r>
    </w:p>
    <w:p w14:paraId="7B37E45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9.56250 y= 1.79250</w:t>
      </w:r>
    </w:p>
    <w:p w14:paraId="2A3FFCD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x=10.85750 y= 1.79250</w:t>
      </w:r>
    </w:p>
    <w:p w14:paraId="73D32A6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x=12.15250 y= 1.79250</w:t>
      </w:r>
    </w:p>
    <w:p w14:paraId="070EA60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3 origin x=13.44750 y= 1.79250</w:t>
      </w:r>
    </w:p>
    <w:p w14:paraId="5803667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1.79250 y= 3.08750</w:t>
      </w:r>
    </w:p>
    <w:p w14:paraId="157F48A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 3.08750 y= 3.08750</w:t>
      </w:r>
    </w:p>
    <w:p w14:paraId="4F135C4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4.38250 y= 3.08750</w:t>
      </w:r>
    </w:p>
    <w:p w14:paraId="34C7E45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5.67750 y= 3.08750</w:t>
      </w:r>
    </w:p>
    <w:p w14:paraId="738EA6B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 6.97250 y= 3.08750</w:t>
      </w:r>
    </w:p>
    <w:p w14:paraId="429E38D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8.26750 y= 3.08750</w:t>
      </w:r>
    </w:p>
    <w:p w14:paraId="4AF71D8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 9.56250 y= 3.08750</w:t>
      </w:r>
    </w:p>
    <w:p w14:paraId="05343E8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x=10.85750 y= 3.08750</w:t>
      </w:r>
    </w:p>
    <w:p w14:paraId="404E7D6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x=12.15250 y= 3.08750</w:t>
      </w:r>
    </w:p>
    <w:p w14:paraId="1E2DCE8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x=13.44750 y= 3.08750</w:t>
      </w:r>
    </w:p>
    <w:p w14:paraId="5E580EE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1.79250 y= 4.38250</w:t>
      </w:r>
    </w:p>
    <w:p w14:paraId="73402D7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3.08750 y= 4.38250</w:t>
      </w:r>
    </w:p>
    <w:p w14:paraId="001D635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 4.38250 y= 4.38250</w:t>
      </w:r>
    </w:p>
    <w:p w14:paraId="02788EC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5.67750 y= 4.38250</w:t>
      </w:r>
    </w:p>
    <w:p w14:paraId="6609DBB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6.97250 y= 4.38250</w:t>
      </w:r>
    </w:p>
    <w:p w14:paraId="233E833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8.26750 y= 4.38250</w:t>
      </w:r>
    </w:p>
    <w:p w14:paraId="303B973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9.56250 y= 4.38250</w:t>
      </w:r>
    </w:p>
    <w:p w14:paraId="7923E29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x=10.85750 y= 4.38250</w:t>
      </w:r>
    </w:p>
    <w:p w14:paraId="70B929C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x=12.15250 y= 4.38250</w:t>
      </w:r>
    </w:p>
    <w:p w14:paraId="0A85810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x=13.44750 y= 4.38250</w:t>
      </w:r>
    </w:p>
    <w:p w14:paraId="3EB4B8F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1.79250 y= 5.67750</w:t>
      </w:r>
    </w:p>
    <w:p w14:paraId="3629F05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3.08750 y= 5.67750</w:t>
      </w:r>
    </w:p>
    <w:p w14:paraId="01F6346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4.38250 y= 5.67750</w:t>
      </w:r>
    </w:p>
    <w:p w14:paraId="5D45952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8.26750 y= 5.67750</w:t>
      </w:r>
    </w:p>
    <w:p w14:paraId="5178FB4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9.56250 y= 5.67750</w:t>
      </w:r>
    </w:p>
    <w:p w14:paraId="294C9D0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x=10.85750 y= 5.67750</w:t>
      </w:r>
    </w:p>
    <w:p w14:paraId="7B31AF6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x=12.15250 y= 5.67750</w:t>
      </w:r>
    </w:p>
    <w:p w14:paraId="3C23A8D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x=13.44750 y= 5.67750</w:t>
      </w:r>
    </w:p>
    <w:p w14:paraId="3F1000A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1.79250 y= 6.97250</w:t>
      </w:r>
    </w:p>
    <w:p w14:paraId="63F6501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 3.08750 y= 6.97250</w:t>
      </w:r>
    </w:p>
    <w:p w14:paraId="7B6ACC5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4.38250 y= 6.97250</w:t>
      </w:r>
    </w:p>
    <w:p w14:paraId="4B2DB42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8.26750 y= 6.97250</w:t>
      </w:r>
    </w:p>
    <w:p w14:paraId="3364AC3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9.56250 y= 6.97250</w:t>
      </w:r>
    </w:p>
    <w:p w14:paraId="382F530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x=10.85750 y= 6.97250</w:t>
      </w:r>
    </w:p>
    <w:p w14:paraId="0A9040D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x=12.15250 y= 6.97250</w:t>
      </w:r>
    </w:p>
    <w:p w14:paraId="5B13DB5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x=13.44750 y= 6.97250</w:t>
      </w:r>
    </w:p>
    <w:p w14:paraId="23D22F5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1.79250 y= 8.26750</w:t>
      </w:r>
    </w:p>
    <w:p w14:paraId="516DC4F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3.08750 y= 8.26750</w:t>
      </w:r>
    </w:p>
    <w:p w14:paraId="7B29F45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4.38250 y= 8.26750</w:t>
      </w:r>
    </w:p>
    <w:p w14:paraId="138FD22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5.67750 y= 8.26750</w:t>
      </w:r>
    </w:p>
    <w:p w14:paraId="0F7DD12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6.97250 y= 8.26750</w:t>
      </w:r>
    </w:p>
    <w:p w14:paraId="68CD745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x=10.85750 y= 8.26750</w:t>
      </w:r>
    </w:p>
    <w:p w14:paraId="2CF64AF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x=12.15250 y= 8.26750</w:t>
      </w:r>
    </w:p>
    <w:p w14:paraId="7FA783A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x=13.44750 y= 8.26750</w:t>
      </w:r>
    </w:p>
    <w:p w14:paraId="5872A34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1.79250 y= 9.56250</w:t>
      </w:r>
    </w:p>
    <w:p w14:paraId="40EE3C7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 3.08750 y= 9.56250</w:t>
      </w:r>
    </w:p>
    <w:p w14:paraId="0E91CBF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4.38250 y= 9.56250</w:t>
      </w:r>
    </w:p>
    <w:p w14:paraId="0A4A817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5.67750 y= 9.56250</w:t>
      </w:r>
    </w:p>
    <w:p w14:paraId="6754CD8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6.97250 y= 9.56250</w:t>
      </w:r>
    </w:p>
    <w:p w14:paraId="3B5D891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x=10.85750 y= 9.56250</w:t>
      </w:r>
    </w:p>
    <w:p w14:paraId="0E60F10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x=12.15250 y= 9.56250</w:t>
      </w:r>
    </w:p>
    <w:p w14:paraId="380C545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x=13.44750 y= 9.56250</w:t>
      </w:r>
    </w:p>
    <w:p w14:paraId="4C0B840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1.79250 y=10.85750</w:t>
      </w:r>
    </w:p>
    <w:p w14:paraId="70D53A9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3.08750 y=10.85750</w:t>
      </w:r>
    </w:p>
    <w:p w14:paraId="3F358D3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4.38250 y=10.85750</w:t>
      </w:r>
    </w:p>
    <w:p w14:paraId="0477799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lastRenderedPageBreak/>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5.67750 y=10.85750</w:t>
      </w:r>
    </w:p>
    <w:p w14:paraId="7680139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6.97250 y=10.85750</w:t>
      </w:r>
    </w:p>
    <w:p w14:paraId="2A7D104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8.26750 y=10.85750</w:t>
      </w:r>
    </w:p>
    <w:p w14:paraId="1AE64E1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9.56250 y=10.85750</w:t>
      </w:r>
    </w:p>
    <w:p w14:paraId="104E50C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x=10.85750 y=10.85750</w:t>
      </w:r>
    </w:p>
    <w:p w14:paraId="277C966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x=12.15250 y=10.85750</w:t>
      </w:r>
    </w:p>
    <w:p w14:paraId="71A330F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x=13.44750 y=10.85750</w:t>
      </w:r>
    </w:p>
    <w:p w14:paraId="1C9AEA2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1.79250 y=12.15250</w:t>
      </w:r>
    </w:p>
    <w:p w14:paraId="7E165D7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 3.08750 y=12.15250</w:t>
      </w:r>
    </w:p>
    <w:p w14:paraId="3B0D9DD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4.38250 y=12.15250</w:t>
      </w:r>
    </w:p>
    <w:p w14:paraId="146E012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 5.67750 y=12.15250</w:t>
      </w:r>
    </w:p>
    <w:p w14:paraId="5B2DFA4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6.97250 y=12.15250</w:t>
      </w:r>
    </w:p>
    <w:p w14:paraId="0DE80F0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 8.26750 y=12.15250</w:t>
      </w:r>
    </w:p>
    <w:p w14:paraId="1A94413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 9.56250 y=12.15250</w:t>
      </w:r>
    </w:p>
    <w:p w14:paraId="449719D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1 origin x=10.85750 y=12.15250</w:t>
      </w:r>
    </w:p>
    <w:p w14:paraId="73C67FA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4 origin x=12.15250 y=12.15250</w:t>
      </w:r>
    </w:p>
    <w:p w14:paraId="211B245F"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x=13.44750 y=12.15250</w:t>
      </w:r>
    </w:p>
    <w:p w14:paraId="294F251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3 origin x= 1.79250 y=13.44750</w:t>
      </w:r>
    </w:p>
    <w:p w14:paraId="5C4F596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3.08750 y=13.44750</w:t>
      </w:r>
    </w:p>
    <w:p w14:paraId="6B264B3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4.38250 y=13.44750</w:t>
      </w:r>
    </w:p>
    <w:p w14:paraId="371F712A"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5.67750 y=13.44750</w:t>
      </w:r>
    </w:p>
    <w:p w14:paraId="4C45347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6.97250 y=13.44750</w:t>
      </w:r>
    </w:p>
    <w:p w14:paraId="15FBB69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8.26750 y=13.44750</w:t>
      </w:r>
    </w:p>
    <w:p w14:paraId="7499940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 9.56250 y=13.44750</w:t>
      </w:r>
    </w:p>
    <w:p w14:paraId="42CFC494"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x=10.85750 y=13.44750</w:t>
      </w:r>
    </w:p>
    <w:p w14:paraId="37B52FE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2 origin x=12.15250 y=13.44750</w:t>
      </w:r>
    </w:p>
    <w:p w14:paraId="3CFC0F2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3 origin x=13.44750 y=13.44750</w:t>
      </w:r>
    </w:p>
    <w:p w14:paraId="2CDE41A2"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 water</w:t>
      </w:r>
      <w:proofErr w:type="gramEnd"/>
      <w:r w:rsidRPr="00050337">
        <w:rPr>
          <w:rFonts w:ascii="Lucida Console" w:hAnsi="Lucida Console"/>
          <w:sz w:val="20"/>
          <w:szCs w:val="20"/>
        </w:rPr>
        <w:t xml:space="preserve"> rods</w:t>
      </w:r>
    </w:p>
    <w:p w14:paraId="65889DF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5 origin x=8.915 y=8.915</w:t>
      </w:r>
    </w:p>
    <w:p w14:paraId="452217AD"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hole</w:t>
      </w:r>
      <w:proofErr w:type="gramEnd"/>
      <w:r w:rsidRPr="00050337">
        <w:rPr>
          <w:rFonts w:ascii="Lucida Console" w:hAnsi="Lucida Console"/>
          <w:sz w:val="20"/>
          <w:szCs w:val="20"/>
        </w:rPr>
        <w:t xml:space="preserve"> 5 origin x=6.325 y=6.325</w:t>
      </w:r>
    </w:p>
    <w:p w14:paraId="47F3321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 1 10 -13 -23 -33 -43</w:t>
      </w:r>
    </w:p>
    <w:p w14:paraId="57D5B249"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3 1 13  11</w:t>
      </w:r>
    </w:p>
    <w:p w14:paraId="3C25861E"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3 1 23  21</w:t>
      </w:r>
    </w:p>
    <w:p w14:paraId="0697007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3 1 33  31</w:t>
      </w:r>
    </w:p>
    <w:p w14:paraId="69F8DD31"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3 1 43  41</w:t>
      </w:r>
    </w:p>
    <w:p w14:paraId="0B4AA17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6 1 20 -10 -13 -23 -33 -43</w:t>
      </w:r>
    </w:p>
    <w:p w14:paraId="4920B44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6 1 13  12 -11</w:t>
      </w:r>
    </w:p>
    <w:p w14:paraId="06B02F02"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6 1 23  22 -21</w:t>
      </w:r>
    </w:p>
    <w:p w14:paraId="300809D6"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6 1 33  32 -31</w:t>
      </w:r>
    </w:p>
    <w:p w14:paraId="3F6E33BB"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6 1 43  42 -41</w:t>
      </w:r>
    </w:p>
    <w:p w14:paraId="01C3506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5 1 30 -20 </w:t>
      </w:r>
    </w:p>
    <w:p w14:paraId="3CEF1245"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5 1 13 -12</w:t>
      </w:r>
    </w:p>
    <w:p w14:paraId="3A9CBF0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5 1 23 -22</w:t>
      </w:r>
    </w:p>
    <w:p w14:paraId="2A5957D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5 1 33 -32</w:t>
      </w:r>
    </w:p>
    <w:p w14:paraId="408BCD5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media</w:t>
      </w:r>
      <w:proofErr w:type="gramEnd"/>
      <w:r w:rsidRPr="00050337">
        <w:rPr>
          <w:rFonts w:ascii="Lucida Console" w:hAnsi="Lucida Console"/>
          <w:sz w:val="20"/>
          <w:szCs w:val="20"/>
        </w:rPr>
        <w:t xml:space="preserve"> 5 1 43 -42</w:t>
      </w:r>
    </w:p>
    <w:p w14:paraId="4E5059B7"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boundary</w:t>
      </w:r>
      <w:proofErr w:type="gramEnd"/>
      <w:r w:rsidRPr="00050337">
        <w:rPr>
          <w:rFonts w:ascii="Lucida Console" w:hAnsi="Lucida Console"/>
          <w:sz w:val="20"/>
          <w:szCs w:val="20"/>
        </w:rPr>
        <w:t xml:space="preserve"> 30 48 48</w:t>
      </w:r>
    </w:p>
    <w:p w14:paraId="7B8EB1A5"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geom</w:t>
      </w:r>
    </w:p>
    <w:p w14:paraId="2C4203E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7B9D4DAC"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read</w:t>
      </w:r>
      <w:proofErr w:type="gramEnd"/>
      <w:r w:rsidRPr="00050337">
        <w:rPr>
          <w:rFonts w:ascii="Lucida Console" w:hAnsi="Lucida Console"/>
          <w:sz w:val="20"/>
          <w:szCs w:val="20"/>
        </w:rPr>
        <w:t xml:space="preserve"> bnds</w:t>
      </w:r>
    </w:p>
    <w:p w14:paraId="5CB9B0A0"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all=</w:t>
      </w:r>
      <w:proofErr w:type="gramEnd"/>
      <w:r w:rsidRPr="00050337">
        <w:rPr>
          <w:rFonts w:ascii="Lucida Console" w:hAnsi="Lucida Console"/>
          <w:sz w:val="20"/>
          <w:szCs w:val="20"/>
        </w:rPr>
        <w:t>mirror</w:t>
      </w:r>
    </w:p>
    <w:p w14:paraId="5AB9CEC1"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bnds</w:t>
      </w:r>
    </w:p>
    <w:p w14:paraId="253D99C8"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4741551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r w:rsidRPr="00050337">
        <w:rPr>
          <w:rFonts w:ascii="Lucida Console" w:hAnsi="Lucida Console"/>
          <w:sz w:val="20"/>
          <w:szCs w:val="20"/>
        </w:rPr>
        <w:t xml:space="preserve"> data</w:t>
      </w:r>
    </w:p>
    <w:p w14:paraId="306924A0"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p>
    <w:p w14:paraId="4CAED17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w:t>
      </w:r>
    </w:p>
    <w:p w14:paraId="69A76733"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=shell</w:t>
      </w:r>
    </w:p>
    <w:p w14:paraId="562EF19C" w14:textId="77777777" w:rsidR="004D5D9E" w:rsidRPr="00050337" w:rsidRDefault="004D5D9E" w:rsidP="004D5D9E">
      <w:pPr>
        <w:pStyle w:val="NoSpacing"/>
        <w:jc w:val="left"/>
        <w:rPr>
          <w:rFonts w:ascii="Lucida Console" w:hAnsi="Lucida Console"/>
          <w:sz w:val="20"/>
          <w:szCs w:val="20"/>
        </w:rPr>
      </w:pPr>
      <w:r w:rsidRPr="00050337">
        <w:rPr>
          <w:rFonts w:ascii="Lucida Console" w:hAnsi="Lucida Console"/>
          <w:sz w:val="20"/>
          <w:szCs w:val="20"/>
        </w:rPr>
        <w:t xml:space="preserve">  </w:t>
      </w:r>
      <w:proofErr w:type="gramStart"/>
      <w:r w:rsidRPr="00050337">
        <w:rPr>
          <w:rFonts w:ascii="Lucida Console" w:hAnsi="Lucida Console"/>
          <w:sz w:val="20"/>
          <w:szCs w:val="20"/>
        </w:rPr>
        <w:t>cp</w:t>
      </w:r>
      <w:proofErr w:type="gramEnd"/>
      <w:r w:rsidRPr="00050337">
        <w:rPr>
          <w:rFonts w:ascii="Lucida Console" w:hAnsi="Lucida Console"/>
          <w:sz w:val="20"/>
          <w:szCs w:val="20"/>
        </w:rPr>
        <w:t xml:space="preserve"> ft33f001.cmbined $RTNDIR/namelibrary</w:t>
      </w:r>
    </w:p>
    <w:p w14:paraId="61F7BE98" w14:textId="77777777" w:rsidR="004D5D9E" w:rsidRPr="00050337" w:rsidRDefault="004D5D9E" w:rsidP="004D5D9E">
      <w:pPr>
        <w:pStyle w:val="NoSpacing"/>
        <w:jc w:val="left"/>
        <w:rPr>
          <w:rFonts w:ascii="Lucida Console" w:hAnsi="Lucida Console"/>
          <w:sz w:val="20"/>
          <w:szCs w:val="20"/>
        </w:rPr>
      </w:pPr>
      <w:proofErr w:type="gramStart"/>
      <w:r w:rsidRPr="00050337">
        <w:rPr>
          <w:rFonts w:ascii="Lucida Console" w:hAnsi="Lucida Console"/>
          <w:sz w:val="20"/>
          <w:szCs w:val="20"/>
        </w:rPr>
        <w:t>end</w:t>
      </w:r>
      <w:proofErr w:type="gramEnd"/>
    </w:p>
    <w:p w14:paraId="7857ADA6" w14:textId="77777777" w:rsidR="004D5D9E" w:rsidRPr="00050337" w:rsidRDefault="004D5D9E" w:rsidP="004D5D9E">
      <w:pPr>
        <w:pStyle w:val="NoSpacing"/>
        <w:jc w:val="left"/>
        <w:rPr>
          <w:sz w:val="20"/>
          <w:szCs w:val="20"/>
        </w:rPr>
      </w:pPr>
    </w:p>
    <w:p w14:paraId="56ADB0BD" w14:textId="77777777" w:rsidR="004D5D9E" w:rsidRPr="00050337" w:rsidRDefault="004D5D9E" w:rsidP="004D5D9E">
      <w:pPr>
        <w:pStyle w:val="NoSpacing"/>
        <w:jc w:val="left"/>
        <w:rPr>
          <w:sz w:val="20"/>
          <w:szCs w:val="20"/>
        </w:rPr>
      </w:pPr>
    </w:p>
    <w:p w14:paraId="6062312D" w14:textId="77777777" w:rsidR="009E1D84" w:rsidRDefault="009E1D84" w:rsidP="004D5D9E">
      <w:pPr>
        <w:jc w:val="left"/>
        <w:rPr>
          <w:sz w:val="20"/>
          <w:szCs w:val="20"/>
        </w:rPr>
      </w:pPr>
    </w:p>
    <w:p w14:paraId="3205887B" w14:textId="77777777" w:rsidR="004D5D9E" w:rsidRPr="004D5D9E" w:rsidRDefault="004D5D9E" w:rsidP="004D5D9E">
      <w:pPr>
        <w:jc w:val="left"/>
        <w:rPr>
          <w:rFonts w:cs="Times New Roman"/>
          <w:b/>
          <w:sz w:val="28"/>
          <w:szCs w:val="24"/>
        </w:rPr>
      </w:pPr>
      <w:r w:rsidRPr="004D5D9E">
        <w:rPr>
          <w:rFonts w:cs="Times New Roman"/>
          <w:b/>
          <w:sz w:val="28"/>
          <w:szCs w:val="24"/>
        </w:rPr>
        <w:lastRenderedPageBreak/>
        <w:t xml:space="preserve">Appendix </w:t>
      </w:r>
      <w:r>
        <w:rPr>
          <w:rFonts w:cs="Times New Roman"/>
          <w:b/>
          <w:sz w:val="28"/>
          <w:szCs w:val="24"/>
        </w:rPr>
        <w:t>B: Representative BWR NESTLE Input</w:t>
      </w:r>
    </w:p>
    <w:p w14:paraId="1951973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Representative BWR Zircaloy Core </w:t>
      </w:r>
    </w:p>
    <w:p w14:paraId="6A22421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read</w:t>
      </w:r>
      <w:proofErr w:type="gramEnd"/>
      <w:r>
        <w:rPr>
          <w:rFonts w:ascii="Lucida Console" w:hAnsi="Lucida Console" w:cs="Lucida Console"/>
          <w:sz w:val="20"/>
          <w:szCs w:val="20"/>
        </w:rPr>
        <w:t xml:space="preserve"> parameter</w:t>
      </w:r>
    </w:p>
    <w:p w14:paraId="3F4D450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xsecfile=</w:t>
      </w:r>
      <w:proofErr w:type="gramEnd"/>
      <w:r>
        <w:rPr>
          <w:rFonts w:ascii="Lucida Console" w:hAnsi="Lucida Console" w:cs="Lucida Console"/>
          <w:sz w:val="20"/>
          <w:szCs w:val="20"/>
        </w:rPr>
        <w:t>XsecFile.xsec</w:t>
      </w:r>
    </w:p>
    <w:p w14:paraId="125E79A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thfeedback=</w:t>
      </w:r>
      <w:proofErr w:type="gramEnd"/>
      <w:r>
        <w:rPr>
          <w:rFonts w:ascii="Lucida Console" w:hAnsi="Lucida Console" w:cs="Lucida Console"/>
          <w:sz w:val="20"/>
          <w:szCs w:val="20"/>
        </w:rPr>
        <w:t>yes</w:t>
      </w:r>
    </w:p>
    <w:p w14:paraId="4D6EFB6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bocexpfile=</w:t>
      </w:r>
      <w:proofErr w:type="gramEnd"/>
      <w:r>
        <w:rPr>
          <w:rFonts w:ascii="Lucida Console" w:hAnsi="Lucida Console" w:cs="Lucida Console"/>
          <w:sz w:val="20"/>
          <w:szCs w:val="20"/>
        </w:rPr>
        <w:t>ShuffleExp.txt</w:t>
      </w:r>
    </w:p>
    <w:p w14:paraId="35AE72A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geometry=</w:t>
      </w:r>
      <w:proofErr w:type="gramEnd"/>
      <w:r>
        <w:rPr>
          <w:rFonts w:ascii="Lucida Console" w:hAnsi="Lucida Console" w:cs="Lucida Console"/>
          <w:sz w:val="20"/>
          <w:szCs w:val="20"/>
        </w:rPr>
        <w:t>cart</w:t>
      </w:r>
    </w:p>
    <w:p w14:paraId="0072712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thsolver=</w:t>
      </w:r>
      <w:proofErr w:type="gramEnd"/>
      <w:r>
        <w:rPr>
          <w:rFonts w:ascii="Lucida Console" w:hAnsi="Lucida Console" w:cs="Lucida Console"/>
          <w:sz w:val="20"/>
          <w:szCs w:val="20"/>
        </w:rPr>
        <w:t>dfm</w:t>
      </w:r>
    </w:p>
    <w:p w14:paraId="416AB26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quality=</w:t>
      </w:r>
      <w:proofErr w:type="gramEnd"/>
      <w:r>
        <w:rPr>
          <w:rFonts w:ascii="Lucida Console" w:hAnsi="Lucida Console" w:cs="Lucida Console"/>
          <w:sz w:val="20"/>
          <w:szCs w:val="20"/>
        </w:rPr>
        <w:t>epri</w:t>
      </w:r>
    </w:p>
    <w:p w14:paraId="354A710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void=</w:t>
      </w:r>
      <w:proofErr w:type="gramEnd"/>
      <w:r>
        <w:rPr>
          <w:rFonts w:ascii="Lucida Console" w:hAnsi="Lucida Console" w:cs="Lucida Console"/>
          <w:sz w:val="20"/>
          <w:szCs w:val="20"/>
        </w:rPr>
        <w:t>zf</w:t>
      </w:r>
    </w:p>
    <w:p w14:paraId="03DF28E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powerden=</w:t>
      </w:r>
      <w:proofErr w:type="gramEnd"/>
      <w:r>
        <w:rPr>
          <w:rFonts w:ascii="Lucida Console" w:hAnsi="Lucida Console" w:cs="Lucida Console"/>
          <w:sz w:val="20"/>
          <w:szCs w:val="20"/>
        </w:rPr>
        <w:t>50.66</w:t>
      </w:r>
    </w:p>
    <w:p w14:paraId="23302BF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t2n=yes</w:t>
      </w:r>
    </w:p>
    <w:p w14:paraId="0A1254C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longedit=</w:t>
      </w:r>
      <w:proofErr w:type="gramEnd"/>
      <w:r>
        <w:rPr>
          <w:rFonts w:ascii="Lucida Console" w:hAnsi="Lucida Console" w:cs="Lucida Console"/>
          <w:sz w:val="20"/>
          <w:szCs w:val="20"/>
        </w:rPr>
        <w:t>yes</w:t>
      </w:r>
    </w:p>
    <w:p w14:paraId="7C4A3D4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depl_update=3</w:t>
      </w:r>
    </w:p>
    <w:p w14:paraId="471E1D2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accel=</w:t>
      </w:r>
      <w:proofErr w:type="gramEnd"/>
      <w:r>
        <w:rPr>
          <w:rFonts w:ascii="Lucida Console" w:hAnsi="Lucida Console" w:cs="Lucida Console"/>
          <w:sz w:val="20"/>
          <w:szCs w:val="20"/>
        </w:rPr>
        <w:t>cheby</w:t>
      </w:r>
    </w:p>
    <w:p w14:paraId="6951DA0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chebymax=</w:t>
      </w:r>
      <w:proofErr w:type="gramEnd"/>
      <w:r>
        <w:rPr>
          <w:rFonts w:ascii="Lucida Console" w:hAnsi="Lucida Console" w:cs="Lucida Console"/>
          <w:sz w:val="20"/>
          <w:szCs w:val="20"/>
        </w:rPr>
        <w:t xml:space="preserve">5 </w:t>
      </w:r>
    </w:p>
    <w:p w14:paraId="04253AF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diffusionmethod=</w:t>
      </w:r>
      <w:proofErr w:type="gramEnd"/>
      <w:r>
        <w:rPr>
          <w:rFonts w:ascii="Lucida Console" w:hAnsi="Lucida Console" w:cs="Lucida Console"/>
          <w:sz w:val="20"/>
          <w:szCs w:val="20"/>
        </w:rPr>
        <w:t>fdm</w:t>
      </w:r>
    </w:p>
    <w:p w14:paraId="2354176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outers=</w:t>
      </w:r>
      <w:proofErr w:type="gramEnd"/>
      <w:r>
        <w:rPr>
          <w:rFonts w:ascii="Lucida Console" w:hAnsi="Lucida Console" w:cs="Lucida Console"/>
          <w:sz w:val="20"/>
          <w:szCs w:val="20"/>
        </w:rPr>
        <w:t>100</w:t>
      </w:r>
    </w:p>
    <w:p w14:paraId="6C13C0E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demand_conv=yes</w:t>
      </w:r>
    </w:p>
    <w:p w14:paraId="4CDC7E5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specshiftcorr=</w:t>
      </w:r>
      <w:proofErr w:type="gramEnd"/>
      <w:r>
        <w:rPr>
          <w:rFonts w:ascii="Lucida Console" w:hAnsi="Lucida Console" w:cs="Lucida Console"/>
          <w:sz w:val="20"/>
          <w:szCs w:val="20"/>
        </w:rPr>
        <w:t>no</w:t>
      </w:r>
    </w:p>
    <w:p w14:paraId="41E7A56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therms=</w:t>
      </w:r>
      <w:proofErr w:type="gramEnd"/>
      <w:r>
        <w:rPr>
          <w:rFonts w:ascii="Lucida Console" w:hAnsi="Lucida Console" w:cs="Lucida Console"/>
          <w:sz w:val="20"/>
          <w:szCs w:val="20"/>
        </w:rPr>
        <w:t>1</w:t>
      </w:r>
    </w:p>
    <w:p w14:paraId="6EC1131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deplete=</w:t>
      </w:r>
      <w:proofErr w:type="gramEnd"/>
      <w:r>
        <w:rPr>
          <w:rFonts w:ascii="Lucida Console" w:hAnsi="Lucida Console" w:cs="Lucida Console"/>
          <w:sz w:val="20"/>
          <w:szCs w:val="20"/>
        </w:rPr>
        <w:t>yes</w:t>
      </w:r>
    </w:p>
    <w:p w14:paraId="00056B4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thupdate=</w:t>
      </w:r>
      <w:proofErr w:type="gramEnd"/>
      <w:r>
        <w:rPr>
          <w:rFonts w:ascii="Lucida Console" w:hAnsi="Lucida Console" w:cs="Lucida Console"/>
          <w:sz w:val="20"/>
          <w:szCs w:val="20"/>
        </w:rPr>
        <w:t>5</w:t>
      </w:r>
    </w:p>
    <w:p w14:paraId="6AF1AFF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microdeplete=</w:t>
      </w:r>
      <w:proofErr w:type="gramEnd"/>
      <w:r>
        <w:rPr>
          <w:rFonts w:ascii="Lucida Console" w:hAnsi="Lucida Console" w:cs="Lucida Console"/>
          <w:sz w:val="20"/>
          <w:szCs w:val="20"/>
        </w:rPr>
        <w:t>no</w:t>
      </w:r>
    </w:p>
    <w:p w14:paraId="54F7F4B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ratiohmfuel=</w:t>
      </w:r>
      <w:proofErr w:type="gramEnd"/>
      <w:r>
        <w:rPr>
          <w:rFonts w:ascii="Lucida Console" w:hAnsi="Lucida Console" w:cs="Lucida Console"/>
          <w:sz w:val="20"/>
          <w:szCs w:val="20"/>
        </w:rPr>
        <w:t>0.881481</w:t>
      </w:r>
    </w:p>
    <w:p w14:paraId="4773E66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sym=</w:t>
      </w:r>
      <w:proofErr w:type="gramEnd"/>
      <w:r>
        <w:rPr>
          <w:rFonts w:ascii="Lucida Console" w:hAnsi="Lucida Console" w:cs="Lucida Console"/>
          <w:sz w:val="20"/>
          <w:szCs w:val="20"/>
        </w:rPr>
        <w:t>fourth</w:t>
      </w:r>
    </w:p>
    <w:p w14:paraId="445BA43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eps_pres=5E-5</w:t>
      </w:r>
    </w:p>
    <w:p w14:paraId="0AB68EF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inputedit=</w:t>
      </w:r>
      <w:proofErr w:type="gramEnd"/>
      <w:r>
        <w:rPr>
          <w:rFonts w:ascii="Lucida Console" w:hAnsi="Lucida Console" w:cs="Lucida Console"/>
          <w:sz w:val="20"/>
          <w:szCs w:val="20"/>
        </w:rPr>
        <w:t>no</w:t>
      </w:r>
    </w:p>
    <w:p w14:paraId="189694A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printscreen=</w:t>
      </w:r>
      <w:proofErr w:type="gramEnd"/>
      <w:r>
        <w:rPr>
          <w:rFonts w:ascii="Lucida Console" w:hAnsi="Lucida Console" w:cs="Lucida Console"/>
          <w:sz w:val="20"/>
          <w:szCs w:val="20"/>
        </w:rPr>
        <w:t>no</w:t>
      </w:r>
    </w:p>
    <w:p w14:paraId="63D1DA7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output_format=new</w:t>
      </w:r>
    </w:p>
    <w:p w14:paraId="04B683C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output_conv_data=no</w:t>
      </w:r>
    </w:p>
    <w:p w14:paraId="68EA823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end</w:t>
      </w:r>
      <w:proofErr w:type="gramEnd"/>
      <w:r>
        <w:rPr>
          <w:rFonts w:ascii="Lucida Console" w:hAnsi="Lucida Console" w:cs="Lucida Console"/>
          <w:sz w:val="20"/>
          <w:szCs w:val="20"/>
        </w:rPr>
        <w:t xml:space="preserve"> parameter</w:t>
      </w:r>
    </w:p>
    <w:p w14:paraId="0792942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1D49A48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read</w:t>
      </w:r>
      <w:proofErr w:type="gramEnd"/>
      <w:r>
        <w:rPr>
          <w:rFonts w:ascii="Lucida Console" w:hAnsi="Lucida Console" w:cs="Lucida Console"/>
          <w:sz w:val="20"/>
          <w:szCs w:val="20"/>
        </w:rPr>
        <w:t xml:space="preserve"> edit</w:t>
      </w:r>
    </w:p>
    <w:p w14:paraId="2D38E5F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kinf</w:t>
      </w:r>
      <w:proofErr w:type="gramEnd"/>
    </w:p>
    <w:p w14:paraId="7ADC282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coolantden</w:t>
      </w:r>
      <w:proofErr w:type="gramEnd"/>
    </w:p>
    <w:p w14:paraId="6AFD22B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coolanttemp</w:t>
      </w:r>
      <w:proofErr w:type="gramEnd"/>
    </w:p>
    <w:p w14:paraId="0C29389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prel</w:t>
      </w:r>
      <w:proofErr w:type="gramEnd"/>
    </w:p>
    <w:p w14:paraId="246DEE8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exp</w:t>
      </w:r>
      <w:proofErr w:type="gramEnd"/>
    </w:p>
    <w:p w14:paraId="28645E7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power  visit</w:t>
      </w:r>
      <w:proofErr w:type="gramEnd"/>
      <w:r>
        <w:rPr>
          <w:rFonts w:ascii="Lucida Console" w:hAnsi="Lucida Console" w:cs="Lucida Console"/>
          <w:sz w:val="20"/>
          <w:szCs w:val="20"/>
        </w:rPr>
        <w:t>=yes gap=0.2 0.2 end visit</w:t>
      </w:r>
    </w:p>
    <w:p w14:paraId="2D883E7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end</w:t>
      </w:r>
      <w:proofErr w:type="gramEnd"/>
      <w:r>
        <w:rPr>
          <w:rFonts w:ascii="Lucida Console" w:hAnsi="Lucida Console" w:cs="Lucida Console"/>
          <w:sz w:val="20"/>
          <w:szCs w:val="20"/>
        </w:rPr>
        <w:t xml:space="preserve"> edit</w:t>
      </w:r>
    </w:p>
    <w:p w14:paraId="5ED1292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
    <w:p w14:paraId="1924B9C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read</w:t>
      </w:r>
      <w:proofErr w:type="gramEnd"/>
      <w:r>
        <w:rPr>
          <w:rFonts w:ascii="Lucida Console" w:hAnsi="Lucida Console" w:cs="Lucida Console"/>
          <w:sz w:val="20"/>
          <w:szCs w:val="20"/>
        </w:rPr>
        <w:t xml:space="preserve"> heattransfer</w:t>
      </w:r>
    </w:p>
    <w:p w14:paraId="30F7BD6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redistributeflow=</w:t>
      </w:r>
      <w:proofErr w:type="gramEnd"/>
      <w:r>
        <w:rPr>
          <w:rFonts w:ascii="Lucida Console" w:hAnsi="Lucida Console" w:cs="Lucida Console"/>
          <w:sz w:val="20"/>
          <w:szCs w:val="20"/>
        </w:rPr>
        <w:t>mass</w:t>
      </w:r>
    </w:p>
    <w:p w14:paraId="2B2984B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total</w:t>
      </w:r>
      <w:proofErr w:type="gramEnd"/>
      <w:r>
        <w:rPr>
          <w:rFonts w:ascii="Lucida Console" w:hAnsi="Lucida Console" w:cs="Lucida Console"/>
          <w:sz w:val="20"/>
          <w:szCs w:val="20"/>
        </w:rPr>
        <w:t xml:space="preserve"> core flow rate Mlbm/hr</w:t>
      </w:r>
    </w:p>
    <w:p w14:paraId="72D51CB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mcore=</w:t>
      </w:r>
      <w:proofErr w:type="gramEnd"/>
      <w:r>
        <w:rPr>
          <w:rFonts w:ascii="Lucida Console" w:hAnsi="Lucida Console" w:cs="Lucida Console"/>
          <w:sz w:val="20"/>
          <w:szCs w:val="20"/>
        </w:rPr>
        <w:t>15.375</w:t>
      </w:r>
    </w:p>
    <w:p w14:paraId="74BBC08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61D67E8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Bypass</w:t>
      </w:r>
      <w:proofErr w:type="gramEnd"/>
      <w:r>
        <w:rPr>
          <w:rFonts w:ascii="Lucida Console" w:hAnsi="Lucida Console" w:cs="Lucida Console"/>
          <w:sz w:val="20"/>
          <w:szCs w:val="20"/>
        </w:rPr>
        <w:t xml:space="preserve"> (Mlbm/hr) = 0.0205 * Massflow</w:t>
      </w:r>
    </w:p>
    <w:p w14:paraId="7CC08F0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bypass=</w:t>
      </w:r>
      <w:proofErr w:type="gramEnd"/>
      <w:r>
        <w:rPr>
          <w:rFonts w:ascii="Lucida Console" w:hAnsi="Lucida Console" w:cs="Lucida Console"/>
          <w:sz w:val="20"/>
          <w:szCs w:val="20"/>
        </w:rPr>
        <w:t>0.315</w:t>
      </w:r>
    </w:p>
    <w:p w14:paraId="023CE4A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51CA91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Inlet</w:t>
      </w:r>
      <w:proofErr w:type="gramEnd"/>
      <w:r>
        <w:rPr>
          <w:rFonts w:ascii="Lucida Console" w:hAnsi="Lucida Console" w:cs="Lucida Console"/>
          <w:sz w:val="20"/>
          <w:szCs w:val="20"/>
        </w:rPr>
        <w:t xml:space="preserve"> coolant mass velocity (lb/hr-ft2) entering bottom fuel</w:t>
      </w:r>
    </w:p>
    <w:p w14:paraId="6790C48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Calculated</w:t>
      </w:r>
      <w:proofErr w:type="gramEnd"/>
      <w:r>
        <w:rPr>
          <w:rFonts w:ascii="Lucida Console" w:hAnsi="Lucida Console" w:cs="Lucida Console"/>
          <w:sz w:val="20"/>
          <w:szCs w:val="20"/>
        </w:rPr>
        <w:t xml:space="preserve"> using PB mass flow rate and representative wetted area</w:t>
      </w:r>
    </w:p>
    <w:p w14:paraId="37D178A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g=1474217</w:t>
      </w:r>
    </w:p>
    <w:p w14:paraId="7A0E0B7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7DB811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At</w:t>
      </w:r>
      <w:proofErr w:type="gramEnd"/>
      <w:r>
        <w:rPr>
          <w:rFonts w:ascii="Lucida Console" w:hAnsi="Lucida Console" w:cs="Lucida Console"/>
          <w:sz w:val="20"/>
          <w:szCs w:val="20"/>
        </w:rPr>
        <w:t xml:space="preserve"> Pressure of 1035 psia from NIST</w:t>
      </w:r>
    </w:p>
    <w:p w14:paraId="0AF34E1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rhovsat=</w:t>
      </w:r>
      <w:proofErr w:type="gramEnd"/>
      <w:r>
        <w:rPr>
          <w:rFonts w:ascii="Lucida Console" w:hAnsi="Lucida Console" w:cs="Lucida Console"/>
          <w:sz w:val="20"/>
          <w:szCs w:val="20"/>
        </w:rPr>
        <w:t>2.3299</w:t>
      </w:r>
    </w:p>
    <w:p w14:paraId="33082EF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tsat=</w:t>
      </w:r>
      <w:proofErr w:type="gramEnd"/>
      <w:r>
        <w:rPr>
          <w:rFonts w:ascii="Lucida Console" w:hAnsi="Lucida Console" w:cs="Lucida Console"/>
          <w:sz w:val="20"/>
          <w:szCs w:val="20"/>
        </w:rPr>
        <w:t>548.84</w:t>
      </w:r>
    </w:p>
    <w:p w14:paraId="5BFF56D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tinlet=</w:t>
      </w:r>
      <w:proofErr w:type="gramEnd"/>
      <w:r>
        <w:rPr>
          <w:rFonts w:ascii="Lucida Console" w:hAnsi="Lucida Console" w:cs="Lucida Console"/>
          <w:sz w:val="20"/>
          <w:szCs w:val="20"/>
        </w:rPr>
        <w:t>527.485</w:t>
      </w:r>
    </w:p>
    <w:p w14:paraId="6DB308A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tinletmin=</w:t>
      </w:r>
      <w:proofErr w:type="gramEnd"/>
      <w:r>
        <w:rPr>
          <w:rFonts w:ascii="Lucida Console" w:hAnsi="Lucida Console" w:cs="Lucida Console"/>
          <w:sz w:val="20"/>
          <w:szCs w:val="20"/>
        </w:rPr>
        <w:t>500</w:t>
      </w:r>
    </w:p>
    <w:p w14:paraId="0861239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tinletmax=</w:t>
      </w:r>
      <w:proofErr w:type="gramEnd"/>
      <w:r>
        <w:rPr>
          <w:rFonts w:ascii="Lucida Console" w:hAnsi="Lucida Console" w:cs="Lucida Console"/>
          <w:sz w:val="20"/>
          <w:szCs w:val="20"/>
        </w:rPr>
        <w:t>550</w:t>
      </w:r>
    </w:p>
    <w:p w14:paraId="119E9DF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D1DCA5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Saturation</w:t>
      </w:r>
      <w:proofErr w:type="gramEnd"/>
      <w:r>
        <w:rPr>
          <w:rFonts w:ascii="Lucida Console" w:hAnsi="Lucida Console" w:cs="Lucida Console"/>
          <w:sz w:val="20"/>
          <w:szCs w:val="20"/>
        </w:rPr>
        <w:t xml:space="preserve"> Energy of Coolant BTU/lbm from NIST</w:t>
      </w:r>
    </w:p>
    <w:p w14:paraId="4AE94B3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uvsat=</w:t>
      </w:r>
      <w:proofErr w:type="gramEnd"/>
      <w:r>
        <w:rPr>
          <w:rFonts w:ascii="Lucida Console" w:hAnsi="Lucida Console" w:cs="Lucida Console"/>
          <w:sz w:val="20"/>
          <w:szCs w:val="20"/>
        </w:rPr>
        <w:t>1192.0</w:t>
      </w:r>
    </w:p>
    <w:p w14:paraId="72F8743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
    <w:p w14:paraId="408F7B5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FITTING</w:t>
      </w:r>
      <w:proofErr w:type="gramEnd"/>
      <w:r>
        <w:rPr>
          <w:rFonts w:ascii="Lucida Console" w:hAnsi="Lucida Console" w:cs="Lucida Console"/>
          <w:sz w:val="20"/>
          <w:szCs w:val="20"/>
        </w:rPr>
        <w:t xml:space="preserve"> COEFFICIENTS FOR COOLANT LIQUID DENSITY VS. INTERNAL ENERGY (COF_RHOWC)</w:t>
      </w:r>
    </w:p>
    <w:p w14:paraId="5B7C4B5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rho_vs_</w:t>
      </w:r>
      <w:proofErr w:type="gramStart"/>
      <w:r>
        <w:rPr>
          <w:rFonts w:ascii="Lucida Console" w:hAnsi="Lucida Console" w:cs="Lucida Console"/>
          <w:sz w:val="20"/>
          <w:szCs w:val="20"/>
        </w:rPr>
        <w:t>ufit  96.45734</w:t>
      </w:r>
      <w:proofErr w:type="gramEnd"/>
      <w:r>
        <w:rPr>
          <w:rFonts w:ascii="Lucida Console" w:hAnsi="Lucida Console" w:cs="Lucida Console"/>
          <w:sz w:val="20"/>
          <w:szCs w:val="20"/>
        </w:rPr>
        <w:t xml:space="preserve">  -0.1949999 3.0895701E-4  -2.1894648E-7  end rho_vs_ufit</w:t>
      </w:r>
    </w:p>
    <w:p w14:paraId="4A6431E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FITTING</w:t>
      </w:r>
      <w:proofErr w:type="gramEnd"/>
      <w:r>
        <w:rPr>
          <w:rFonts w:ascii="Lucida Console" w:hAnsi="Lucida Console" w:cs="Lucida Console"/>
          <w:sz w:val="20"/>
          <w:szCs w:val="20"/>
        </w:rPr>
        <w:t xml:space="preserve"> COEFFICIENTS FOR COOLANT LIQUID TEMP VS. INTERNAL ENERGY (COF_TCOL)  </w:t>
      </w:r>
    </w:p>
    <w:p w14:paraId="00DB8C8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t_vs_</w:t>
      </w:r>
      <w:proofErr w:type="gramStart"/>
      <w:r>
        <w:rPr>
          <w:rFonts w:ascii="Lucida Console" w:hAnsi="Lucida Console" w:cs="Lucida Console"/>
          <w:sz w:val="20"/>
          <w:szCs w:val="20"/>
        </w:rPr>
        <w:t>ufit  341.7741</w:t>
      </w:r>
      <w:proofErr w:type="gramEnd"/>
      <w:r>
        <w:rPr>
          <w:rFonts w:ascii="Lucida Console" w:hAnsi="Lucida Console" w:cs="Lucida Console"/>
          <w:sz w:val="20"/>
          <w:szCs w:val="20"/>
        </w:rPr>
        <w:t xml:space="preserve">  -0.7333801  3.3770057E-3  -2.4074573E-6  end t_vs_ufit</w:t>
      </w:r>
    </w:p>
    <w:p w14:paraId="01AB5C4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FITTING</w:t>
      </w:r>
      <w:proofErr w:type="gramEnd"/>
      <w:r>
        <w:rPr>
          <w:rFonts w:ascii="Lucida Console" w:hAnsi="Lucida Console" w:cs="Lucida Console"/>
          <w:sz w:val="20"/>
          <w:szCs w:val="20"/>
        </w:rPr>
        <w:t xml:space="preserve"> COEFFICIENTS FOR COOLANT INTERNAL ENERGY VS. TEMP (COF_UCOL)</w:t>
      </w:r>
    </w:p>
    <w:p w14:paraId="25FF067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u_vs_</w:t>
      </w:r>
      <w:proofErr w:type="gramStart"/>
      <w:r>
        <w:rPr>
          <w:rFonts w:ascii="Lucida Console" w:hAnsi="Lucida Console" w:cs="Lucida Console"/>
          <w:sz w:val="20"/>
          <w:szCs w:val="20"/>
        </w:rPr>
        <w:t>Tfit  -</w:t>
      </w:r>
      <w:proofErr w:type="gramEnd"/>
      <w:r>
        <w:rPr>
          <w:rFonts w:ascii="Lucida Console" w:hAnsi="Lucida Console" w:cs="Lucida Console"/>
          <w:sz w:val="20"/>
          <w:szCs w:val="20"/>
        </w:rPr>
        <w:t>4712.978  25.73904  -4.3827321E-2  2.6161042E-5  end u_vs_Tfit</w:t>
      </w:r>
    </w:p>
    <w:p w14:paraId="43A7512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4E097B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end</w:t>
      </w:r>
      <w:proofErr w:type="gramEnd"/>
      <w:r>
        <w:rPr>
          <w:rFonts w:ascii="Lucida Console" w:hAnsi="Lucida Console" w:cs="Lucida Console"/>
          <w:sz w:val="20"/>
          <w:szCs w:val="20"/>
        </w:rPr>
        <w:t xml:space="preserve"> heattransfer </w:t>
      </w:r>
    </w:p>
    <w:p w14:paraId="37297AD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4D5B1DE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read</w:t>
      </w:r>
      <w:proofErr w:type="gramEnd"/>
      <w:r>
        <w:rPr>
          <w:rFonts w:ascii="Lucida Console" w:hAnsi="Lucida Console" w:cs="Lucida Console"/>
          <w:sz w:val="20"/>
          <w:szCs w:val="20"/>
        </w:rPr>
        <w:t xml:space="preserve"> fuelmech</w:t>
      </w:r>
    </w:p>
    <w:p w14:paraId="3B978B9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FD3548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Density</w:t>
      </w:r>
      <w:proofErr w:type="gramEnd"/>
      <w:r>
        <w:rPr>
          <w:rFonts w:ascii="Lucida Console" w:hAnsi="Lucida Console" w:cs="Lucida Console"/>
          <w:sz w:val="20"/>
          <w:szCs w:val="20"/>
        </w:rPr>
        <w:t xml:space="preserve"> = 10.45 g/cc </w:t>
      </w:r>
    </w:p>
    <w:p w14:paraId="295DD69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wc=</w:t>
      </w:r>
      <w:proofErr w:type="gramEnd"/>
      <w:r>
        <w:rPr>
          <w:rFonts w:ascii="Lucida Console" w:hAnsi="Lucida Console" w:cs="Lucida Console"/>
          <w:sz w:val="20"/>
          <w:szCs w:val="20"/>
        </w:rPr>
        <w:t>1.0 wp=0.85 fiss_frac=0.975</w:t>
      </w:r>
    </w:p>
    <w:p w14:paraId="0FFE571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fuelden=</w:t>
      </w:r>
      <w:proofErr w:type="gramEnd"/>
      <w:r>
        <w:rPr>
          <w:rFonts w:ascii="Lucida Console" w:hAnsi="Lucida Console" w:cs="Lucida Console"/>
          <w:sz w:val="20"/>
          <w:szCs w:val="20"/>
        </w:rPr>
        <w:t>652.37</w:t>
      </w:r>
    </w:p>
    <w:p w14:paraId="2B60E1D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EC46A3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Peach Bottom TH parameters ########</w:t>
      </w:r>
    </w:p>
    <w:p w14:paraId="102C996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1A05C5D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heff_vs_t</w:t>
      </w:r>
      <w:proofErr w:type="gramEnd"/>
      <w:r>
        <w:rPr>
          <w:rFonts w:ascii="Lucida Console" w:hAnsi="Lucida Console" w:cs="Lucida Console"/>
          <w:sz w:val="20"/>
          <w:szCs w:val="20"/>
        </w:rPr>
        <w:t xml:space="preserve"> 0.78363116E-01 -0.19203380E-04 0.73696720E-08 end heff_vs_t</w:t>
      </w:r>
    </w:p>
    <w:p w14:paraId="6A8345C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tavg_vs_</w:t>
      </w:r>
      <w:proofErr w:type="gramStart"/>
      <w:r>
        <w:rPr>
          <w:rFonts w:ascii="Lucida Console" w:hAnsi="Lucida Console" w:cs="Lucida Console"/>
          <w:sz w:val="20"/>
          <w:szCs w:val="20"/>
        </w:rPr>
        <w:t>lpd  530.2</w:t>
      </w:r>
      <w:proofErr w:type="gramEnd"/>
      <w:r>
        <w:rPr>
          <w:rFonts w:ascii="Lucida Console" w:hAnsi="Lucida Console" w:cs="Lucida Console"/>
          <w:sz w:val="20"/>
          <w:szCs w:val="20"/>
        </w:rPr>
        <w:t xml:space="preserve"> 99.429 0.0075 end tavg_vs_lpd</w:t>
      </w:r>
    </w:p>
    <w:p w14:paraId="4919F05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tsurf_vs_</w:t>
      </w:r>
      <w:proofErr w:type="gramStart"/>
      <w:r>
        <w:rPr>
          <w:rFonts w:ascii="Lucida Console" w:hAnsi="Lucida Console" w:cs="Lucida Console"/>
          <w:sz w:val="20"/>
          <w:szCs w:val="20"/>
        </w:rPr>
        <w:t>lpd  530.2</w:t>
      </w:r>
      <w:proofErr w:type="gramEnd"/>
      <w:r>
        <w:rPr>
          <w:rFonts w:ascii="Lucida Console" w:hAnsi="Lucida Console" w:cs="Lucida Console"/>
          <w:sz w:val="20"/>
          <w:szCs w:val="20"/>
        </w:rPr>
        <w:t xml:space="preserve"> 99.429 0.0075 end tsurf_vs_lpd</w:t>
      </w:r>
    </w:p>
    <w:p w14:paraId="032600C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cp_vs_tfit</w:t>
      </w:r>
      <w:proofErr w:type="gramEnd"/>
      <w:r>
        <w:rPr>
          <w:rFonts w:ascii="Lucida Console" w:hAnsi="Lucida Console" w:cs="Lucida Console"/>
          <w:sz w:val="20"/>
          <w:szCs w:val="20"/>
        </w:rPr>
        <w:t xml:space="preserve"> 0.8110000193E-01 end cp_vs_tfit</w:t>
      </w:r>
    </w:p>
    <w:p w14:paraId="63F90E4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64A5FC9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w:t>
      </w:r>
    </w:p>
    <w:p w14:paraId="4ED8C15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6C7E0A2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lattice_ids   1 2 3 4 5 6 7 end lattice_ids</w:t>
      </w:r>
    </w:p>
    <w:p w14:paraId="3A59964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19E6D62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Lattices: ############</w:t>
      </w:r>
      <w:proofErr w:type="gramEnd"/>
    </w:p>
    <w:p w14:paraId="47B3083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1</w:t>
      </w:r>
      <w:proofErr w:type="gramEnd"/>
      <w:r>
        <w:rPr>
          <w:rFonts w:ascii="Lucida Console" w:hAnsi="Lucida Console" w:cs="Lucida Console"/>
          <w:sz w:val="20"/>
          <w:szCs w:val="20"/>
        </w:rPr>
        <w:t>: Peach Bottom Reflector (bottom + peripheral)</w:t>
      </w:r>
    </w:p>
    <w:p w14:paraId="3A4DE7B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2</w:t>
      </w:r>
      <w:proofErr w:type="gramEnd"/>
      <w:r>
        <w:rPr>
          <w:rFonts w:ascii="Lucida Console" w:hAnsi="Lucida Console" w:cs="Lucida Console"/>
          <w:sz w:val="20"/>
          <w:szCs w:val="20"/>
        </w:rPr>
        <w:t>: Peach Bottom Reflector (top)</w:t>
      </w:r>
    </w:p>
    <w:p w14:paraId="59C0106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3</w:t>
      </w:r>
      <w:proofErr w:type="gramEnd"/>
      <w:r>
        <w:rPr>
          <w:rFonts w:ascii="Lucida Console" w:hAnsi="Lucida Console" w:cs="Lucida Console"/>
          <w:sz w:val="20"/>
          <w:szCs w:val="20"/>
        </w:rPr>
        <w:t>: Lower Natural Zone</w:t>
      </w:r>
    </w:p>
    <w:p w14:paraId="3841477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4</w:t>
      </w:r>
      <w:proofErr w:type="gramEnd"/>
      <w:r>
        <w:rPr>
          <w:rFonts w:ascii="Lucida Console" w:hAnsi="Lucida Console" w:cs="Lucida Console"/>
          <w:sz w:val="20"/>
          <w:szCs w:val="20"/>
        </w:rPr>
        <w:t>: Power Shaping Zone</w:t>
      </w:r>
    </w:p>
    <w:p w14:paraId="3B5F34C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5</w:t>
      </w:r>
      <w:proofErr w:type="gramEnd"/>
      <w:r>
        <w:rPr>
          <w:rFonts w:ascii="Lucida Console" w:hAnsi="Lucida Console" w:cs="Lucida Console"/>
          <w:sz w:val="20"/>
          <w:szCs w:val="20"/>
        </w:rPr>
        <w:t>: Dominant Region</w:t>
      </w:r>
    </w:p>
    <w:p w14:paraId="4E77EDD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6</w:t>
      </w:r>
      <w:proofErr w:type="gramEnd"/>
      <w:r>
        <w:rPr>
          <w:rFonts w:ascii="Lucida Console" w:hAnsi="Lucida Console" w:cs="Lucida Console"/>
          <w:sz w:val="20"/>
          <w:szCs w:val="20"/>
        </w:rPr>
        <w:t>: Vanishing Region (14 empty locations)</w:t>
      </w:r>
    </w:p>
    <w:p w14:paraId="69EC122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7</w:t>
      </w:r>
      <w:proofErr w:type="gramEnd"/>
      <w:r>
        <w:rPr>
          <w:rFonts w:ascii="Lucida Console" w:hAnsi="Lucida Console" w:cs="Lucida Console"/>
          <w:sz w:val="20"/>
          <w:szCs w:val="20"/>
        </w:rPr>
        <w:t>: Upper Natueral Zone (14 empty locations)</w:t>
      </w:r>
    </w:p>
    <w:p w14:paraId="2080E26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B7A051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numfrods</w:t>
      </w:r>
      <w:proofErr w:type="gramEnd"/>
      <w:r>
        <w:rPr>
          <w:rFonts w:ascii="Lucida Console" w:hAnsi="Lucida Console" w:cs="Lucida Console"/>
          <w:sz w:val="20"/>
          <w:szCs w:val="20"/>
        </w:rPr>
        <w:t xml:space="preserve"> </w:t>
      </w:r>
      <w:r>
        <w:rPr>
          <w:rFonts w:ascii="Lucida Console" w:hAnsi="Lucida Console" w:cs="Lucida Console"/>
          <w:sz w:val="20"/>
          <w:szCs w:val="20"/>
        </w:rPr>
        <w:tab/>
        <w:t xml:space="preserve">2r0.0  3r92 </w:t>
      </w:r>
      <w:r>
        <w:rPr>
          <w:rFonts w:ascii="Lucida Console" w:hAnsi="Lucida Console" w:cs="Lucida Console"/>
          <w:sz w:val="20"/>
          <w:szCs w:val="20"/>
        </w:rPr>
        <w:tab/>
      </w:r>
      <w:r>
        <w:rPr>
          <w:rFonts w:ascii="Lucida Console" w:hAnsi="Lucida Console" w:cs="Lucida Console"/>
          <w:sz w:val="20"/>
          <w:szCs w:val="20"/>
        </w:rPr>
        <w:tab/>
        <w:t xml:space="preserve">2r78     </w:t>
      </w:r>
      <w:r>
        <w:rPr>
          <w:rFonts w:ascii="Lucida Console" w:hAnsi="Lucida Console" w:cs="Lucida Console"/>
          <w:sz w:val="20"/>
          <w:szCs w:val="20"/>
        </w:rPr>
        <w:tab/>
        <w:t>end numfrods</w:t>
      </w:r>
    </w:p>
    <w:p w14:paraId="63216F3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fuelfrac</w:t>
      </w:r>
      <w:proofErr w:type="gramEnd"/>
      <w:r>
        <w:rPr>
          <w:rFonts w:ascii="Lucida Console" w:hAnsi="Lucida Console" w:cs="Lucida Console"/>
          <w:sz w:val="20"/>
          <w:szCs w:val="20"/>
        </w:rPr>
        <w:t xml:space="preserve"> </w:t>
      </w:r>
      <w:r>
        <w:rPr>
          <w:rFonts w:ascii="Lucida Console" w:hAnsi="Lucida Console" w:cs="Lucida Console"/>
          <w:sz w:val="20"/>
          <w:szCs w:val="20"/>
        </w:rPr>
        <w:tab/>
        <w:t xml:space="preserve">2r0.0  3r0.23864 </w:t>
      </w:r>
      <w:r>
        <w:rPr>
          <w:rFonts w:ascii="Lucida Console" w:hAnsi="Lucida Console" w:cs="Lucida Console"/>
          <w:sz w:val="20"/>
          <w:szCs w:val="20"/>
        </w:rPr>
        <w:tab/>
        <w:t>2r0.20232</w:t>
      </w:r>
      <w:r>
        <w:rPr>
          <w:rFonts w:ascii="Lucida Console" w:hAnsi="Lucida Console" w:cs="Lucida Console"/>
          <w:sz w:val="20"/>
          <w:szCs w:val="20"/>
        </w:rPr>
        <w:tab/>
        <w:t>end fuelfrac</w:t>
      </w:r>
    </w:p>
    <w:p w14:paraId="14B4452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fpinrad</w:t>
      </w:r>
      <w:proofErr w:type="gramEnd"/>
      <w:r>
        <w:rPr>
          <w:rFonts w:ascii="Lucida Console" w:hAnsi="Lucida Console" w:cs="Lucida Console"/>
          <w:sz w:val="20"/>
          <w:szCs w:val="20"/>
        </w:rPr>
        <w:t xml:space="preserve">  </w:t>
      </w:r>
      <w:r>
        <w:rPr>
          <w:rFonts w:ascii="Lucida Console" w:hAnsi="Lucida Console" w:cs="Lucida Console"/>
          <w:sz w:val="20"/>
          <w:szCs w:val="20"/>
        </w:rPr>
        <w:tab/>
        <w:t xml:space="preserve">2r0.0  3r0.1732  </w:t>
      </w:r>
      <w:r>
        <w:rPr>
          <w:rFonts w:ascii="Lucida Console" w:hAnsi="Lucida Console" w:cs="Lucida Console"/>
          <w:sz w:val="20"/>
          <w:szCs w:val="20"/>
        </w:rPr>
        <w:tab/>
        <w:t xml:space="preserve">2r0.1732 </w:t>
      </w:r>
      <w:r>
        <w:rPr>
          <w:rFonts w:ascii="Lucida Console" w:hAnsi="Lucida Console" w:cs="Lucida Console"/>
          <w:sz w:val="20"/>
          <w:szCs w:val="20"/>
        </w:rPr>
        <w:tab/>
        <w:t>end fpinrad</w:t>
      </w:r>
    </w:p>
    <w:p w14:paraId="62CCED0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frodrad</w:t>
      </w:r>
      <w:proofErr w:type="gramEnd"/>
      <w:r>
        <w:rPr>
          <w:rFonts w:ascii="Lucida Console" w:hAnsi="Lucida Console" w:cs="Lucida Console"/>
          <w:sz w:val="20"/>
          <w:szCs w:val="20"/>
        </w:rPr>
        <w:t xml:space="preserve">  </w:t>
      </w:r>
      <w:r>
        <w:rPr>
          <w:rFonts w:ascii="Lucida Console" w:hAnsi="Lucida Console" w:cs="Lucida Console"/>
          <w:sz w:val="20"/>
          <w:szCs w:val="20"/>
        </w:rPr>
        <w:tab/>
        <w:t xml:space="preserve">2r0.0  3r0.2008  </w:t>
      </w:r>
      <w:r>
        <w:rPr>
          <w:rFonts w:ascii="Lucida Console" w:hAnsi="Lucida Console" w:cs="Lucida Console"/>
          <w:sz w:val="20"/>
          <w:szCs w:val="20"/>
        </w:rPr>
        <w:tab/>
        <w:t>2r0.2008</w:t>
      </w:r>
      <w:r>
        <w:rPr>
          <w:rFonts w:ascii="Lucida Console" w:hAnsi="Lucida Console" w:cs="Lucida Console"/>
          <w:sz w:val="20"/>
          <w:szCs w:val="20"/>
        </w:rPr>
        <w:tab/>
        <w:t>end frodrad</w:t>
      </w:r>
    </w:p>
    <w:p w14:paraId="6AAD66C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bunarea</w:t>
      </w:r>
      <w:proofErr w:type="gramEnd"/>
      <w:r>
        <w:rPr>
          <w:rFonts w:ascii="Lucida Console" w:hAnsi="Lucida Console" w:cs="Lucida Console"/>
          <w:sz w:val="20"/>
          <w:szCs w:val="20"/>
        </w:rPr>
        <w:t xml:space="preserve">  </w:t>
      </w:r>
      <w:r>
        <w:rPr>
          <w:rFonts w:ascii="Lucida Console" w:hAnsi="Lucida Console" w:cs="Lucida Console"/>
          <w:sz w:val="20"/>
          <w:szCs w:val="20"/>
        </w:rPr>
        <w:tab/>
        <w:t xml:space="preserve">2r0.25 3r0.25621 </w:t>
      </w:r>
      <w:r>
        <w:rPr>
          <w:rFonts w:ascii="Lucida Console" w:hAnsi="Lucida Console" w:cs="Lucida Console"/>
          <w:sz w:val="20"/>
          <w:szCs w:val="20"/>
        </w:rPr>
        <w:tab/>
        <w:t>2r0.25621</w:t>
      </w:r>
      <w:r>
        <w:rPr>
          <w:rFonts w:ascii="Lucida Console" w:hAnsi="Lucida Console" w:cs="Lucida Console"/>
          <w:sz w:val="20"/>
          <w:szCs w:val="20"/>
        </w:rPr>
        <w:tab/>
        <w:t>end bunarea</w:t>
      </w:r>
    </w:p>
    <w:p w14:paraId="194BCBB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hydiam</w:t>
      </w:r>
      <w:proofErr w:type="gramEnd"/>
      <w:r>
        <w:rPr>
          <w:rFonts w:ascii="Lucida Console" w:hAnsi="Lucida Console" w:cs="Lucida Console"/>
          <w:sz w:val="20"/>
          <w:szCs w:val="20"/>
        </w:rPr>
        <w:t xml:space="preserve">   </w:t>
      </w:r>
      <w:r>
        <w:rPr>
          <w:rFonts w:ascii="Lucida Console" w:hAnsi="Lucida Console" w:cs="Lucida Console"/>
          <w:sz w:val="20"/>
          <w:szCs w:val="20"/>
        </w:rPr>
        <w:tab/>
        <w:t xml:space="preserve">2r0.5  3r0.03575 </w:t>
      </w:r>
      <w:r>
        <w:rPr>
          <w:rFonts w:ascii="Lucida Console" w:hAnsi="Lucida Console" w:cs="Lucida Console"/>
          <w:sz w:val="20"/>
          <w:szCs w:val="20"/>
        </w:rPr>
        <w:tab/>
        <w:t>2r0.03575</w:t>
      </w:r>
      <w:r>
        <w:rPr>
          <w:rFonts w:ascii="Lucida Console" w:hAnsi="Lucida Console" w:cs="Lucida Console"/>
          <w:sz w:val="20"/>
          <w:szCs w:val="20"/>
        </w:rPr>
        <w:tab/>
        <w:t>end hydiam</w:t>
      </w:r>
    </w:p>
    <w:p w14:paraId="0BD2D78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eqdiam</w:t>
      </w:r>
      <w:proofErr w:type="gramEnd"/>
      <w:r>
        <w:rPr>
          <w:rFonts w:ascii="Lucida Console" w:hAnsi="Lucida Console" w:cs="Lucida Console"/>
          <w:sz w:val="20"/>
          <w:szCs w:val="20"/>
        </w:rPr>
        <w:t xml:space="preserve">   </w:t>
      </w:r>
      <w:r>
        <w:rPr>
          <w:rFonts w:ascii="Lucida Console" w:hAnsi="Lucida Console" w:cs="Lucida Console"/>
          <w:sz w:val="20"/>
          <w:szCs w:val="20"/>
        </w:rPr>
        <w:tab/>
        <w:t xml:space="preserve">2r0.5  3r0.03575 </w:t>
      </w:r>
      <w:r>
        <w:rPr>
          <w:rFonts w:ascii="Lucida Console" w:hAnsi="Lucida Console" w:cs="Lucida Console"/>
          <w:sz w:val="20"/>
          <w:szCs w:val="20"/>
        </w:rPr>
        <w:tab/>
        <w:t>2r0.03575</w:t>
      </w:r>
      <w:r>
        <w:rPr>
          <w:rFonts w:ascii="Lucida Console" w:hAnsi="Lucida Console" w:cs="Lucida Console"/>
          <w:sz w:val="20"/>
          <w:szCs w:val="20"/>
        </w:rPr>
        <w:tab/>
        <w:t>end eqdiam</w:t>
      </w:r>
    </w:p>
    <w:p w14:paraId="32A39B7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4990891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wtfri</w:t>
      </w:r>
      <w:proofErr w:type="gramEnd"/>
      <w:r>
        <w:rPr>
          <w:rFonts w:ascii="Lucida Console" w:hAnsi="Lucida Console" w:cs="Lucida Console"/>
          <w:sz w:val="20"/>
          <w:szCs w:val="20"/>
        </w:rPr>
        <w:t xml:space="preserve">  </w:t>
      </w:r>
      <w:r>
        <w:rPr>
          <w:rFonts w:ascii="Lucida Console" w:hAnsi="Lucida Console" w:cs="Lucida Console"/>
          <w:sz w:val="20"/>
          <w:szCs w:val="20"/>
        </w:rPr>
        <w:tab/>
        <w:t xml:space="preserve">2r1.0 </w:t>
      </w:r>
      <w:r>
        <w:rPr>
          <w:rFonts w:ascii="Lucida Console" w:hAnsi="Lucida Console" w:cs="Lucida Console"/>
          <w:sz w:val="20"/>
          <w:szCs w:val="20"/>
        </w:rPr>
        <w:tab/>
        <w:t xml:space="preserve">3r0.57325   </w:t>
      </w:r>
      <w:r>
        <w:rPr>
          <w:rFonts w:ascii="Lucida Console" w:hAnsi="Lucida Console" w:cs="Lucida Console"/>
          <w:sz w:val="20"/>
          <w:szCs w:val="20"/>
        </w:rPr>
        <w:tab/>
        <w:t>2r0.57325</w:t>
      </w:r>
      <w:r>
        <w:rPr>
          <w:rFonts w:ascii="Lucida Console" w:hAnsi="Lucida Console" w:cs="Lucida Console"/>
          <w:sz w:val="20"/>
          <w:szCs w:val="20"/>
        </w:rPr>
        <w:tab/>
        <w:t>end wtfri</w:t>
      </w:r>
    </w:p>
    <w:p w14:paraId="48E6FA5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wtfro</w:t>
      </w:r>
      <w:proofErr w:type="gramEnd"/>
      <w:r>
        <w:rPr>
          <w:rFonts w:ascii="Lucida Console" w:hAnsi="Lucida Console" w:cs="Lucida Console"/>
          <w:sz w:val="20"/>
          <w:szCs w:val="20"/>
        </w:rPr>
        <w:t xml:space="preserve">  </w:t>
      </w:r>
      <w:r>
        <w:rPr>
          <w:rFonts w:ascii="Lucida Console" w:hAnsi="Lucida Console" w:cs="Lucida Console"/>
          <w:sz w:val="20"/>
          <w:szCs w:val="20"/>
        </w:rPr>
        <w:tab/>
        <w:t xml:space="preserve">2r1.0 </w:t>
      </w:r>
      <w:r>
        <w:rPr>
          <w:rFonts w:ascii="Lucida Console" w:hAnsi="Lucida Console" w:cs="Lucida Console"/>
          <w:sz w:val="20"/>
          <w:szCs w:val="20"/>
        </w:rPr>
        <w:tab/>
        <w:t xml:space="preserve">3r0.57325   </w:t>
      </w:r>
      <w:r>
        <w:rPr>
          <w:rFonts w:ascii="Lucida Console" w:hAnsi="Lucida Console" w:cs="Lucida Console"/>
          <w:sz w:val="20"/>
          <w:szCs w:val="20"/>
        </w:rPr>
        <w:tab/>
        <w:t>2r0.57325</w:t>
      </w:r>
      <w:r>
        <w:rPr>
          <w:rFonts w:ascii="Lucida Console" w:hAnsi="Lucida Console" w:cs="Lucida Console"/>
          <w:sz w:val="20"/>
          <w:szCs w:val="20"/>
        </w:rPr>
        <w:tab/>
        <w:t>end wtfro</w:t>
      </w:r>
    </w:p>
    <w:p w14:paraId="601D9E2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6B4A6A1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0D48EE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w:t>
      </w:r>
    </w:p>
    <w:p w14:paraId="157A334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C0D964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w:t>
      </w:r>
      <w:proofErr w:type="gramEnd"/>
      <w:r>
        <w:rPr>
          <w:rFonts w:ascii="Lucida Console" w:hAnsi="Lucida Console" w:cs="Lucida Console"/>
          <w:sz w:val="20"/>
          <w:szCs w:val="20"/>
        </w:rPr>
        <w:t>*** Orifice Loss Coefficient from Coolant Hydraulics Handbook *******</w:t>
      </w:r>
    </w:p>
    <w:p w14:paraId="004A6B0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41F8811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losscoeffs</w:t>
      </w:r>
      <w:proofErr w:type="gramEnd"/>
      <w:r>
        <w:rPr>
          <w:rFonts w:ascii="Lucida Console" w:hAnsi="Lucida Console" w:cs="Lucida Console"/>
          <w:sz w:val="20"/>
          <w:szCs w:val="20"/>
        </w:rPr>
        <w:t xml:space="preserve"> 7r1.0 end losscoeffs</w:t>
      </w:r>
    </w:p>
    <w:p w14:paraId="757E681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losscoeffs_loc 0 0 0 0 0 0 0 end losscoeffs_loc</w:t>
      </w:r>
    </w:p>
    <w:p w14:paraId="0D6C1CD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roofErr w:type="gramStart"/>
      <w:r>
        <w:rPr>
          <w:rFonts w:ascii="Lucida Console" w:hAnsi="Lucida Console" w:cs="Lucida Console"/>
          <w:sz w:val="20"/>
          <w:szCs w:val="20"/>
        </w:rPr>
        <w:t>orificecoeff  15.836</w:t>
      </w:r>
      <w:proofErr w:type="gramEnd"/>
      <w:r>
        <w:rPr>
          <w:rFonts w:ascii="Lucida Console" w:hAnsi="Lucida Console" w:cs="Lucida Console"/>
          <w:sz w:val="20"/>
          <w:szCs w:val="20"/>
        </w:rPr>
        <w:t xml:space="preserve">  15.836  end orificecoeff</w:t>
      </w:r>
    </w:p>
    <w:p w14:paraId="079A251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orificecoeff_ids 1 </w:t>
      </w:r>
      <w:proofErr w:type="gramStart"/>
      <w:r>
        <w:rPr>
          <w:rFonts w:ascii="Lucida Console" w:hAnsi="Lucida Console" w:cs="Lucida Console"/>
          <w:sz w:val="20"/>
          <w:szCs w:val="20"/>
        </w:rPr>
        <w:t>2  end</w:t>
      </w:r>
      <w:proofErr w:type="gramEnd"/>
      <w:r>
        <w:rPr>
          <w:rFonts w:ascii="Lucida Console" w:hAnsi="Lucida Console" w:cs="Lucida Console"/>
          <w:sz w:val="20"/>
          <w:szCs w:val="20"/>
        </w:rPr>
        <w:t xml:space="preserve"> orificecoeff_ids</w:t>
      </w:r>
    </w:p>
    <w:p w14:paraId="3F8EA34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E1B8BA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lastRenderedPageBreak/>
        <w:t>end</w:t>
      </w:r>
      <w:proofErr w:type="gramEnd"/>
      <w:r>
        <w:rPr>
          <w:rFonts w:ascii="Lucida Console" w:hAnsi="Lucida Console" w:cs="Lucida Console"/>
          <w:sz w:val="20"/>
          <w:szCs w:val="20"/>
        </w:rPr>
        <w:t xml:space="preserve"> fuelmech </w:t>
      </w:r>
    </w:p>
    <w:p w14:paraId="61CA495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86D1C4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 #</w:t>
      </w:r>
      <w:proofErr w:type="gramEnd"/>
      <w:r>
        <w:rPr>
          <w:rFonts w:ascii="Lucida Console" w:hAnsi="Lucida Console" w:cs="Lucida Console"/>
          <w:sz w:val="20"/>
          <w:szCs w:val="20"/>
        </w:rPr>
        <w:t>########## Percent Power/Flow from Design Report ################</w:t>
      </w:r>
    </w:p>
    <w:p w14:paraId="7CE278B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173D71F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read</w:t>
      </w:r>
      <w:proofErr w:type="gramEnd"/>
      <w:r>
        <w:rPr>
          <w:rFonts w:ascii="Lucida Console" w:hAnsi="Lucida Console" w:cs="Lucida Console"/>
          <w:sz w:val="20"/>
          <w:szCs w:val="20"/>
        </w:rPr>
        <w:t xml:space="preserve"> burndata</w:t>
      </w:r>
    </w:p>
    <w:p w14:paraId="2B4A3C8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pres=</w:t>
      </w:r>
      <w:proofErr w:type="gramEnd"/>
      <w:r>
        <w:rPr>
          <w:rFonts w:ascii="Lucida Console" w:hAnsi="Lucida Console" w:cs="Lucida Console"/>
          <w:sz w:val="20"/>
          <w:szCs w:val="20"/>
        </w:rPr>
        <w:t>1035</w:t>
      </w:r>
    </w:p>
    <w:p w14:paraId="5A01673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2E207E5" w14:textId="3FCA86F7" w:rsidR="004D5D9E" w:rsidRDefault="00E354C3"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burnup</w:t>
      </w:r>
      <w:proofErr w:type="gramEnd"/>
      <w:r>
        <w:rPr>
          <w:rFonts w:ascii="Lucida Console" w:hAnsi="Lucida Console" w:cs="Lucida Console"/>
          <w:sz w:val="20"/>
          <w:szCs w:val="20"/>
        </w:rPr>
        <w:t>=</w:t>
      </w:r>
      <w:r>
        <w:rPr>
          <w:rFonts w:ascii="Lucida Console" w:hAnsi="Lucida Console" w:cs="Lucida Console"/>
          <w:sz w:val="20"/>
          <w:szCs w:val="20"/>
        </w:rPr>
        <w:tab/>
        <w:t xml:space="preserve">0    sm=eq xe=eq crod_id=1 pctpwr=100 bypass=0.315 tinlet=527.485 </w:t>
      </w:r>
      <w:r w:rsidR="004D5D9E">
        <w:rPr>
          <w:rFonts w:ascii="Lucida Console" w:hAnsi="Lucida Console" w:cs="Lucida Console"/>
          <w:sz w:val="20"/>
          <w:szCs w:val="20"/>
        </w:rPr>
        <w:t>end</w:t>
      </w:r>
    </w:p>
    <w:p w14:paraId="34559E47" w14:textId="641EA453" w:rsidR="004D5D9E" w:rsidRDefault="00E354C3"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burnup</w:t>
      </w:r>
      <w:proofErr w:type="gramEnd"/>
      <w:r>
        <w:rPr>
          <w:rFonts w:ascii="Lucida Console" w:hAnsi="Lucida Console" w:cs="Lucida Console"/>
          <w:sz w:val="20"/>
          <w:szCs w:val="20"/>
        </w:rPr>
        <w:t>=</w:t>
      </w:r>
      <w:r>
        <w:rPr>
          <w:rFonts w:ascii="Lucida Console" w:hAnsi="Lucida Console" w:cs="Lucida Console"/>
          <w:sz w:val="20"/>
          <w:szCs w:val="20"/>
        </w:rPr>
        <w:tab/>
        <w:t xml:space="preserve">2000 sm=eq xe=eq crod_id=2 pctpwr=100 bypass=0.315 tinlet=527.485 </w:t>
      </w:r>
      <w:r w:rsidR="004D5D9E">
        <w:rPr>
          <w:rFonts w:ascii="Lucida Console" w:hAnsi="Lucida Console" w:cs="Lucida Console"/>
          <w:sz w:val="20"/>
          <w:szCs w:val="20"/>
        </w:rPr>
        <w:t>end</w:t>
      </w:r>
    </w:p>
    <w:p w14:paraId="53A5EB93" w14:textId="0833E82E"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bur</w:t>
      </w:r>
      <w:r w:rsidR="00E354C3">
        <w:rPr>
          <w:rFonts w:ascii="Lucida Console" w:hAnsi="Lucida Console" w:cs="Lucida Console"/>
          <w:sz w:val="20"/>
          <w:szCs w:val="20"/>
        </w:rPr>
        <w:t>nup</w:t>
      </w:r>
      <w:proofErr w:type="gramEnd"/>
      <w:r w:rsidR="00E354C3">
        <w:rPr>
          <w:rFonts w:ascii="Lucida Console" w:hAnsi="Lucida Console" w:cs="Lucida Console"/>
          <w:sz w:val="20"/>
          <w:szCs w:val="20"/>
        </w:rPr>
        <w:t>=</w:t>
      </w:r>
      <w:r w:rsidR="00E354C3">
        <w:rPr>
          <w:rFonts w:ascii="Lucida Console" w:hAnsi="Lucida Console" w:cs="Lucida Console"/>
          <w:sz w:val="20"/>
          <w:szCs w:val="20"/>
        </w:rPr>
        <w:tab/>
        <w:t xml:space="preserve">4000 sm=eq xe=eq crod_id=3 </w:t>
      </w:r>
      <w:r>
        <w:rPr>
          <w:rFonts w:ascii="Lucida Console" w:hAnsi="Lucida Console" w:cs="Lucida Console"/>
          <w:sz w:val="20"/>
          <w:szCs w:val="20"/>
        </w:rPr>
        <w:t>pctpwr=100</w:t>
      </w:r>
      <w:r w:rsidR="00E354C3">
        <w:rPr>
          <w:rFonts w:ascii="Lucida Console" w:hAnsi="Lucida Console" w:cs="Lucida Console"/>
          <w:sz w:val="20"/>
          <w:szCs w:val="20"/>
        </w:rPr>
        <w:t xml:space="preserve"> bypass=0.315 tinlet=527.485 </w:t>
      </w:r>
      <w:r>
        <w:rPr>
          <w:rFonts w:ascii="Lucida Console" w:hAnsi="Lucida Console" w:cs="Lucida Console"/>
          <w:sz w:val="20"/>
          <w:szCs w:val="20"/>
        </w:rPr>
        <w:t>end</w:t>
      </w:r>
    </w:p>
    <w:p w14:paraId="1F4B58D2" w14:textId="3C8AC7C4"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bur</w:t>
      </w:r>
      <w:r w:rsidR="00E354C3">
        <w:rPr>
          <w:rFonts w:ascii="Lucida Console" w:hAnsi="Lucida Console" w:cs="Lucida Console"/>
          <w:sz w:val="20"/>
          <w:szCs w:val="20"/>
        </w:rPr>
        <w:t>nup</w:t>
      </w:r>
      <w:proofErr w:type="gramEnd"/>
      <w:r w:rsidR="00E354C3">
        <w:rPr>
          <w:rFonts w:ascii="Lucida Console" w:hAnsi="Lucida Console" w:cs="Lucida Console"/>
          <w:sz w:val="20"/>
          <w:szCs w:val="20"/>
        </w:rPr>
        <w:t>=</w:t>
      </w:r>
      <w:r w:rsidR="00E354C3">
        <w:rPr>
          <w:rFonts w:ascii="Lucida Console" w:hAnsi="Lucida Console" w:cs="Lucida Console"/>
          <w:sz w:val="20"/>
          <w:szCs w:val="20"/>
        </w:rPr>
        <w:tab/>
        <w:t xml:space="preserve">6000 sm=eq xe=eq crod_id=4 </w:t>
      </w:r>
      <w:r>
        <w:rPr>
          <w:rFonts w:ascii="Lucida Console" w:hAnsi="Lucida Console" w:cs="Lucida Console"/>
          <w:sz w:val="20"/>
          <w:szCs w:val="20"/>
        </w:rPr>
        <w:t>pctpwr=100</w:t>
      </w:r>
      <w:r w:rsidR="00E354C3">
        <w:rPr>
          <w:rFonts w:ascii="Lucida Console" w:hAnsi="Lucida Console" w:cs="Lucida Console"/>
          <w:sz w:val="20"/>
          <w:szCs w:val="20"/>
        </w:rPr>
        <w:t xml:space="preserve"> bypass=0.315 tinlet=527.485 </w:t>
      </w:r>
      <w:r>
        <w:rPr>
          <w:rFonts w:ascii="Lucida Console" w:hAnsi="Lucida Console" w:cs="Lucida Console"/>
          <w:sz w:val="20"/>
          <w:szCs w:val="20"/>
        </w:rPr>
        <w:t>end</w:t>
      </w:r>
    </w:p>
    <w:p w14:paraId="289B31C7" w14:textId="2E648DBD"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bur</w:t>
      </w:r>
      <w:r w:rsidR="00E354C3">
        <w:rPr>
          <w:rFonts w:ascii="Lucida Console" w:hAnsi="Lucida Console" w:cs="Lucida Console"/>
          <w:sz w:val="20"/>
          <w:szCs w:val="20"/>
        </w:rPr>
        <w:t>nup</w:t>
      </w:r>
      <w:proofErr w:type="gramEnd"/>
      <w:r w:rsidR="00E354C3">
        <w:rPr>
          <w:rFonts w:ascii="Lucida Console" w:hAnsi="Lucida Console" w:cs="Lucida Console"/>
          <w:sz w:val="20"/>
          <w:szCs w:val="20"/>
        </w:rPr>
        <w:t>=</w:t>
      </w:r>
      <w:r w:rsidR="00E354C3">
        <w:rPr>
          <w:rFonts w:ascii="Lucida Console" w:hAnsi="Lucida Console" w:cs="Lucida Console"/>
          <w:sz w:val="20"/>
          <w:szCs w:val="20"/>
        </w:rPr>
        <w:tab/>
        <w:t xml:space="preserve">8000 sm=eq xe=eq crod_id=5 </w:t>
      </w:r>
      <w:r>
        <w:rPr>
          <w:rFonts w:ascii="Lucida Console" w:hAnsi="Lucida Console" w:cs="Lucida Console"/>
          <w:sz w:val="20"/>
          <w:szCs w:val="20"/>
        </w:rPr>
        <w:t>pctpwr=100</w:t>
      </w:r>
      <w:r w:rsidR="00E354C3">
        <w:rPr>
          <w:rFonts w:ascii="Lucida Console" w:hAnsi="Lucida Console" w:cs="Lucida Console"/>
          <w:sz w:val="20"/>
          <w:szCs w:val="20"/>
        </w:rPr>
        <w:t xml:space="preserve"> bypass=0.315 tinlet=527.485 </w:t>
      </w:r>
      <w:r>
        <w:rPr>
          <w:rFonts w:ascii="Lucida Console" w:hAnsi="Lucida Console" w:cs="Lucida Console"/>
          <w:sz w:val="20"/>
          <w:szCs w:val="20"/>
        </w:rPr>
        <w:t>end</w:t>
      </w:r>
    </w:p>
    <w:p w14:paraId="64D16FB0" w14:textId="349ED87A" w:rsidR="004D5D9E" w:rsidRDefault="00E354C3"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burnup=</w:t>
      </w:r>
      <w:proofErr w:type="gramEnd"/>
      <w:r>
        <w:rPr>
          <w:rFonts w:ascii="Lucida Console" w:hAnsi="Lucida Console" w:cs="Lucida Console"/>
          <w:sz w:val="20"/>
          <w:szCs w:val="20"/>
        </w:rPr>
        <w:t xml:space="preserve">10000 sm=eq xe=eq </w:t>
      </w:r>
      <w:r w:rsidR="004D5D9E">
        <w:rPr>
          <w:rFonts w:ascii="Lucida Console" w:hAnsi="Lucida Console" w:cs="Lucida Console"/>
          <w:sz w:val="20"/>
          <w:szCs w:val="20"/>
        </w:rPr>
        <w:t>cro</w:t>
      </w:r>
      <w:r>
        <w:rPr>
          <w:rFonts w:ascii="Lucida Console" w:hAnsi="Lucida Console" w:cs="Lucida Console"/>
          <w:sz w:val="20"/>
          <w:szCs w:val="20"/>
        </w:rPr>
        <w:t xml:space="preserve">d_id=6 </w:t>
      </w:r>
      <w:r w:rsidR="004D5D9E">
        <w:rPr>
          <w:rFonts w:ascii="Lucida Console" w:hAnsi="Lucida Console" w:cs="Lucida Console"/>
          <w:sz w:val="20"/>
          <w:szCs w:val="20"/>
        </w:rPr>
        <w:t>pctpwr=100</w:t>
      </w:r>
      <w:r>
        <w:rPr>
          <w:rFonts w:ascii="Lucida Console" w:hAnsi="Lucida Console" w:cs="Lucida Console"/>
          <w:sz w:val="20"/>
          <w:szCs w:val="20"/>
        </w:rPr>
        <w:t xml:space="preserve"> bypass=0.315 tinlet=527.485 </w:t>
      </w:r>
      <w:r w:rsidR="004D5D9E">
        <w:rPr>
          <w:rFonts w:ascii="Lucida Console" w:hAnsi="Lucida Console" w:cs="Lucida Console"/>
          <w:sz w:val="20"/>
          <w:szCs w:val="20"/>
        </w:rPr>
        <w:t>end</w:t>
      </w:r>
    </w:p>
    <w:p w14:paraId="51B6AF51" w14:textId="7187D21C" w:rsidR="004D5D9E" w:rsidRDefault="00E354C3"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burnup=</w:t>
      </w:r>
      <w:proofErr w:type="gramEnd"/>
      <w:r>
        <w:rPr>
          <w:rFonts w:ascii="Lucida Console" w:hAnsi="Lucida Console" w:cs="Lucida Console"/>
          <w:sz w:val="20"/>
          <w:szCs w:val="20"/>
        </w:rPr>
        <w:t xml:space="preserve">12000 </w:t>
      </w:r>
      <w:r w:rsidR="004D5D9E">
        <w:rPr>
          <w:rFonts w:ascii="Lucida Console" w:hAnsi="Lucida Console" w:cs="Lucida Console"/>
          <w:sz w:val="20"/>
          <w:szCs w:val="20"/>
        </w:rPr>
        <w:t>s</w:t>
      </w:r>
      <w:r>
        <w:rPr>
          <w:rFonts w:ascii="Lucida Console" w:hAnsi="Lucida Console" w:cs="Lucida Console"/>
          <w:sz w:val="20"/>
          <w:szCs w:val="20"/>
        </w:rPr>
        <w:t xml:space="preserve">m=eq xe=eq crod_id=7 pctpwr=100 bypass=0.315 tinlet=527.485 </w:t>
      </w:r>
      <w:r w:rsidR="004D5D9E">
        <w:rPr>
          <w:rFonts w:ascii="Lucida Console" w:hAnsi="Lucida Console" w:cs="Lucida Console"/>
          <w:sz w:val="20"/>
          <w:szCs w:val="20"/>
        </w:rPr>
        <w:t>end</w:t>
      </w:r>
    </w:p>
    <w:p w14:paraId="6870A458" w14:textId="1F9708A7" w:rsidR="004D5D9E" w:rsidRDefault="00E354C3"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roofErr w:type="gramStart"/>
      <w:r>
        <w:rPr>
          <w:rFonts w:ascii="Lucida Console" w:hAnsi="Lucida Console" w:cs="Lucida Console"/>
          <w:sz w:val="20"/>
          <w:szCs w:val="20"/>
        </w:rPr>
        <w:t>burnup=</w:t>
      </w:r>
      <w:proofErr w:type="gramEnd"/>
      <w:r>
        <w:rPr>
          <w:rFonts w:ascii="Lucida Console" w:hAnsi="Lucida Console" w:cs="Lucida Console"/>
          <w:sz w:val="20"/>
          <w:szCs w:val="20"/>
        </w:rPr>
        <w:t xml:space="preserve">12800 </w:t>
      </w:r>
      <w:r w:rsidR="004D5D9E">
        <w:rPr>
          <w:rFonts w:ascii="Lucida Console" w:hAnsi="Lucida Console" w:cs="Lucida Console"/>
          <w:sz w:val="20"/>
          <w:szCs w:val="20"/>
        </w:rPr>
        <w:t>s</w:t>
      </w:r>
      <w:r>
        <w:rPr>
          <w:rFonts w:ascii="Lucida Console" w:hAnsi="Lucida Console" w:cs="Lucida Console"/>
          <w:sz w:val="20"/>
          <w:szCs w:val="20"/>
        </w:rPr>
        <w:t>m=eq xe=eq crod_id=8 pctpwr=100 bypass=0.315 tinlet=527.485 e</w:t>
      </w:r>
      <w:r w:rsidR="004D5D9E">
        <w:rPr>
          <w:rFonts w:ascii="Lucida Console" w:hAnsi="Lucida Console" w:cs="Lucida Console"/>
          <w:sz w:val="20"/>
          <w:szCs w:val="20"/>
        </w:rPr>
        <w:t>nd</w:t>
      </w:r>
    </w:p>
    <w:p w14:paraId="445DAFB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92AE0F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end burndata</w:t>
      </w:r>
    </w:p>
    <w:p w14:paraId="5D05234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926E91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read geom</w:t>
      </w:r>
    </w:p>
    <w:p w14:paraId="54C97EE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BOUNDARY CONDITIONS</w:t>
      </w:r>
    </w:p>
    <w:p w14:paraId="5115884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inner=cyclic</w:t>
      </w:r>
    </w:p>
    <w:p w14:paraId="421A066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outer=zero</w:t>
      </w:r>
    </w:p>
    <w:p w14:paraId="7B73710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up=zero</w:t>
      </w:r>
    </w:p>
    <w:p w14:paraId="16C3354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down=zero</w:t>
      </w:r>
    </w:p>
    <w:p w14:paraId="59E0308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orifice_id=117</w:t>
      </w:r>
    </w:p>
    <w:p w14:paraId="08B259F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D318DE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BUNDLE PITCHES</w:t>
      </w:r>
    </w:p>
    <w:p w14:paraId="311CB8F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bpitchx=6.0 </w:t>
      </w:r>
    </w:p>
    <w:p w14:paraId="35F0DFD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bpitchy=6.0</w:t>
      </w:r>
    </w:p>
    <w:p w14:paraId="74C7AAC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
    <w:p w14:paraId="2AEF30D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X/Y/Z meshes</w:t>
      </w:r>
    </w:p>
    <w:p w14:paraId="353189E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deltax 13r6.0 end deltax</w:t>
      </w:r>
    </w:p>
    <w:p w14:paraId="4883A4E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deltay 13r6.0 end deltay</w:t>
      </w:r>
    </w:p>
    <w:p w14:paraId="7D59164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bottomfuelnode=4 </w:t>
      </w:r>
    </w:p>
    <w:p w14:paraId="5DB90AD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topfuelnode=27</w:t>
      </w:r>
    </w:p>
    <w:p w14:paraId="1EE0F08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deltaz 3r3.0 24r6.0 3r3.0 end deltaz</w:t>
      </w:r>
    </w:p>
    <w:p w14:paraId="36786DD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figure 3r6 1r1 8r2 7r3 7r4 1r5 3r7 end figure</w:t>
      </w:r>
    </w:p>
    <w:p w14:paraId="451BBD0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42FBE8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Rotation for nodal ADF's</w:t>
      </w:r>
    </w:p>
    <w:p w14:paraId="46AC82E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rotation=217</w:t>
      </w:r>
    </w:p>
    <w:p w14:paraId="6327A80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366A80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1449F6C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CRODS </w:t>
      </w:r>
    </w:p>
    <w:p w14:paraId="748E0EE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crload=bottomup</w:t>
      </w:r>
    </w:p>
    <w:p w14:paraId="08DDC9F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F9A0F3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crbank 1 17 </w:t>
      </w:r>
    </w:p>
    <w:p w14:paraId="1446FFA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14.4  144   14.4  144   30.6  144 </w:t>
      </w:r>
    </w:p>
    <w:p w14:paraId="02C9C25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1131714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14.4  144   8.6   144   14.4  144 </w:t>
      </w:r>
    </w:p>
    <w:p w14:paraId="30D46DD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6085C96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22.5  144   14.4  144   52.9</w:t>
      </w:r>
    </w:p>
    <w:p w14:paraId="078C9CD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w:t>
      </w:r>
    </w:p>
    <w:p w14:paraId="386A63F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end crbank </w:t>
      </w:r>
    </w:p>
    <w:p w14:paraId="648A9FF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528F79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crbank 2 17 </w:t>
      </w:r>
    </w:p>
    <w:p w14:paraId="7FAF42A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019D08F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14.4  144   8.6   144   14.4  144 </w:t>
      </w:r>
    </w:p>
    <w:p w14:paraId="006DAEC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0AD76B0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14.4  144   8.6   144   10.8  144 </w:t>
      </w:r>
    </w:p>
    <w:p w14:paraId="0531C34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w:t>
      </w:r>
    </w:p>
    <w:p w14:paraId="611C0EF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36.7  144   144.0 144 </w:t>
      </w:r>
    </w:p>
    <w:p w14:paraId="0C76FAA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end crbank </w:t>
      </w:r>
    </w:p>
    <w:p w14:paraId="4B79899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lastRenderedPageBreak/>
        <w:t xml:space="preserve">    </w:t>
      </w:r>
    </w:p>
    <w:p w14:paraId="109F576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crbank 3 17 </w:t>
      </w:r>
    </w:p>
    <w:p w14:paraId="4BE9723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55D0B49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144   14.4  144   8.6   144   144.0 </w:t>
      </w:r>
    </w:p>
    <w:p w14:paraId="42AC558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6858F12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144   8.6   144   14.4  144   144.0 </w:t>
      </w:r>
    </w:p>
    <w:p w14:paraId="372772D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w:t>
      </w:r>
    </w:p>
    <w:p w14:paraId="7F6D01C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144   14.4  144   144.0 </w:t>
      </w:r>
    </w:p>
    <w:p w14:paraId="13EB576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end crbank </w:t>
      </w:r>
    </w:p>
    <w:p w14:paraId="46844E1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CB50CD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crbank 4 17 </w:t>
      </w:r>
    </w:p>
    <w:p w14:paraId="28B991C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144   14.4  144   8.6   144   144.0 </w:t>
      </w:r>
    </w:p>
    <w:p w14:paraId="721B6A8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20D3471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144   14.4  144   14.4  144   144.0 </w:t>
      </w:r>
    </w:p>
    <w:p w14:paraId="645BFDA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381F9D0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144   14.4  144   46.8  144</w:t>
      </w:r>
    </w:p>
    <w:p w14:paraId="2FD804D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w:t>
      </w:r>
    </w:p>
    <w:p w14:paraId="0D3D6F4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end crbank         </w:t>
      </w:r>
    </w:p>
    <w:p w14:paraId="08E3278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D71128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crbank 5 17 </w:t>
      </w:r>
    </w:p>
    <w:p w14:paraId="45DFC73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144.0 144   14.4  144   30.6  144 </w:t>
      </w:r>
    </w:p>
    <w:p w14:paraId="34EB49F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4181B4F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14.4  144   14.4  144   30.6  144 </w:t>
      </w:r>
    </w:p>
    <w:p w14:paraId="28093E7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05ADBB3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14.4  144   14.4  144   144.0</w:t>
      </w:r>
    </w:p>
    <w:p w14:paraId="74F4D77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w:t>
      </w:r>
    </w:p>
    <w:p w14:paraId="6FFBEFC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end crbank </w:t>
      </w:r>
    </w:p>
    <w:p w14:paraId="2F2AEB5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1C92D25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crbank 6 17 </w:t>
      </w:r>
    </w:p>
    <w:p w14:paraId="479CA28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5F1515F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46F7E87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2F9EDBC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144.0 144   14.4  144   144.0 144 </w:t>
      </w:r>
    </w:p>
    <w:p w14:paraId="7C61348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w:t>
      </w:r>
    </w:p>
    <w:p w14:paraId="38283E5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144.0 144   144.0 144 </w:t>
      </w:r>
    </w:p>
    <w:p w14:paraId="7AEB49D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end crbank </w:t>
      </w:r>
    </w:p>
    <w:p w14:paraId="2F7DBC7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5B2F90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crbank 7 17 </w:t>
      </w:r>
    </w:p>
    <w:p w14:paraId="3E07F09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51A6689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144   137.9 144   0.0   144   126.7</w:t>
      </w:r>
    </w:p>
    <w:p w14:paraId="7806389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21B7239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144   144.0 144   144.0 144   144.0 </w:t>
      </w:r>
    </w:p>
    <w:p w14:paraId="09DC82F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w:t>
      </w:r>
    </w:p>
    <w:p w14:paraId="6B98F8E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144   8.6   144   144.0 </w:t>
      </w:r>
    </w:p>
    <w:p w14:paraId="6692629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end crbank </w:t>
      </w:r>
    </w:p>
    <w:p w14:paraId="18DDAB4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B017E6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crbank 8 17 </w:t>
      </w:r>
    </w:p>
    <w:p w14:paraId="535A9ED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144   119.7 144   14.4  144   38.7 </w:t>
      </w:r>
    </w:p>
    <w:p w14:paraId="568D6AA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0A40CDB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144   137.9 144   144.0 144   119.7 </w:t>
      </w:r>
    </w:p>
    <w:p w14:paraId="732027B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144   144   144   144   144   144 </w:t>
      </w:r>
    </w:p>
    <w:p w14:paraId="33A1641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144   137.9 144   144.0 144</w:t>
      </w:r>
    </w:p>
    <w:p w14:paraId="5189858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144   144   144   144 </w:t>
      </w:r>
    </w:p>
    <w:p w14:paraId="23D41DE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end crbank </w:t>
      </w:r>
    </w:p>
    <w:p w14:paraId="1B8AFD0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E1AE46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8B8B62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end geom</w:t>
      </w:r>
    </w:p>
    <w:p w14:paraId="5130F09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D8B162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BDD46E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FUEL TYPE &lt;0--6&gt;&lt;6----54&gt;&lt;54----96&gt;&lt;96----138&gt;&lt;138--144&gt; </w:t>
      </w:r>
    </w:p>
    <w:p w14:paraId="32F523D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3       4         5         6         7         </w:t>
      </w:r>
    </w:p>
    <w:p w14:paraId="016CE3D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3       5         5         6         7          </w:t>
      </w:r>
    </w:p>
    <w:p w14:paraId="496DAF2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FE57BA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read arrays </w:t>
      </w:r>
    </w:p>
    <w:p w14:paraId="71C4BC9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Lower Blanket Region 0 - 6 inches ########</w:t>
      </w:r>
    </w:p>
    <w:p w14:paraId="23838BF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ara=1 nux=13 nuy=13 fill</w:t>
      </w:r>
    </w:p>
    <w:p w14:paraId="089CD1C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3 3 3 3 3 3 3 3 3 3 3 1 1</w:t>
      </w:r>
    </w:p>
    <w:p w14:paraId="03298E3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3 3 3 3 3 3 3 3 3 3 3 1 1</w:t>
      </w:r>
    </w:p>
    <w:p w14:paraId="6C41F7F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3 3 3 3 3 3 3 3 3 3 3 1 1</w:t>
      </w:r>
    </w:p>
    <w:p w14:paraId="39D3E2E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3 3 3 3 3 3 3 3 3 3 3 1 1</w:t>
      </w:r>
    </w:p>
    <w:p w14:paraId="10B5A79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3 3 3 3 3 3 3 3 3 3 3 1 1</w:t>
      </w:r>
    </w:p>
    <w:p w14:paraId="23EB319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3 3 3 3 3 3 3 3 3 3 3 1 1 </w:t>
      </w:r>
    </w:p>
    <w:p w14:paraId="10DAFAC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3 3 3 3 3 3 3 3 3 3 3 1 1</w:t>
      </w:r>
    </w:p>
    <w:p w14:paraId="3BD3543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3 3 3 3 3 3 3 3 3 3 1 1 0 </w:t>
      </w:r>
    </w:p>
    <w:p w14:paraId="3553D85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3 3 3 3 3 3 3 3 3 1 1 0 0</w:t>
      </w:r>
    </w:p>
    <w:p w14:paraId="6C9E76B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3 3 3 3 3 3 3 3 1 1 0 0 0</w:t>
      </w:r>
    </w:p>
    <w:p w14:paraId="163C20E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3 3 3 3 3 3 3 1 1 0 0 0 0</w:t>
      </w:r>
    </w:p>
    <w:p w14:paraId="1BC7AF4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1 1 1 1 1 1 1 1 0 0 0 0 0</w:t>
      </w:r>
    </w:p>
    <w:p w14:paraId="569B79A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0 0 0 0 0 0 end fill</w:t>
      </w:r>
    </w:p>
    <w:p w14:paraId="2596CD1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547BC6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PSZ/DOM Region 6 - 54 inches ########</w:t>
      </w:r>
    </w:p>
    <w:p w14:paraId="4C12D63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ara=2 nux=13 nuy=13  fill</w:t>
      </w:r>
    </w:p>
    <w:p w14:paraId="09AFE06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5 5 5 5 5 5 5 5 5 5 4 1 1</w:t>
      </w:r>
      <w:r>
        <w:rPr>
          <w:rFonts w:ascii="Lucida Console" w:hAnsi="Lucida Console" w:cs="Lucida Console"/>
          <w:sz w:val="20"/>
          <w:szCs w:val="20"/>
        </w:rPr>
        <w:tab/>
      </w:r>
    </w:p>
    <w:p w14:paraId="3B41B28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5 5 5 5 5 5 5 5 5 5 4 1 1</w:t>
      </w:r>
      <w:r>
        <w:rPr>
          <w:rFonts w:ascii="Lucida Console" w:hAnsi="Lucida Console" w:cs="Lucida Console"/>
          <w:sz w:val="20"/>
          <w:szCs w:val="20"/>
        </w:rPr>
        <w:tab/>
      </w:r>
    </w:p>
    <w:p w14:paraId="6269D0D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5 5 5 5 5 5 5 4 5 5 4 1 1</w:t>
      </w:r>
      <w:r>
        <w:rPr>
          <w:rFonts w:ascii="Lucida Console" w:hAnsi="Lucida Console" w:cs="Lucida Console"/>
          <w:sz w:val="20"/>
          <w:szCs w:val="20"/>
        </w:rPr>
        <w:tab/>
      </w:r>
    </w:p>
    <w:p w14:paraId="107D70A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5 5 5 5 5 5 5 5 4 5 4 1 1</w:t>
      </w:r>
      <w:r>
        <w:rPr>
          <w:rFonts w:ascii="Lucida Console" w:hAnsi="Lucida Console" w:cs="Lucida Console"/>
          <w:sz w:val="20"/>
          <w:szCs w:val="20"/>
        </w:rPr>
        <w:tab/>
      </w:r>
    </w:p>
    <w:p w14:paraId="375727A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5 5 5 5 4 5 5 5 5 5 5 1 1</w:t>
      </w:r>
      <w:r>
        <w:rPr>
          <w:rFonts w:ascii="Lucida Console" w:hAnsi="Lucida Console" w:cs="Lucida Console"/>
          <w:sz w:val="20"/>
          <w:szCs w:val="20"/>
        </w:rPr>
        <w:tab/>
      </w:r>
    </w:p>
    <w:p w14:paraId="259A31D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5 5 5 5 5 5 5 5 5 5 5 1 1</w:t>
      </w:r>
      <w:r>
        <w:rPr>
          <w:rFonts w:ascii="Lucida Console" w:hAnsi="Lucida Console" w:cs="Lucida Console"/>
          <w:sz w:val="20"/>
          <w:szCs w:val="20"/>
        </w:rPr>
        <w:tab/>
      </w:r>
    </w:p>
    <w:p w14:paraId="27764FE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5 5 5 5 5 5 5 5 5 5 4 1 1</w:t>
      </w:r>
      <w:r>
        <w:rPr>
          <w:rFonts w:ascii="Lucida Console" w:hAnsi="Lucida Console" w:cs="Lucida Console"/>
          <w:sz w:val="20"/>
          <w:szCs w:val="20"/>
        </w:rPr>
        <w:tab/>
      </w:r>
    </w:p>
    <w:p w14:paraId="00E4527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5 5 4 5 5 5 5 5 4 5 1 1 0</w:t>
      </w:r>
      <w:r>
        <w:rPr>
          <w:rFonts w:ascii="Lucida Console" w:hAnsi="Lucida Console" w:cs="Lucida Console"/>
          <w:sz w:val="20"/>
          <w:szCs w:val="20"/>
        </w:rPr>
        <w:tab/>
      </w:r>
    </w:p>
    <w:p w14:paraId="523CA19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5 5 5 4 5 5 5 4 5 1 1 0 0</w:t>
      </w:r>
      <w:r>
        <w:rPr>
          <w:rFonts w:ascii="Lucida Console" w:hAnsi="Lucida Console" w:cs="Lucida Console"/>
          <w:sz w:val="20"/>
          <w:szCs w:val="20"/>
        </w:rPr>
        <w:tab/>
      </w:r>
    </w:p>
    <w:p w14:paraId="7B10933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5 5 5 5 5 5 5 5 1 1 0 0 0</w:t>
      </w:r>
      <w:r>
        <w:rPr>
          <w:rFonts w:ascii="Lucida Console" w:hAnsi="Lucida Console" w:cs="Lucida Console"/>
          <w:sz w:val="20"/>
          <w:szCs w:val="20"/>
        </w:rPr>
        <w:tab/>
      </w:r>
    </w:p>
    <w:p w14:paraId="45EDB85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4 4 4 4 5 5 4 1 1 0 0 0 0</w:t>
      </w:r>
      <w:r>
        <w:rPr>
          <w:rFonts w:ascii="Lucida Console" w:hAnsi="Lucida Console" w:cs="Lucida Console"/>
          <w:sz w:val="20"/>
          <w:szCs w:val="20"/>
        </w:rPr>
        <w:tab/>
      </w:r>
    </w:p>
    <w:p w14:paraId="4BC4F2F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1 1 1 1 1 1 1 1 0 0 0 0 0</w:t>
      </w:r>
      <w:r>
        <w:rPr>
          <w:rFonts w:ascii="Lucida Console" w:hAnsi="Lucida Console" w:cs="Lucida Console"/>
          <w:sz w:val="20"/>
          <w:szCs w:val="20"/>
        </w:rPr>
        <w:tab/>
      </w:r>
    </w:p>
    <w:p w14:paraId="5DA8B02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0 0 0 0 0 0 end fill</w:t>
      </w:r>
    </w:p>
    <w:p w14:paraId="2B7AFFF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8BA963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DOM Region 54 - 96 inches ########</w:t>
      </w:r>
    </w:p>
    <w:p w14:paraId="1921ED5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ara=3 nux=13 nuy=13  fill</w:t>
      </w:r>
    </w:p>
    <w:p w14:paraId="459AD3E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5 5 5 5 5 5 5 5 5 5 5 1 1</w:t>
      </w:r>
    </w:p>
    <w:p w14:paraId="5FC0590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5 5 5 5 5 5 5 5 5 5 5 1 1</w:t>
      </w:r>
    </w:p>
    <w:p w14:paraId="7125258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5 5 5 5 5 5 5 5 5 5 5 1 1</w:t>
      </w:r>
    </w:p>
    <w:p w14:paraId="391DBC2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5 5 5 5 5 5 5 5 5 5 5 1 1</w:t>
      </w:r>
    </w:p>
    <w:p w14:paraId="44C7233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5 5 5 5 5 5 5 5 5 5 5 1 1</w:t>
      </w:r>
    </w:p>
    <w:p w14:paraId="269EDE0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5 5 5 5 5 5 5 5 5 5 5 1 1 </w:t>
      </w:r>
    </w:p>
    <w:p w14:paraId="37B8A5B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5 5 5 5 5 5 5 5 5 5 5 1 1</w:t>
      </w:r>
    </w:p>
    <w:p w14:paraId="41B9F19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5 5 5 5 5 5 5 5 5 5 1 1 0 </w:t>
      </w:r>
    </w:p>
    <w:p w14:paraId="1574EED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5 5 5 5 5 5 5 5 5 1 1 0 0</w:t>
      </w:r>
    </w:p>
    <w:p w14:paraId="41FC6E0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5 5 5 5 5 5 5 5 1 1 0 0 0</w:t>
      </w:r>
    </w:p>
    <w:p w14:paraId="0C16B36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5 5 5 5 5 5 5 1 1 0 0 0 0</w:t>
      </w:r>
    </w:p>
    <w:p w14:paraId="5DEE3A1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1 1 1 1 1 1 1 1 0 0 0 0 0</w:t>
      </w:r>
    </w:p>
    <w:p w14:paraId="1738120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0 0 0 0 0 0  end fill</w:t>
      </w:r>
    </w:p>
    <w:p w14:paraId="5D183F7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64725B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Vanishing Rod Region 96 - 138 inches ########</w:t>
      </w:r>
    </w:p>
    <w:p w14:paraId="727F093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ara=4 nux=13 nuy=13  fill</w:t>
      </w:r>
    </w:p>
    <w:p w14:paraId="0E91691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6 6 6 6 6 6 6 6 6 6 6 1 1</w:t>
      </w:r>
    </w:p>
    <w:p w14:paraId="7B7A20D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6 6 6 6 6 6 6 6 6 6 6 1 1</w:t>
      </w:r>
    </w:p>
    <w:p w14:paraId="174A2DB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6 6 6 6 6 6 6 6 6 6 6 1 1</w:t>
      </w:r>
    </w:p>
    <w:p w14:paraId="13C7E70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6 6 6 6 6 6 6 6 6 6 6 1 1</w:t>
      </w:r>
    </w:p>
    <w:p w14:paraId="76F59C9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6 6 6 6 6 6 6 6 6 6 6 1 1</w:t>
      </w:r>
    </w:p>
    <w:p w14:paraId="4785A33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6 6 6 6 6 6 6 6 6 6 6 1 1 </w:t>
      </w:r>
    </w:p>
    <w:p w14:paraId="6CD3B57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6 6 6 6 6 6 6 6 6 6 6 1 1</w:t>
      </w:r>
    </w:p>
    <w:p w14:paraId="10E5AEC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6 6 6 6 6 6 6 6 6 6 1 1 0 </w:t>
      </w:r>
    </w:p>
    <w:p w14:paraId="566F27F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6 6 6 6 6 6 6 6 6 1 1 0 0</w:t>
      </w:r>
    </w:p>
    <w:p w14:paraId="015D0B7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6 6 6 6 6 6 6 6 1 1 0 0 0</w:t>
      </w:r>
    </w:p>
    <w:p w14:paraId="698EB5A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lastRenderedPageBreak/>
        <w:t xml:space="preserve">  6 6 6 6 6 6 6 1 1 0 0 0 0</w:t>
      </w:r>
    </w:p>
    <w:p w14:paraId="22DC333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1 1 1 1 1 1 1 1 0 0 0 0 0</w:t>
      </w:r>
    </w:p>
    <w:p w14:paraId="74A6B9D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0 0 0 0 0 0  end fill</w:t>
      </w:r>
    </w:p>
    <w:p w14:paraId="3B33A77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47AD96D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Upper Blanket Region 138 - 144 inches ########</w:t>
      </w:r>
    </w:p>
    <w:p w14:paraId="6981936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ara=5 nux=13 nuy=13  fill</w:t>
      </w:r>
    </w:p>
    <w:p w14:paraId="2B0168B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7 7 7 7 7 7 7 7 7 7 7 1 1</w:t>
      </w:r>
    </w:p>
    <w:p w14:paraId="701BA73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7 7 7 7 7 7 7 7 7 7 7 1 1</w:t>
      </w:r>
    </w:p>
    <w:p w14:paraId="6FEC098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7 7 7 7 7 7 7 7 7 7 7 1 1</w:t>
      </w:r>
    </w:p>
    <w:p w14:paraId="4D35902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7 7 7 7 7 7 7 7 7 7 7 1 1</w:t>
      </w:r>
    </w:p>
    <w:p w14:paraId="1AE8E0F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7 7 7 7 7 7 7 7 7 7 7 1 1</w:t>
      </w:r>
    </w:p>
    <w:p w14:paraId="730C578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7 7 7 7 7 7 7 7 7 7 7 1 1 </w:t>
      </w:r>
    </w:p>
    <w:p w14:paraId="3B86950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7 7 7 7 7 7 7 7 7 7 7 1 1</w:t>
      </w:r>
    </w:p>
    <w:p w14:paraId="3511312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7 7 7 7 7 7 7 7 7 7 1 1 0 </w:t>
      </w:r>
    </w:p>
    <w:p w14:paraId="6F974A5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7 7 7 7 7 7 7 7 7 1 1 0 0</w:t>
      </w:r>
    </w:p>
    <w:p w14:paraId="1A0B7C5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7 7 7 7 7 7 7 7 1 1 0 0 0</w:t>
      </w:r>
    </w:p>
    <w:p w14:paraId="45ACF66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7 7 7 7 7 7 7 1 1 0 0 0 0</w:t>
      </w:r>
    </w:p>
    <w:p w14:paraId="1774E7F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1 1 1 1 1 1 1 1 0 0 0 0 0</w:t>
      </w:r>
    </w:p>
    <w:p w14:paraId="7AF3CAD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0 0 0 0 0 0 end fill</w:t>
      </w:r>
    </w:p>
    <w:p w14:paraId="75B896D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w:t>
      </w:r>
    </w:p>
    <w:p w14:paraId="457F3A3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Bottom Reflector Region ########</w:t>
      </w:r>
    </w:p>
    <w:p w14:paraId="3CE99C9C"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ara=6 nux=13 nuy=13  fill</w:t>
      </w:r>
    </w:p>
    <w:p w14:paraId="6929E8D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1 1 1 1 1 1 1 1 1 1 1 1 1</w:t>
      </w:r>
    </w:p>
    <w:p w14:paraId="07D61D4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1 1 1 1 1 1 1 1 1 1 1 1 1</w:t>
      </w:r>
    </w:p>
    <w:p w14:paraId="3C2D135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1 1 1 1 1 1 1 1 1 1 1 1 1</w:t>
      </w:r>
    </w:p>
    <w:p w14:paraId="284BCA7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1 1 1 1 1 1 1 1 1 1 1 1 1</w:t>
      </w:r>
    </w:p>
    <w:p w14:paraId="7EA2491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1 1 1 1 1 1 1 1 1 1 1 1 1</w:t>
      </w:r>
    </w:p>
    <w:p w14:paraId="32DAAA6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1 1 1 1 1 1 1 1 1 1 1 1 1 </w:t>
      </w:r>
    </w:p>
    <w:p w14:paraId="09C73FE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1 1 1 1 1 1 1 1 1 1 1 1 1</w:t>
      </w:r>
    </w:p>
    <w:p w14:paraId="3BEB53A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1 1 1 1 1 1 1 1 1 1 1 1 0 </w:t>
      </w:r>
    </w:p>
    <w:p w14:paraId="4DF4826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1 1 1 1 1 1 1 1 1 1 1 0 0</w:t>
      </w:r>
    </w:p>
    <w:p w14:paraId="383CBD9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1 1 1 1 1 1 1 1 1 1 0 0 0</w:t>
      </w:r>
    </w:p>
    <w:p w14:paraId="0D41CE2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1 1 1 1 1 1 1 1 1 0 0 0 0</w:t>
      </w:r>
    </w:p>
    <w:p w14:paraId="308D890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1 1 1 1 1 1 1 1 0 0 0 0 0</w:t>
      </w:r>
    </w:p>
    <w:p w14:paraId="40CE9E7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0 0 0 0 0 0  end fill</w:t>
      </w:r>
    </w:p>
    <w:p w14:paraId="51A3368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D6F519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Top Reflector Region ########</w:t>
      </w:r>
    </w:p>
    <w:p w14:paraId="329B41A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ara=7 nux=13 nuy=13  fill</w:t>
      </w:r>
    </w:p>
    <w:p w14:paraId="0931F43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2 2 2 2 2 2 2 2 2 2 2 1 1</w:t>
      </w:r>
    </w:p>
    <w:p w14:paraId="5C73A2D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2 2 2 2 2 2 2 2 2 2 2 1 1</w:t>
      </w:r>
    </w:p>
    <w:p w14:paraId="5B3A4A3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2 2 2 2 2 2 2 2 2 2 2 1 1</w:t>
      </w:r>
    </w:p>
    <w:p w14:paraId="663F4BAB"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2 2 2 2 2 2 2 2 2 2 2 1 1</w:t>
      </w:r>
    </w:p>
    <w:p w14:paraId="2546D7D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2 2 2 2 2 2 2 2 2 2 2 1 1</w:t>
      </w:r>
    </w:p>
    <w:p w14:paraId="29D2D1C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2 2 2 2 2 2 2 2 2 2 2 1 1 </w:t>
      </w:r>
    </w:p>
    <w:p w14:paraId="17C5CEF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2 2 2 2 2 2 2 2 2 2 2 1 1</w:t>
      </w:r>
    </w:p>
    <w:p w14:paraId="1AA21BF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2 2 2 2 2 2 2 2 2 2 1 1 0 </w:t>
      </w:r>
    </w:p>
    <w:p w14:paraId="5816E58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2 2 2 2 2 2 2 2 2 1 1 0 0</w:t>
      </w:r>
    </w:p>
    <w:p w14:paraId="0171863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2 2 2 2 2 2 2 2 1 1 0 0 0</w:t>
      </w:r>
    </w:p>
    <w:p w14:paraId="7B3637E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2 2 2 2 2 2 2 1 1 0 0 0 0</w:t>
      </w:r>
    </w:p>
    <w:p w14:paraId="6A0B8FE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1 1 1 1 1 1 1 1 0 0 0 0 0</w:t>
      </w:r>
    </w:p>
    <w:p w14:paraId="589C876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0 0 0 0 0 0 end fill </w:t>
      </w:r>
    </w:p>
    <w:p w14:paraId="080274C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61459B6D"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ara=17 nux=13 nuy=13 fill</w:t>
      </w:r>
    </w:p>
    <w:p w14:paraId="46688ED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1  2  2  3  3  4  4  5  5  6  6 0 0</w:t>
      </w:r>
    </w:p>
    <w:p w14:paraId="343CE40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7  8  8  9  9 10 10 11 11 12 12 0 0</w:t>
      </w:r>
    </w:p>
    <w:p w14:paraId="1F0518DE"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7  8  8  9  9 10 10 11 11 12 12 0 0</w:t>
      </w:r>
    </w:p>
    <w:p w14:paraId="2197D03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13 14 14 15 15 16 16 17 17 18 18 0 0</w:t>
      </w:r>
    </w:p>
    <w:p w14:paraId="581AD5F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13 14 14 15 15 16 16 17 17 18 18 0 0</w:t>
      </w:r>
    </w:p>
    <w:p w14:paraId="188E7F3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19 20 20 21 21 22 22 23 23 24 24 0 0</w:t>
      </w:r>
    </w:p>
    <w:p w14:paraId="2DB2C30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19 20 20 21 21 22 22 23 23 24 24 0 0</w:t>
      </w:r>
    </w:p>
    <w:p w14:paraId="3DF00AC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25 26 26 27 27 28 28 29 29  0  0 0 0</w:t>
      </w:r>
    </w:p>
    <w:p w14:paraId="3CD95E9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25 26 26 27 27 28 28 29 29  0  0 0 0</w:t>
      </w:r>
    </w:p>
    <w:p w14:paraId="7A0E7D7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lastRenderedPageBreak/>
        <w:t>30 31 31 32 32 33 33  0  0  0  0 0 0</w:t>
      </w:r>
    </w:p>
    <w:p w14:paraId="18F09B1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30 31 31 32 32 33 33  0  0  0  0 0 0</w:t>
      </w:r>
    </w:p>
    <w:p w14:paraId="617BBA0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0  0  0  0  0  0  0  0  0  0  0 0 0</w:t>
      </w:r>
    </w:p>
    <w:p w14:paraId="629C2FC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0  0  0  0  0  0  0  0  0  0 0 0 end fill</w:t>
      </w:r>
    </w:p>
    <w:p w14:paraId="1CE1B69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1A269BC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ara=117 nux=13 nuy=13 fill </w:t>
      </w:r>
    </w:p>
    <w:p w14:paraId="5632910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Orifice Loss Coeff Array </w:t>
      </w:r>
    </w:p>
    <w:p w14:paraId="6CF2D02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1 1 1 1 1 1 1 1 1 1 1 0 0</w:t>
      </w:r>
    </w:p>
    <w:p w14:paraId="3A281F6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1 1 1 1 1 1 1 1 1 1 1 0 0</w:t>
      </w:r>
    </w:p>
    <w:p w14:paraId="30491439"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1 1 1 1 1 1 1 1 1 1 1 0 0</w:t>
      </w:r>
    </w:p>
    <w:p w14:paraId="7E99A0D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1 1 1 1 1 1 1 1 1 1 1 0 0</w:t>
      </w:r>
    </w:p>
    <w:p w14:paraId="66BBC1D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1 1 1 1 1 1 1 1 1 1 1 0 0</w:t>
      </w:r>
    </w:p>
    <w:p w14:paraId="4C08A42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1 1 1 1 1 1 1 1 1 1 1 0 0</w:t>
      </w:r>
    </w:p>
    <w:p w14:paraId="028D815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1 1 1 1 1 1 1 1 1 1 1 0 0</w:t>
      </w:r>
    </w:p>
    <w:p w14:paraId="09A6FFE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1 1 1 1 1 1 1 1 1 1 0 0 0</w:t>
      </w:r>
    </w:p>
    <w:p w14:paraId="66B3337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1 1 1 1 1 1 1 1 1 0 0 0 0</w:t>
      </w:r>
    </w:p>
    <w:p w14:paraId="03C9DC6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1 1 1 1 1 1 1 1 0 0 0 0 0</w:t>
      </w:r>
    </w:p>
    <w:p w14:paraId="7218010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1 1 1 1 1 1 1 0 0 0 0 0 0</w:t>
      </w:r>
    </w:p>
    <w:p w14:paraId="1DEB4AB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0 0 0 0 0 0 0 0 0 0 0 0 0</w:t>
      </w:r>
    </w:p>
    <w:p w14:paraId="669D658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0 0 0 0 0 0 0 0 0 0 0 0 end fill</w:t>
      </w:r>
    </w:p>
    <w:p w14:paraId="3F4BF3B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FD14B8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ara=217 nux=13 nuy=13 fill </w:t>
      </w:r>
    </w:p>
    <w:p w14:paraId="7B4B8601"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No Rotation</w:t>
      </w:r>
    </w:p>
    <w:p w14:paraId="1B60E04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0 1 0 1 0 1 0 1 0 1 0 0 0</w:t>
      </w:r>
    </w:p>
    <w:p w14:paraId="6E87FC3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3 2 3 2 3 2 3 2 3 2 3 0 0</w:t>
      </w:r>
    </w:p>
    <w:p w14:paraId="71E4E68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0 1 0 1 0 1 0 1 0 1 0 0 0</w:t>
      </w:r>
    </w:p>
    <w:p w14:paraId="756CF41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3 2 3 2 3 2 3 2 3 2 3 0 0</w:t>
      </w:r>
    </w:p>
    <w:p w14:paraId="6FDD7DA8"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0 1 0 1 0 1 0 1 0 1 0 0 0</w:t>
      </w:r>
    </w:p>
    <w:p w14:paraId="1F2A8BBF"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3 2 3 2 3 2 3 2 3 2 3 0 0</w:t>
      </w:r>
    </w:p>
    <w:p w14:paraId="3E3FDFA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0 1 0 1 0 1 0 1 0 1 0 0 0</w:t>
      </w:r>
    </w:p>
    <w:p w14:paraId="3373C52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3 2 3 2 3 2 3 2 3 2 0 0 0</w:t>
      </w:r>
    </w:p>
    <w:p w14:paraId="7B5F9846"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0 1 0 1 0 1 0 1 0 0 0 0 0</w:t>
      </w:r>
    </w:p>
    <w:p w14:paraId="1D61A23A"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3 2 3 2 3 2 3 2 0 0 0 0 0</w:t>
      </w:r>
    </w:p>
    <w:p w14:paraId="45995B05"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0 1 0 1 0 1 0 0 0 0 0 0 0</w:t>
      </w:r>
    </w:p>
    <w:p w14:paraId="2745A164"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0 0 0 0 0 0 0 0 0 0 0 0 0</w:t>
      </w:r>
    </w:p>
    <w:p w14:paraId="354D3340"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0 0 0 0 0 0 0 0 0 0 0 0 0 end fill</w:t>
      </w:r>
    </w:p>
    <w:p w14:paraId="6DB3E162"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8DA6337"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end arrays</w:t>
      </w:r>
    </w:p>
    <w:p w14:paraId="5D1CFD23" w14:textId="77777777" w:rsidR="004D5D9E" w:rsidRDefault="004D5D9E" w:rsidP="004D5D9E">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C27FE7B" w14:textId="77777777" w:rsidR="004D5D9E" w:rsidRDefault="004D5D9E" w:rsidP="004D5D9E">
      <w:pPr>
        <w:pStyle w:val="NoSpacing"/>
        <w:jc w:val="left"/>
      </w:pPr>
    </w:p>
    <w:p w14:paraId="655A9B8F" w14:textId="77777777" w:rsidR="00C84945" w:rsidRDefault="00C84945" w:rsidP="004D5D9E">
      <w:pPr>
        <w:pStyle w:val="NoSpacing"/>
        <w:jc w:val="left"/>
      </w:pPr>
    </w:p>
    <w:p w14:paraId="600EA5D9" w14:textId="77777777" w:rsidR="00C84945" w:rsidRDefault="00C84945" w:rsidP="004D5D9E">
      <w:pPr>
        <w:pStyle w:val="NoSpacing"/>
        <w:jc w:val="left"/>
      </w:pPr>
    </w:p>
    <w:p w14:paraId="2CFD5B10" w14:textId="77777777" w:rsidR="00C84945" w:rsidRDefault="00C84945" w:rsidP="004D5D9E">
      <w:pPr>
        <w:pStyle w:val="NoSpacing"/>
        <w:jc w:val="left"/>
      </w:pPr>
    </w:p>
    <w:p w14:paraId="0E9B3781" w14:textId="77777777" w:rsidR="00C84945" w:rsidRDefault="00C84945" w:rsidP="004D5D9E">
      <w:pPr>
        <w:pStyle w:val="NoSpacing"/>
        <w:jc w:val="left"/>
      </w:pPr>
    </w:p>
    <w:p w14:paraId="73ACF64C" w14:textId="77777777" w:rsidR="00C84945" w:rsidRDefault="00C84945" w:rsidP="004D5D9E">
      <w:pPr>
        <w:pStyle w:val="NoSpacing"/>
        <w:jc w:val="left"/>
      </w:pPr>
    </w:p>
    <w:p w14:paraId="4D71C8C8" w14:textId="77777777" w:rsidR="00C84945" w:rsidRDefault="00C84945" w:rsidP="004D5D9E">
      <w:pPr>
        <w:pStyle w:val="NoSpacing"/>
        <w:jc w:val="left"/>
      </w:pPr>
    </w:p>
    <w:p w14:paraId="21306E36" w14:textId="77777777" w:rsidR="00C84945" w:rsidRDefault="00C84945" w:rsidP="004D5D9E">
      <w:pPr>
        <w:pStyle w:val="NoSpacing"/>
        <w:jc w:val="left"/>
      </w:pPr>
    </w:p>
    <w:p w14:paraId="5A00C104" w14:textId="77777777" w:rsidR="00C84945" w:rsidRDefault="00C84945" w:rsidP="004D5D9E">
      <w:pPr>
        <w:pStyle w:val="NoSpacing"/>
        <w:jc w:val="left"/>
      </w:pPr>
    </w:p>
    <w:p w14:paraId="69F9A785" w14:textId="77777777" w:rsidR="00C84945" w:rsidRDefault="00C84945" w:rsidP="004D5D9E">
      <w:pPr>
        <w:pStyle w:val="NoSpacing"/>
        <w:jc w:val="left"/>
      </w:pPr>
    </w:p>
    <w:p w14:paraId="299C76D4" w14:textId="77777777" w:rsidR="00C84945" w:rsidRDefault="00C84945" w:rsidP="004D5D9E">
      <w:pPr>
        <w:pStyle w:val="NoSpacing"/>
        <w:jc w:val="left"/>
      </w:pPr>
    </w:p>
    <w:p w14:paraId="728770DD" w14:textId="77777777" w:rsidR="00C84945" w:rsidRDefault="00C84945" w:rsidP="004D5D9E">
      <w:pPr>
        <w:pStyle w:val="NoSpacing"/>
        <w:jc w:val="left"/>
      </w:pPr>
    </w:p>
    <w:p w14:paraId="5101C3EC" w14:textId="77777777" w:rsidR="00C84945" w:rsidRDefault="00C84945" w:rsidP="004D5D9E">
      <w:pPr>
        <w:pStyle w:val="NoSpacing"/>
        <w:jc w:val="left"/>
      </w:pPr>
    </w:p>
    <w:p w14:paraId="4BC61577" w14:textId="77777777" w:rsidR="00C84945" w:rsidRDefault="00C84945" w:rsidP="004D5D9E">
      <w:pPr>
        <w:pStyle w:val="NoSpacing"/>
        <w:jc w:val="left"/>
      </w:pPr>
    </w:p>
    <w:p w14:paraId="0932632E" w14:textId="77777777" w:rsidR="00C84945" w:rsidRDefault="00C84945" w:rsidP="004D5D9E">
      <w:pPr>
        <w:pStyle w:val="NoSpacing"/>
        <w:jc w:val="left"/>
      </w:pPr>
    </w:p>
    <w:p w14:paraId="6D13933B" w14:textId="77777777" w:rsidR="00C84945" w:rsidRDefault="00C84945" w:rsidP="004D5D9E">
      <w:pPr>
        <w:pStyle w:val="NoSpacing"/>
        <w:jc w:val="left"/>
      </w:pPr>
    </w:p>
    <w:p w14:paraId="23042F21" w14:textId="77777777" w:rsidR="00C84945" w:rsidRPr="004D5D9E" w:rsidRDefault="00C84945" w:rsidP="00C84945">
      <w:pPr>
        <w:jc w:val="left"/>
        <w:rPr>
          <w:rFonts w:cs="Times New Roman"/>
          <w:b/>
          <w:sz w:val="28"/>
          <w:szCs w:val="24"/>
        </w:rPr>
      </w:pPr>
      <w:r w:rsidRPr="004D5D9E">
        <w:rPr>
          <w:rFonts w:cs="Times New Roman"/>
          <w:b/>
          <w:sz w:val="28"/>
          <w:szCs w:val="24"/>
        </w:rPr>
        <w:lastRenderedPageBreak/>
        <w:t xml:space="preserve">Appendix </w:t>
      </w:r>
      <w:r>
        <w:rPr>
          <w:rFonts w:cs="Times New Roman"/>
          <w:b/>
          <w:sz w:val="28"/>
          <w:szCs w:val="24"/>
        </w:rPr>
        <w:t>C: Sample LWROpt Input</w:t>
      </w:r>
    </w:p>
    <w:p w14:paraId="7290BFA8"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'DEBUG' 0 0 1 0 1 2 / debug_sample_flag, debug_archive_flag, debug_OF_flag, debug_cost_flag, nes_iter_flag, crp_stat_flag</w:t>
      </w:r>
    </w:p>
    <w:p w14:paraId="3615727D"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'CR.OUT' 2 1 / cr_output_flag (0 = nothing, 1 = summary to screen, 2 = everything to screen, 3 = everything process output file), cr_plot_flag (1 = plot, 0 = don't plot)</w:t>
      </w:r>
    </w:p>
    <w:p w14:paraId="6FD5F2F5"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DD6A121"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'REAC.TYP' '</w:t>
      </w:r>
      <w:r w:rsidR="00DA4697">
        <w:rPr>
          <w:rFonts w:ascii="Lucida Console" w:hAnsi="Lucida Console" w:cs="Lucida Console"/>
          <w:sz w:val="20"/>
          <w:szCs w:val="20"/>
        </w:rPr>
        <w:t>B</w:t>
      </w:r>
      <w:r>
        <w:rPr>
          <w:rFonts w:ascii="Lucida Console" w:hAnsi="Lucida Console" w:cs="Lucida Console"/>
          <w:sz w:val="20"/>
          <w:szCs w:val="20"/>
        </w:rPr>
        <w:t>WR'</w:t>
      </w:r>
    </w:p>
    <w:p w14:paraId="2DF06035"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'CYC' 1 13 1/ Cycle Data [# of cycles to optimize (n_cyc_opt), first cycle #, first_cyc_opt_flag (1 = yes, 0 = no)]</w:t>
      </w:r>
    </w:p>
    <w:p w14:paraId="79A79669"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D422D16"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'OPT' 'CRP' / Optimization Method [PSA (Parallel Simulated Annealing), MAN, CRP, RUN]</w:t>
      </w:r>
    </w:p>
    <w:p w14:paraId="5EC8710B"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4AA59AD9"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'DEP.CYC' 1 / Depletion option for optimized cycles (n_cyc_opt) [0 = use original depletion, 1 = CR optimization, 2 = Haling depletion] </w:t>
      </w:r>
    </w:p>
    <w:p w14:paraId="4E32473B"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'EXP.STP' 2000. / Depletion step size for each cycle optimized if CR optimization used </w:t>
      </w:r>
    </w:p>
    <w:p w14:paraId="79E37873"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690C1B3"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'NES.ITER' 250 0 / max_nes_iter (maximum number of iterations used for NESTLE calculations), use nonconverged solutions [0=no, 1=yes]</w:t>
      </w:r>
    </w:p>
    <w:p w14:paraId="1A63B57D"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E363E7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'INP.EDT' 2 / Input edit flag (0 = none, 1 = just in summary file, 2 = all)</w:t>
      </w:r>
    </w:p>
    <w:p w14:paraId="02086FEC"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'RES' 1 / Use restart files flag  for each cycle to be optimized (0 = don't use, 1 = use)</w:t>
      </w:r>
    </w:p>
    <w:p w14:paraId="18BA65DC"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41E27A72"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'CHG'     1 2 3 4 5 6 7 8 9 10 / Change Types to Use [old shuffle, new old swap, # fresh change, new type (switch, change, add),CRP change]</w:t>
      </w:r>
    </w:p>
    <w:p w14:paraId="288049DF"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'CHG.GRP' 1 2 3 4 5 6 7 8 9 10 / Groups used for variable sample probabilities (if a change type converges the probability is distributed among the other change types in the group if there are any)</w:t>
      </w:r>
    </w:p>
    <w:p w14:paraId="5C9EBD69"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0D55756"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'OF' 1 0 / OF_nan_flag, OF_mix_opt (0 = dont use initial solutions in ST_DEV calc, 1 = use initial solutions)</w:t>
      </w:r>
    </w:p>
    <w:p w14:paraId="23845131"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62B7B33"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'CON' 7 0 2.0/ # of constraints, constraint weight multiplier flag, target T=0 constraint weight multiplier</w:t>
      </w:r>
    </w:p>
    <w:p w14:paraId="6D22286B"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   '  0.0       10.0   / Constraints Parameters [constraint,limit,weight] constraints ($,A_EX,N_EX,RPF,K) CPR,TMOL,STAB</w:t>
      </w:r>
    </w:p>
    <w:p w14:paraId="5275895B"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'K-  '  1.0      150.0   /</w:t>
      </w:r>
    </w:p>
    <w:p w14:paraId="022344E6"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'K+  '  1.001    130.0   /</w:t>
      </w:r>
    </w:p>
    <w:p w14:paraId="1E16E10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'A_EX'  55.0       1.0   / (GWD/MTU)</w:t>
      </w:r>
    </w:p>
    <w:p w14:paraId="6EC4A416"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'N_EX'  65.0       1.0   / (GWD/MTU)</w:t>
      </w:r>
    </w:p>
    <w:p w14:paraId="08D7D436"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'RPF2'  1.6       30.0   /</w:t>
      </w:r>
    </w:p>
    <w:p w14:paraId="5AF4C49A"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'RPF3'  2.0       10.0   /</w:t>
      </w:r>
    </w:p>
    <w:p w14:paraId="7B272F7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955F60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'CYC.LEN' 30  / shutdown length (days) for each cycle being optimized</w:t>
      </w:r>
    </w:p>
    <w:p w14:paraId="61CC2AC1"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'COST' .34 .15/ efficiency, carrying charge (annual interest rate)</w:t>
      </w:r>
    </w:p>
    <w:p w14:paraId="70912180"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ABF213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'NEW.TYP' 9 2 0/ [max # new types, cycle 1 new type, max assembly number for sampling new fuel from (0 = # of new types entered)]</w:t>
      </w:r>
    </w:p>
    <w:p w14:paraId="6169FC3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9FEB861"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'CR.NOTCH' 48 2 1 /</w:t>
      </w:r>
    </w:p>
    <w:p w14:paraId="7BF4439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64D2F131"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calculate energy of 18 mo cycle</w:t>
      </w:r>
    </w:p>
    <w:p w14:paraId="0B7BDB1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'ENERGY' 251860.01 / Energy production for cycles to be optimized (MWD) (1 number followed by '/' -&gt; all cycles same, otherwise specify for each cycle)</w:t>
      </w:r>
    </w:p>
    <w:p w14:paraId="2991BA1C"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69D7E1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2FB21DA"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lastRenderedPageBreak/>
        <w:t>'POWER' 100.0 100.0 0.315 527.485 / Parameters used in cr optimization and haling depletion cases (pctpwr, pctflow, bypass, tinlet)</w:t>
      </w:r>
    </w:p>
    <w:p w14:paraId="274E9ECF"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E2F335C"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'SORT' 'EXP' / Parameter to use for sort to generate original LP_oper ['KIN' or 'EXP']</w:t>
      </w:r>
    </w:p>
    <w:p w14:paraId="43D200D3"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6A76858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'ARCHIVE' 'NEW' 20 20 40 30 / Archive method ('NEW' = new inventory), [idividual and combined] archive size (width, depth)</w:t>
      </w:r>
    </w:p>
    <w:p w14:paraId="5FED74F1"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3AC26C8"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'RAND' 1000 1000000 /# to add to all random seeds, number of random numbers to generate per process</w:t>
      </w:r>
    </w:p>
    <w:p w14:paraId="6E58895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599C1C5"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'SOL.INI' 0 0 / Initial Solution Parameters [# of fresh to add, number of changes to make to LP, # to add to all random seeds] </w:t>
      </w:r>
    </w:p>
    <w:p w14:paraId="06AB8374"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CDEA74B"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'DIR' '/home/ngeorge3/ATF_BWR/Optimize_BWR/TheDesign/ControlBladeOpt/Zirc/Zirc_notch3/' 'representative_bwr/' '/tmp/ngeorge3/ATF_BWR/Optimize_BWR/TheDesign/ControlBladeOpt/Zirc/Zirc_notch3/Run_Files_representative/' / [project dir, model dir, run cycle dir, process base run dir name]</w:t>
      </w:r>
    </w:p>
    <w:p w14:paraId="04C4E442"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'INP' 'representative' 'representative.inp' 0 0/ [reactor name, Input File for Cycle N-1, assembly input (1 = yes), cr_input_flag]</w:t>
      </w:r>
    </w:p>
    <w:p w14:paraId="10755CC5"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'NES.EXE' '/home/ngeorge3/NESTLE/scale_dev/build_scale_dev/src/nestle/' 'nestle' 1 18 / Path for Nestle Executable [original path, exe name, copy flag (0 = no copy, 1 = run path, 2 = path_proc),output_num_len]</w:t>
      </w:r>
    </w:p>
    <w:p w14:paraId="0174AC2A"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'OUT' 2 '/home/ngeorge3/ATF_BWR/Optimize_BWR/TheDesign/ControlBladeOpt/Zirc/Zirc_notch3/Output_</w:t>
      </w:r>
      <w:r w:rsidRPr="00C84945">
        <w:rPr>
          <w:rFonts w:ascii="Lucida Console" w:hAnsi="Lucida Console" w:cs="Lucida Console"/>
          <w:sz w:val="20"/>
          <w:szCs w:val="20"/>
        </w:rPr>
        <w:t xml:space="preserve"> </w:t>
      </w:r>
      <w:r>
        <w:rPr>
          <w:rFonts w:ascii="Lucida Console" w:hAnsi="Lucida Console" w:cs="Lucida Console"/>
          <w:sz w:val="20"/>
          <w:szCs w:val="20"/>
        </w:rPr>
        <w:t>representative /' 'scr_out' / [screen print option, base output file location, name, ]</w:t>
      </w:r>
    </w:p>
    <w:p w14:paraId="73FD7C61"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'SUMMARY' '/home/ngeorge3/ATF_BWR/Optimize_BWR/TheDesign/ControlBladeOpt/Zirc/Zirc_notch3/Output_</w:t>
      </w:r>
      <w:r w:rsidRPr="00C84945">
        <w:rPr>
          <w:rFonts w:ascii="Lucida Console" w:hAnsi="Lucida Console" w:cs="Lucida Console"/>
          <w:sz w:val="20"/>
          <w:szCs w:val="20"/>
        </w:rPr>
        <w:t xml:space="preserve"> </w:t>
      </w:r>
      <w:r>
        <w:rPr>
          <w:rFonts w:ascii="Lucida Console" w:hAnsi="Lucida Console" w:cs="Lucida Console"/>
          <w:sz w:val="20"/>
          <w:szCs w:val="20"/>
        </w:rPr>
        <w:t>representative /' 'Summary.out' 'Summary_full.out' 'T_stats_out.m' 'hist_stats_out.m' 'archive.out' / [summary_path, summary file name]</w:t>
      </w:r>
    </w:p>
    <w:p w14:paraId="5E998D20"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43C7DB9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'PLOT.INFO' 1 'gnuplot' '/home/ngeorge3/ATF_BWR/Optimize_BWR/TheDesign/ControlBladeOpt/Zirc/Zirc_notch3/plot_dir_</w:t>
      </w:r>
      <w:r w:rsidRPr="00C84945">
        <w:rPr>
          <w:rFonts w:ascii="Lucida Console" w:hAnsi="Lucida Console" w:cs="Lucida Console"/>
          <w:sz w:val="20"/>
          <w:szCs w:val="20"/>
        </w:rPr>
        <w:t xml:space="preserve"> </w:t>
      </w:r>
      <w:r>
        <w:rPr>
          <w:rFonts w:ascii="Lucida Console" w:hAnsi="Lucida Console" w:cs="Lucida Console"/>
          <w:sz w:val="20"/>
          <w:szCs w:val="20"/>
        </w:rPr>
        <w:t>representative /' 'plot_script' 'plot_data' '/home/kottinge/BWR_OPT/LiberationSerif-Regular.ttf,11' '/home/kottinge/BWR_OPT/LiberationSerif-Regular.ttf,12' 2 / [plot flag, gnuplot path, script base name, data file base name, font, mp_font, mp_update]</w:t>
      </w:r>
    </w:p>
    <w:p w14:paraId="654111D1"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C555B7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'DEL.FILE' 0 / Output file delete flag (1 = delete, 0 = keep)</w:t>
      </w:r>
    </w:p>
    <w:p w14:paraId="41A2A438"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1782D6D5"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'PSA.STP' 10 10 0 0 / n_init_iter, n_iter, Cooling step length flag (0 = each process runs n trials, 1 = average of n trials run over all processes) [Cooling step 1, &gt;1] </w:t>
      </w:r>
      <w:r>
        <w:rPr>
          <w:rFonts w:ascii="Lucida Console" w:hAnsi="Lucida Console" w:cs="Lucida Console"/>
          <w:sz w:val="20"/>
          <w:szCs w:val="20"/>
        </w:rPr>
        <w:tab/>
      </w:r>
    </w:p>
    <w:p w14:paraId="11785EBB"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'PSA.CONV' 1 0 100 1 / PSA convergence criteria [1 (# consecutive CS, # of accepts per CS), 2 (# of steps without OF decrease), 3 (maximum # cooling steps)]</w:t>
      </w:r>
    </w:p>
    <w:p w14:paraId="51D6EBFF"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'PSA.TEMP' 2. 1.  .5   5  .3 .25 .2 .15 .1  / alpha, lambda, std_cutoff, n_std_avg, (std_weights if n_std_avg &gt; 1)</w:t>
      </w:r>
    </w:p>
    <w:p w14:paraId="3D287B1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'PSA.INI' 1 -1 / init flag, dist flag [-1 = keep current solution, 0 = all procs get best, 1 = dist n_procs best solutions (duplicate if necessary)]</w:t>
      </w:r>
    </w:p>
    <w:p w14:paraId="5506F8F2"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'PSA.RES' 1000000 / n_step_res, # of iterations between restarts (sampling from best solutions instead of current solutions)</w:t>
      </w:r>
    </w:p>
    <w:p w14:paraId="078942B8"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'PSA.MIX' 0  1.05  .25 -1.  2 1 1/ [psa_mix_flag (0= standard, 1 = limits, 2 = always), mix_percent_lim, mix_acc_lim, mix_inc_lim, n_archive_samp (array of # of solutions to select from each archive level) ]</w:t>
      </w:r>
    </w:p>
    <w:p w14:paraId="37D1486A"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2D3CD7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lastRenderedPageBreak/>
        <w:t>'SAMP.PR' 0 / sample prob flag [0 = use constant sample prob [sample probabilities for each change type (equal if not entered) will be weighted to sum to 1]</w:t>
      </w:r>
    </w:p>
    <w:p w14:paraId="427F4373"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b/>
      </w:r>
      <w:r>
        <w:rPr>
          <w:rFonts w:ascii="Lucida Console" w:hAnsi="Lucida Console" w:cs="Lucida Console"/>
          <w:sz w:val="20"/>
          <w:szCs w:val="20"/>
        </w:rPr>
        <w:tab/>
      </w:r>
      <w:r>
        <w:rPr>
          <w:rFonts w:ascii="Lucida Console" w:hAnsi="Lucida Console" w:cs="Lucida Console"/>
          <w:sz w:val="20"/>
          <w:szCs w:val="20"/>
        </w:rPr>
        <w:tab/>
      </w:r>
      <w:r>
        <w:rPr>
          <w:rFonts w:ascii="Lucida Console" w:hAnsi="Lucida Console" w:cs="Lucida Console"/>
          <w:sz w:val="20"/>
          <w:szCs w:val="20"/>
        </w:rPr>
        <w:tab/>
        <w:t>1 = decrease prob as accept prob --&gt; 0 (# cooling steps with 0 accepts for convergence, # step used to decrease prob to 0 linearly),</w:t>
      </w:r>
    </w:p>
    <w:p w14:paraId="274B632D"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ab/>
      </w:r>
      <w:r>
        <w:rPr>
          <w:rFonts w:ascii="Lucida Console" w:hAnsi="Lucida Console" w:cs="Lucida Console"/>
          <w:sz w:val="20"/>
          <w:szCs w:val="20"/>
        </w:rPr>
        <w:tab/>
      </w:r>
      <w:r>
        <w:rPr>
          <w:rFonts w:ascii="Lucida Console" w:hAnsi="Lucida Console" w:cs="Lucida Console"/>
          <w:sz w:val="20"/>
          <w:szCs w:val="20"/>
        </w:rPr>
        <w:tab/>
      </w:r>
      <w:r>
        <w:rPr>
          <w:rFonts w:ascii="Lucida Console" w:hAnsi="Lucida Console" w:cs="Lucida Console"/>
          <w:sz w:val="20"/>
          <w:szCs w:val="20"/>
        </w:rPr>
        <w:tab/>
        <w:t>2 = fully variable based on input parameters]</w:t>
      </w:r>
    </w:p>
    <w:p w14:paraId="12288B5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8775CB5"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'SAMP.CYC' 1. / Sample probabilty for each cycle being optimized (one number &gt; all same)</w:t>
      </w:r>
    </w:p>
    <w:p w14:paraId="562C5123"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D318D31"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'TIME' 1 / time flag (0 = runtime for each iteration given, 1 = runtime since start of cooling step given)</w:t>
      </w:r>
    </w:p>
    <w:p w14:paraId="71029D10"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C507038"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*'TYP.REP'     / specify types to replace and replacing type for future cycles (old type, new type)</w:t>
      </w:r>
    </w:p>
    <w:p w14:paraId="04EDBC22"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2F572923"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'FUEL.TIME' 15. 12. 9. 3.   15./ Time before cycle starts for expense (months) [ore, conv, enr, fab (and gad)]; carrying charge (%)</w:t>
      </w:r>
    </w:p>
    <w:p w14:paraId="3DD1F3D0"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'FUEL.COST' 42.25  10.50 10.0  100000. 10000. / ore cost ($/lb U3O8), conversion cost ($/kg UF6), SWU cost ($/SWU), fab cost ($/assembly), gad cost ($/kg)</w:t>
      </w:r>
    </w:p>
    <w:p w14:paraId="3A835312"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'FUEL.LOSS' 0.0 .5 0.0 .5 / Fuel losses (%) (mining, conversion, enrichment, fabrication</w:t>
      </w:r>
    </w:p>
    <w:p w14:paraId="5B16B194"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'FUEL.ENR' .711 .25/ feed enrichment, tails enrichment</w:t>
      </w:r>
    </w:p>
    <w:p w14:paraId="10A76504"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00DB13AA"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'CR.OPT' 0 1/ cr_opt_flag (0 = old method, 2 = new method, 1 = haling (don't use)), cr_ini_flag (1 = always start all rods out, otherwise use previous CR positions)</w:t>
      </w:r>
    </w:p>
    <w:p w14:paraId="6F8DFFA0"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'CR.ITER' 200 200 / max cr calc iter (initial, noninitial)</w:t>
      </w:r>
    </w:p>
    <w:p w14:paraId="35949709"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'CR.KEFF' 1.0000 1.0010 1.0000 1.0010</w:t>
      </w:r>
    </w:p>
    <w:p w14:paraId="207307AB"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7F9E4F6"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'CR.PARM' 2 3 / [cr_ini_flag (only 2), cr_manual_flag (1 = enter entire CRP every step, 2 = Change 1 CR at a time, 3 = check 'crd_flag' file each iteration for cr_manual_flag, 4 = 3 and prompt for cr_manual_flag if solution not found)]</w:t>
      </w:r>
    </w:p>
    <w:p w14:paraId="48D1BA43"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0E370C9"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*'CR.PREF' 7 8 8 8 / not used</w:t>
      </w:r>
    </w:p>
    <w:p w14:paraId="206A9DB2"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353084DD"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'CR.STEP' .04 .5 / (min, max) CR move size, fraction of range</w:t>
      </w:r>
    </w:p>
    <w:p w14:paraId="2165EBE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'CR.DEEP' 0.1 / fraction withdrawn for preferred deep insertion</w:t>
      </w:r>
    </w:p>
    <w:p w14:paraId="5E17B9AF"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4F3B5454"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'CR.BND' .3333 .6667 / Fractional values for boundaries between shallow, intermediate, deep insertions</w:t>
      </w:r>
    </w:p>
    <w:p w14:paraId="321EE79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66A86EB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'CR.RING' 1.0 1.0 1.0 /</w:t>
      </w:r>
    </w:p>
    <w:p w14:paraId="66AC45E9"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7A02D6E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'CRD.1ST' 3</w:t>
      </w:r>
    </w:p>
    <w:p w14:paraId="59FB6543"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1C68933C"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'CRD.CVC' 3.01100  2.01100  3.02100  2.03100  3.05100  2.07100  </w:t>
      </w:r>
    </w:p>
    <w:p w14:paraId="72E51ABE"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4.01100  1.01100  4.02100  1.02100  4.05100  1.05100 </w:t>
      </w:r>
    </w:p>
    <w:p w14:paraId="5A3FE2D5"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3.03100  2.02100  3.04100  2.04100  3.07100  2.08100 </w:t>
      </w:r>
    </w:p>
    <w:p w14:paraId="5FEDF04D"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4.03100  1.03100  4.04100  1.04100  4.06100  1.07100 </w:t>
      </w:r>
    </w:p>
    <w:p w14:paraId="46289B87"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3.06100  2.05100  3.08100  2.06100  3.09100     0</w:t>
      </w:r>
    </w:p>
    <w:p w14:paraId="1EE376EB"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r>
        <w:rPr>
          <w:rFonts w:ascii="Lucida Console" w:hAnsi="Lucida Console" w:cs="Lucida Console"/>
          <w:sz w:val="20"/>
          <w:szCs w:val="20"/>
        </w:rPr>
        <w:t xml:space="preserve">          4.07100  1.06100  4.08100  1.08100     0        0   /</w:t>
      </w:r>
    </w:p>
    <w:p w14:paraId="1755C5ED" w14:textId="77777777" w:rsidR="00C84945" w:rsidRDefault="00C84945" w:rsidP="00C84945">
      <w:pPr>
        <w:tabs>
          <w:tab w:val="left" w:pos="960"/>
          <w:tab w:val="left" w:pos="1920"/>
          <w:tab w:val="left" w:pos="2880"/>
          <w:tab w:val="left" w:pos="3840"/>
          <w:tab w:val="left" w:pos="4800"/>
          <w:tab w:val="left" w:pos="5760"/>
          <w:tab w:val="left" w:pos="6720"/>
          <w:tab w:val="left" w:pos="7680"/>
          <w:tab w:val="left" w:pos="8640"/>
          <w:tab w:val="left" w:pos="9600"/>
          <w:tab w:val="left" w:pos="10560"/>
          <w:tab w:val="left" w:pos="11520"/>
          <w:tab w:val="left" w:pos="12480"/>
          <w:tab w:val="left" w:pos="13440"/>
          <w:tab w:val="left" w:pos="14400"/>
          <w:tab w:val="left" w:pos="15360"/>
          <w:tab w:val="left" w:pos="16320"/>
          <w:tab w:val="left" w:pos="17280"/>
          <w:tab w:val="left" w:pos="18240"/>
          <w:tab w:val="left" w:pos="19200"/>
          <w:tab w:val="left" w:pos="20160"/>
          <w:tab w:val="left" w:pos="21120"/>
          <w:tab w:val="left" w:pos="22080"/>
          <w:tab w:val="left" w:pos="23040"/>
          <w:tab w:val="left" w:pos="24000"/>
          <w:tab w:val="left" w:pos="24960"/>
          <w:tab w:val="left" w:pos="25920"/>
          <w:tab w:val="left" w:pos="26880"/>
          <w:tab w:val="left" w:pos="27840"/>
          <w:tab w:val="left" w:pos="28800"/>
          <w:tab w:val="left" w:pos="29760"/>
          <w:tab w:val="left" w:pos="30720"/>
        </w:tabs>
        <w:autoSpaceDE w:val="0"/>
        <w:autoSpaceDN w:val="0"/>
        <w:adjustRightInd w:val="0"/>
        <w:spacing w:after="0" w:line="240" w:lineRule="auto"/>
        <w:jc w:val="left"/>
        <w:rPr>
          <w:rFonts w:ascii="Lucida Console" w:hAnsi="Lucida Console" w:cs="Lucida Console"/>
          <w:sz w:val="20"/>
          <w:szCs w:val="20"/>
        </w:rPr>
      </w:pPr>
    </w:p>
    <w:p w14:paraId="5096E38C" w14:textId="77777777" w:rsidR="00C84945" w:rsidRDefault="00C84945" w:rsidP="00C84945">
      <w:pPr>
        <w:pStyle w:val="NoSpacing"/>
        <w:jc w:val="left"/>
        <w:rPr>
          <w:rFonts w:ascii="Lucida Console" w:hAnsi="Lucida Console" w:cs="Lucida Console"/>
          <w:sz w:val="20"/>
          <w:szCs w:val="20"/>
        </w:rPr>
      </w:pPr>
      <w:r>
        <w:rPr>
          <w:rFonts w:ascii="Lucida Console" w:hAnsi="Lucida Console" w:cs="Lucida Console"/>
          <w:sz w:val="20"/>
          <w:szCs w:val="20"/>
        </w:rPr>
        <w:t xml:space="preserve">'END'  </w:t>
      </w:r>
    </w:p>
    <w:p w14:paraId="47A45284" w14:textId="77777777" w:rsidR="00CE5CC6" w:rsidRDefault="00CE5CC6" w:rsidP="00C84945">
      <w:pPr>
        <w:pStyle w:val="NoSpacing"/>
        <w:jc w:val="left"/>
        <w:rPr>
          <w:rFonts w:ascii="Lucida Console" w:hAnsi="Lucida Console" w:cs="Lucida Console"/>
          <w:sz w:val="20"/>
          <w:szCs w:val="20"/>
        </w:rPr>
      </w:pPr>
    </w:p>
    <w:p w14:paraId="05FE77EF" w14:textId="77777777" w:rsidR="00CE5CC6" w:rsidRDefault="00CE5CC6" w:rsidP="00C84945">
      <w:pPr>
        <w:pStyle w:val="NoSpacing"/>
        <w:jc w:val="left"/>
        <w:rPr>
          <w:rFonts w:ascii="Lucida Console" w:hAnsi="Lucida Console" w:cs="Lucida Console"/>
          <w:sz w:val="20"/>
          <w:szCs w:val="20"/>
        </w:rPr>
      </w:pPr>
    </w:p>
    <w:p w14:paraId="0E4BC778" w14:textId="77777777" w:rsidR="00CE5CC6" w:rsidRDefault="00CE5CC6" w:rsidP="00C84945">
      <w:pPr>
        <w:pStyle w:val="NoSpacing"/>
        <w:jc w:val="left"/>
        <w:rPr>
          <w:rFonts w:ascii="Lucida Console" w:hAnsi="Lucida Console" w:cs="Lucida Console"/>
          <w:sz w:val="20"/>
          <w:szCs w:val="20"/>
        </w:rPr>
      </w:pPr>
    </w:p>
    <w:p w14:paraId="0C30108D" w14:textId="77777777" w:rsidR="00CE5CC6" w:rsidRDefault="00CE5CC6" w:rsidP="00C84945">
      <w:pPr>
        <w:pStyle w:val="NoSpacing"/>
        <w:jc w:val="left"/>
        <w:rPr>
          <w:rFonts w:ascii="Lucida Console" w:hAnsi="Lucida Console" w:cs="Lucida Console"/>
          <w:sz w:val="20"/>
          <w:szCs w:val="20"/>
        </w:rPr>
      </w:pPr>
    </w:p>
    <w:p w14:paraId="7B114634" w14:textId="7865FB42" w:rsidR="00FA2BF2" w:rsidRDefault="00CE5CC6" w:rsidP="003D6D4C">
      <w:pPr>
        <w:jc w:val="both"/>
        <w:rPr>
          <w:rFonts w:cs="Times New Roman"/>
          <w:b/>
          <w:sz w:val="32"/>
          <w:szCs w:val="20"/>
        </w:rPr>
      </w:pPr>
      <w:r w:rsidRPr="00CE5CC6">
        <w:rPr>
          <w:rFonts w:cs="Times New Roman"/>
          <w:b/>
          <w:sz w:val="32"/>
          <w:szCs w:val="20"/>
        </w:rPr>
        <w:lastRenderedPageBreak/>
        <w:t>VITA</w:t>
      </w:r>
    </w:p>
    <w:p w14:paraId="60BF2AC8" w14:textId="77777777" w:rsidR="00CE5CC6" w:rsidRDefault="00CE5CC6" w:rsidP="00CE5CC6">
      <w:pPr>
        <w:pStyle w:val="NoSpacing"/>
        <w:jc w:val="both"/>
        <w:rPr>
          <w:rFonts w:cs="Times New Roman"/>
          <w:b/>
          <w:sz w:val="32"/>
          <w:szCs w:val="20"/>
        </w:rPr>
      </w:pPr>
    </w:p>
    <w:p w14:paraId="20D91818" w14:textId="1565AF9E" w:rsidR="00CE5CC6" w:rsidRPr="00CE5CC6" w:rsidRDefault="00AC6105" w:rsidP="00CE5CC6">
      <w:pPr>
        <w:pStyle w:val="NoSpacing"/>
        <w:spacing w:line="360" w:lineRule="auto"/>
        <w:jc w:val="both"/>
        <w:rPr>
          <w:rFonts w:cs="Times New Roman"/>
        </w:rPr>
      </w:pPr>
      <w:r>
        <w:rPr>
          <w:rFonts w:cs="Times New Roman"/>
        </w:rPr>
        <w:t xml:space="preserve">Nathan Michael </w:t>
      </w:r>
      <w:r w:rsidR="00CE5CC6">
        <w:rPr>
          <w:rFonts w:cs="Times New Roman"/>
        </w:rPr>
        <w:t>George was born March 16</w:t>
      </w:r>
      <w:r w:rsidR="00CE5CC6" w:rsidRPr="00CE5CC6">
        <w:rPr>
          <w:rFonts w:cs="Times New Roman"/>
          <w:vertAlign w:val="superscript"/>
        </w:rPr>
        <w:t>th</w:t>
      </w:r>
      <w:r w:rsidR="00CE5CC6">
        <w:rPr>
          <w:rFonts w:cs="Times New Roman"/>
        </w:rPr>
        <w:t>, 1988 in Erie, Pennsylvania to</w:t>
      </w:r>
      <w:r w:rsidR="006B744D">
        <w:rPr>
          <w:rFonts w:cs="Times New Roman"/>
        </w:rPr>
        <w:t xml:space="preserve"> the parents of</w:t>
      </w:r>
      <w:r w:rsidR="00CE5CC6">
        <w:rPr>
          <w:rFonts w:cs="Times New Roman"/>
        </w:rPr>
        <w:t xml:space="preserve"> Michael and Kathi George. He is the youngest of four siblings including one older brother, Andrew</w:t>
      </w:r>
      <w:r w:rsidR="004441B8">
        <w:rPr>
          <w:rFonts w:cs="Times New Roman"/>
        </w:rPr>
        <w:t>,</w:t>
      </w:r>
      <w:r w:rsidR="00CE5CC6">
        <w:rPr>
          <w:rFonts w:cs="Times New Roman"/>
        </w:rPr>
        <w:t xml:space="preserve"> and two older sisters, Rachel and Maura. </w:t>
      </w:r>
      <w:r w:rsidR="001C67C7">
        <w:rPr>
          <w:rFonts w:cs="Times New Roman"/>
        </w:rPr>
        <w:t>Nathan graduated</w:t>
      </w:r>
      <w:r w:rsidR="00CE5CC6">
        <w:rPr>
          <w:rFonts w:cs="Times New Roman"/>
        </w:rPr>
        <w:t xml:space="preserve"> from McDowell High School </w:t>
      </w:r>
      <w:r w:rsidR="001C67C7">
        <w:rPr>
          <w:rFonts w:cs="Times New Roman"/>
        </w:rPr>
        <w:t xml:space="preserve">in 2006 </w:t>
      </w:r>
      <w:r w:rsidR="00CE5CC6">
        <w:rPr>
          <w:rFonts w:cs="Times New Roman"/>
        </w:rPr>
        <w:t xml:space="preserve">and proceeded to attend The Pennsylvania State University in University Park, Pennsylvania. </w:t>
      </w:r>
      <w:r w:rsidR="001C67C7">
        <w:rPr>
          <w:rFonts w:cs="Times New Roman"/>
        </w:rPr>
        <w:t xml:space="preserve">In May of 2010, he completed his Bachelor of Science in </w:t>
      </w:r>
      <w:r w:rsidR="00CE5CC6">
        <w:rPr>
          <w:rFonts w:cs="Times New Roman"/>
        </w:rPr>
        <w:t>nuclear engineering with a minor in Spanish language and culture</w:t>
      </w:r>
      <w:r w:rsidR="001C67C7">
        <w:rPr>
          <w:rFonts w:cs="Times New Roman"/>
        </w:rPr>
        <w:t>.</w:t>
      </w:r>
      <w:r w:rsidR="00CE5CC6">
        <w:rPr>
          <w:rFonts w:cs="Times New Roman"/>
        </w:rPr>
        <w:t xml:space="preserve"> After obtaining </w:t>
      </w:r>
      <w:r w:rsidR="000522FC">
        <w:rPr>
          <w:rFonts w:cs="Times New Roman"/>
        </w:rPr>
        <w:t xml:space="preserve">an internship at Oak Ridge National Laboratory </w:t>
      </w:r>
      <w:r w:rsidR="001C67C7">
        <w:rPr>
          <w:rFonts w:cs="Times New Roman"/>
        </w:rPr>
        <w:t xml:space="preserve">in </w:t>
      </w:r>
      <w:r w:rsidR="000522FC">
        <w:rPr>
          <w:rFonts w:cs="Times New Roman"/>
        </w:rPr>
        <w:t xml:space="preserve">the summer of 2010, </w:t>
      </w:r>
      <w:r w:rsidR="00CE5CC6">
        <w:rPr>
          <w:rFonts w:cs="Times New Roman"/>
        </w:rPr>
        <w:t xml:space="preserve">Nathan </w:t>
      </w:r>
      <w:r w:rsidR="000522FC">
        <w:rPr>
          <w:rFonts w:cs="Times New Roman"/>
        </w:rPr>
        <w:t>began</w:t>
      </w:r>
      <w:r w:rsidR="00CE5CC6">
        <w:rPr>
          <w:rFonts w:cs="Times New Roman"/>
        </w:rPr>
        <w:t xml:space="preserve"> </w:t>
      </w:r>
      <w:r w:rsidR="000522FC">
        <w:rPr>
          <w:rFonts w:cs="Times New Roman"/>
        </w:rPr>
        <w:t>graduate school at T</w:t>
      </w:r>
      <w:r w:rsidR="00CE5CC6">
        <w:rPr>
          <w:rFonts w:cs="Times New Roman"/>
        </w:rPr>
        <w:t xml:space="preserve">he University of Tennessee </w:t>
      </w:r>
      <w:r w:rsidR="00B0759E">
        <w:rPr>
          <w:rFonts w:cs="Times New Roman"/>
        </w:rPr>
        <w:t>in Knoxville, Tennessee</w:t>
      </w:r>
      <w:r w:rsidR="000522FC">
        <w:rPr>
          <w:rFonts w:cs="Times New Roman"/>
        </w:rPr>
        <w:t xml:space="preserve"> as</w:t>
      </w:r>
      <w:r w:rsidR="00CE5CC6">
        <w:rPr>
          <w:rFonts w:cs="Times New Roman"/>
        </w:rPr>
        <w:t xml:space="preserve"> </w:t>
      </w:r>
      <w:r w:rsidR="00E42732">
        <w:rPr>
          <w:rFonts w:cs="Times New Roman"/>
        </w:rPr>
        <w:t xml:space="preserve">a </w:t>
      </w:r>
      <w:r w:rsidR="00CE5CC6">
        <w:rPr>
          <w:rFonts w:cs="Times New Roman"/>
        </w:rPr>
        <w:t xml:space="preserve">research </w:t>
      </w:r>
      <w:r w:rsidR="000522FC">
        <w:rPr>
          <w:rFonts w:cs="Times New Roman"/>
        </w:rPr>
        <w:t xml:space="preserve">assistant </w:t>
      </w:r>
      <w:r w:rsidR="00CE5CC6">
        <w:rPr>
          <w:rFonts w:cs="Times New Roman"/>
        </w:rPr>
        <w:t>under Dr. Ivan Maldonado.</w:t>
      </w:r>
      <w:r w:rsidR="000522FC">
        <w:rPr>
          <w:rFonts w:cs="Times New Roman"/>
        </w:rPr>
        <w:t xml:space="preserve"> His research, </w:t>
      </w:r>
      <w:r w:rsidR="001C67C7">
        <w:rPr>
          <w:rFonts w:cs="Times New Roman"/>
        </w:rPr>
        <w:t>in the field of</w:t>
      </w:r>
      <w:r w:rsidR="000522FC">
        <w:rPr>
          <w:rFonts w:cs="Times New Roman"/>
        </w:rPr>
        <w:t xml:space="preserve"> accid</w:t>
      </w:r>
      <w:r w:rsidR="001C67C7">
        <w:rPr>
          <w:rFonts w:cs="Times New Roman"/>
        </w:rPr>
        <w:t>ent tolerant fuel</w:t>
      </w:r>
      <w:r w:rsidR="000522FC">
        <w:rPr>
          <w:rFonts w:cs="Times New Roman"/>
        </w:rPr>
        <w:t xml:space="preserve">, was funded jointly by Oak Ridge </w:t>
      </w:r>
      <w:r w:rsidR="001C67C7">
        <w:rPr>
          <w:rFonts w:cs="Times New Roman"/>
        </w:rPr>
        <w:t>National Laboratory and T</w:t>
      </w:r>
      <w:r w:rsidR="000522FC">
        <w:rPr>
          <w:rFonts w:cs="Times New Roman"/>
        </w:rPr>
        <w:t xml:space="preserve">he University of Tennessee. Nathan completed </w:t>
      </w:r>
      <w:r w:rsidR="001C67C7">
        <w:rPr>
          <w:rFonts w:cs="Times New Roman"/>
        </w:rPr>
        <w:t>his</w:t>
      </w:r>
      <w:r w:rsidR="000522FC">
        <w:rPr>
          <w:rFonts w:cs="Times New Roman"/>
        </w:rPr>
        <w:t xml:space="preserve"> M</w:t>
      </w:r>
      <w:r w:rsidR="00CE5CC6">
        <w:rPr>
          <w:rFonts w:cs="Times New Roman"/>
        </w:rPr>
        <w:t>aster</w:t>
      </w:r>
      <w:r w:rsidR="000522FC">
        <w:rPr>
          <w:rFonts w:cs="Times New Roman"/>
        </w:rPr>
        <w:t xml:space="preserve"> of S</w:t>
      </w:r>
      <w:r w:rsidR="00CE5CC6">
        <w:rPr>
          <w:rFonts w:cs="Times New Roman"/>
        </w:rPr>
        <w:t xml:space="preserve">cience </w:t>
      </w:r>
      <w:r w:rsidR="001C67C7">
        <w:rPr>
          <w:rFonts w:cs="Times New Roman"/>
        </w:rPr>
        <w:t xml:space="preserve">in December of 2011 and </w:t>
      </w:r>
      <w:r w:rsidR="000522FC">
        <w:rPr>
          <w:rFonts w:cs="Times New Roman"/>
        </w:rPr>
        <w:t>D</w:t>
      </w:r>
      <w:r w:rsidR="00B0759E">
        <w:rPr>
          <w:rFonts w:cs="Times New Roman"/>
        </w:rPr>
        <w:t>octor</w:t>
      </w:r>
      <w:r w:rsidR="00CE5CC6">
        <w:rPr>
          <w:rFonts w:cs="Times New Roman"/>
        </w:rPr>
        <w:t xml:space="preserve"> </w:t>
      </w:r>
      <w:r w:rsidR="000522FC">
        <w:rPr>
          <w:rFonts w:cs="Times New Roman"/>
        </w:rPr>
        <w:t>of P</w:t>
      </w:r>
      <w:r w:rsidR="00CE5CC6">
        <w:rPr>
          <w:rFonts w:cs="Times New Roman"/>
        </w:rPr>
        <w:t xml:space="preserve">hilosophy in May of 2015, both in nuclear engineering. </w:t>
      </w:r>
    </w:p>
    <w:sectPr w:rsidR="00CE5CC6" w:rsidRPr="00CE5CC6" w:rsidSect="00F03945">
      <w:pgSz w:w="12240" w:h="15840" w:code="1"/>
      <w:pgMar w:top="1440" w:right="1440" w:bottom="1440" w:left="1440" w:header="720" w:footer="144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F889CD" w14:textId="77777777" w:rsidR="00176A5F" w:rsidRDefault="00176A5F" w:rsidP="00D905B8">
      <w:pPr>
        <w:spacing w:after="0" w:line="240" w:lineRule="auto"/>
      </w:pPr>
      <w:r>
        <w:separator/>
      </w:r>
    </w:p>
  </w:endnote>
  <w:endnote w:type="continuationSeparator" w:id="0">
    <w:p w14:paraId="3B6E17E3" w14:textId="77777777" w:rsidR="00176A5F" w:rsidRDefault="00176A5F" w:rsidP="00D905B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Bold">
    <w:panose1 w:val="02020803070505020304"/>
    <w:charset w:val="00"/>
    <w:family w:val="auto"/>
    <w:pitch w:val="variable"/>
    <w:sig w:usb0="E0002AFF" w:usb1="C0007841"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Lucida Console">
    <w:panose1 w:val="020B0609040504020204"/>
    <w:charset w:val="00"/>
    <w:family w:val="modern"/>
    <w:pitch w:val="fixed"/>
    <w:sig w:usb0="8000028F" w:usb1="00001800" w:usb2="00000000" w:usb3="00000000" w:csb0="0000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A6FAC26" w14:textId="77777777" w:rsidR="00176A5F" w:rsidRDefault="00176A5F">
    <w:pPr>
      <w:pStyle w:val="Footer"/>
      <w:jc w:val="right"/>
    </w:pPr>
  </w:p>
  <w:p w14:paraId="792BDFEE" w14:textId="77777777" w:rsidR="00176A5F" w:rsidRDefault="00176A5F" w:rsidP="004621FC">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71266815"/>
      <w:docPartObj>
        <w:docPartGallery w:val="Page Numbers (Bottom of Page)"/>
        <w:docPartUnique/>
      </w:docPartObj>
    </w:sdtPr>
    <w:sdtEndPr>
      <w:rPr>
        <w:noProof/>
      </w:rPr>
    </w:sdtEndPr>
    <w:sdtContent>
      <w:p w14:paraId="1A5F2460" w14:textId="77777777" w:rsidR="00176A5F" w:rsidRDefault="00176A5F">
        <w:pPr>
          <w:pStyle w:val="Footer"/>
          <w:jc w:val="right"/>
        </w:pPr>
        <w:r>
          <w:fldChar w:fldCharType="begin"/>
        </w:r>
        <w:r>
          <w:instrText xml:space="preserve"> PAGE   \* MERGEFORMAT </w:instrText>
        </w:r>
        <w:r>
          <w:fldChar w:fldCharType="separate"/>
        </w:r>
        <w:r w:rsidR="00DC33EE">
          <w:rPr>
            <w:noProof/>
          </w:rPr>
          <w:t>1</w:t>
        </w:r>
        <w:r>
          <w:rPr>
            <w:noProof/>
          </w:rPr>
          <w:fldChar w:fldCharType="end"/>
        </w:r>
      </w:p>
    </w:sdtContent>
  </w:sdt>
  <w:p w14:paraId="4F033E5B" w14:textId="77777777" w:rsidR="00176A5F" w:rsidRDefault="00176A5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97093"/>
      <w:docPartObj>
        <w:docPartGallery w:val="Page Numbers (Bottom of Page)"/>
        <w:docPartUnique/>
      </w:docPartObj>
    </w:sdtPr>
    <w:sdtEndPr>
      <w:rPr>
        <w:noProof/>
      </w:rPr>
    </w:sdtEndPr>
    <w:sdtContent>
      <w:p w14:paraId="142BB059" w14:textId="77777777" w:rsidR="00176A5F" w:rsidRDefault="00176A5F">
        <w:pPr>
          <w:pStyle w:val="Footer"/>
          <w:jc w:val="right"/>
        </w:pPr>
        <w:r>
          <w:fldChar w:fldCharType="begin"/>
        </w:r>
        <w:r>
          <w:instrText xml:space="preserve"> PAGE   \* MERGEFORMAT </w:instrText>
        </w:r>
        <w:r>
          <w:fldChar w:fldCharType="separate"/>
        </w:r>
        <w:r w:rsidR="00DC33EE">
          <w:rPr>
            <w:noProof/>
          </w:rPr>
          <w:t>ii</w:t>
        </w:r>
        <w:r>
          <w:rPr>
            <w:noProof/>
          </w:rPr>
          <w:fldChar w:fldCharType="end"/>
        </w:r>
      </w:p>
    </w:sdtContent>
  </w:sdt>
  <w:p w14:paraId="6B19057F" w14:textId="77777777" w:rsidR="00176A5F" w:rsidRDefault="00176A5F" w:rsidP="004621FC">
    <w:pPr>
      <w:pStyle w:val="Footer"/>
      <w:jc w:val="righ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09421B3" w14:textId="77777777" w:rsidR="00176A5F" w:rsidRDefault="00176A5F" w:rsidP="00D905B8">
      <w:pPr>
        <w:spacing w:after="0" w:line="240" w:lineRule="auto"/>
      </w:pPr>
      <w:r>
        <w:separator/>
      </w:r>
    </w:p>
  </w:footnote>
  <w:footnote w:type="continuationSeparator" w:id="0">
    <w:p w14:paraId="672FF058" w14:textId="77777777" w:rsidR="00176A5F" w:rsidRDefault="00176A5F" w:rsidP="00D905B8">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24647"/>
    <w:multiLevelType w:val="hybridMultilevel"/>
    <w:tmpl w:val="9710EA8C"/>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319019B"/>
    <w:multiLevelType w:val="hybridMultilevel"/>
    <w:tmpl w:val="2F4014F4"/>
    <w:lvl w:ilvl="0" w:tplc="3D22A4D6">
      <w:start w:val="1"/>
      <w:numFmt w:val="decimal"/>
      <w:lvlText w:val="%1."/>
      <w:lvlJc w:val="left"/>
      <w:pPr>
        <w:ind w:left="360" w:hanging="360"/>
      </w:pPr>
      <w:rPr>
        <w:rFonts w:ascii="Times New Roman" w:eastAsia="Times New Roman" w:hAnsi="Times New Roman" w:cs="Times New Roman"/>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06605308"/>
    <w:multiLevelType w:val="hybridMultilevel"/>
    <w:tmpl w:val="796A748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0140CA3"/>
    <w:multiLevelType w:val="multilevel"/>
    <w:tmpl w:val="EFE481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2A0F54"/>
    <w:multiLevelType w:val="hybridMultilevel"/>
    <w:tmpl w:val="F73A2EEE"/>
    <w:lvl w:ilvl="0" w:tplc="EDE02D30">
      <w:start w:val="1"/>
      <w:numFmt w:val="upperRoman"/>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A4E6859"/>
    <w:multiLevelType w:val="hybridMultilevel"/>
    <w:tmpl w:val="3C501C28"/>
    <w:lvl w:ilvl="0" w:tplc="245C2ED6">
      <w:start w:val="5"/>
      <w:numFmt w:val="bullet"/>
      <w:lvlText w:val="-"/>
      <w:lvlJc w:val="left"/>
      <w:pPr>
        <w:ind w:left="3240" w:hanging="360"/>
      </w:pPr>
      <w:rPr>
        <w:rFonts w:ascii="Times New Roman" w:eastAsiaTheme="minorHAnsi" w:hAnsi="Times New Roman" w:cs="Times New Roman" w:hint="default"/>
      </w:rPr>
    </w:lvl>
    <w:lvl w:ilvl="1" w:tplc="04090003" w:tentative="1">
      <w:start w:val="1"/>
      <w:numFmt w:val="bullet"/>
      <w:lvlText w:val="o"/>
      <w:lvlJc w:val="left"/>
      <w:pPr>
        <w:ind w:left="3960" w:hanging="360"/>
      </w:pPr>
      <w:rPr>
        <w:rFonts w:ascii="Courier New" w:hAnsi="Courier New" w:cs="Courier New" w:hint="default"/>
      </w:rPr>
    </w:lvl>
    <w:lvl w:ilvl="2" w:tplc="04090005" w:tentative="1">
      <w:start w:val="1"/>
      <w:numFmt w:val="bullet"/>
      <w:lvlText w:val=""/>
      <w:lvlJc w:val="left"/>
      <w:pPr>
        <w:ind w:left="4680" w:hanging="360"/>
      </w:pPr>
      <w:rPr>
        <w:rFonts w:ascii="Wingdings" w:hAnsi="Wingdings" w:hint="default"/>
      </w:rPr>
    </w:lvl>
    <w:lvl w:ilvl="3" w:tplc="04090001" w:tentative="1">
      <w:start w:val="1"/>
      <w:numFmt w:val="bullet"/>
      <w:lvlText w:val=""/>
      <w:lvlJc w:val="left"/>
      <w:pPr>
        <w:ind w:left="5400" w:hanging="360"/>
      </w:pPr>
      <w:rPr>
        <w:rFonts w:ascii="Symbol" w:hAnsi="Symbol" w:hint="default"/>
      </w:rPr>
    </w:lvl>
    <w:lvl w:ilvl="4" w:tplc="04090003" w:tentative="1">
      <w:start w:val="1"/>
      <w:numFmt w:val="bullet"/>
      <w:lvlText w:val="o"/>
      <w:lvlJc w:val="left"/>
      <w:pPr>
        <w:ind w:left="6120" w:hanging="360"/>
      </w:pPr>
      <w:rPr>
        <w:rFonts w:ascii="Courier New" w:hAnsi="Courier New" w:cs="Courier New" w:hint="default"/>
      </w:rPr>
    </w:lvl>
    <w:lvl w:ilvl="5" w:tplc="04090005" w:tentative="1">
      <w:start w:val="1"/>
      <w:numFmt w:val="bullet"/>
      <w:lvlText w:val=""/>
      <w:lvlJc w:val="left"/>
      <w:pPr>
        <w:ind w:left="6840" w:hanging="360"/>
      </w:pPr>
      <w:rPr>
        <w:rFonts w:ascii="Wingdings" w:hAnsi="Wingdings" w:hint="default"/>
      </w:rPr>
    </w:lvl>
    <w:lvl w:ilvl="6" w:tplc="04090001" w:tentative="1">
      <w:start w:val="1"/>
      <w:numFmt w:val="bullet"/>
      <w:lvlText w:val=""/>
      <w:lvlJc w:val="left"/>
      <w:pPr>
        <w:ind w:left="7560" w:hanging="360"/>
      </w:pPr>
      <w:rPr>
        <w:rFonts w:ascii="Symbol" w:hAnsi="Symbol" w:hint="default"/>
      </w:rPr>
    </w:lvl>
    <w:lvl w:ilvl="7" w:tplc="04090003" w:tentative="1">
      <w:start w:val="1"/>
      <w:numFmt w:val="bullet"/>
      <w:lvlText w:val="o"/>
      <w:lvlJc w:val="left"/>
      <w:pPr>
        <w:ind w:left="8280" w:hanging="360"/>
      </w:pPr>
      <w:rPr>
        <w:rFonts w:ascii="Courier New" w:hAnsi="Courier New" w:cs="Courier New" w:hint="default"/>
      </w:rPr>
    </w:lvl>
    <w:lvl w:ilvl="8" w:tplc="04090005" w:tentative="1">
      <w:start w:val="1"/>
      <w:numFmt w:val="bullet"/>
      <w:lvlText w:val=""/>
      <w:lvlJc w:val="left"/>
      <w:pPr>
        <w:ind w:left="9000" w:hanging="360"/>
      </w:pPr>
      <w:rPr>
        <w:rFonts w:ascii="Wingdings" w:hAnsi="Wingdings" w:hint="default"/>
      </w:rPr>
    </w:lvl>
  </w:abstractNum>
  <w:abstractNum w:abstractNumId="6">
    <w:nsid w:val="20E52647"/>
    <w:multiLevelType w:val="hybridMultilevel"/>
    <w:tmpl w:val="16DA1282"/>
    <w:lvl w:ilvl="0" w:tplc="883E223E">
      <w:start w:val="1"/>
      <w:numFmt w:val="upp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nsid w:val="254A39F7"/>
    <w:multiLevelType w:val="hybridMultilevel"/>
    <w:tmpl w:val="6384189A"/>
    <w:lvl w:ilvl="0" w:tplc="46DCF400">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nsid w:val="2CEF09B5"/>
    <w:multiLevelType w:val="hybridMultilevel"/>
    <w:tmpl w:val="7BDE6760"/>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2DBD64D8"/>
    <w:multiLevelType w:val="multilevel"/>
    <w:tmpl w:val="015C9E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2ECC717F"/>
    <w:multiLevelType w:val="hybridMultilevel"/>
    <w:tmpl w:val="59C2EC08"/>
    <w:lvl w:ilvl="0" w:tplc="0F266104">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11">
    <w:nsid w:val="31432256"/>
    <w:multiLevelType w:val="hybridMultilevel"/>
    <w:tmpl w:val="2076B20C"/>
    <w:lvl w:ilvl="0" w:tplc="36B66E40">
      <w:start w:val="1"/>
      <w:numFmt w:val="lowerLetter"/>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65A6134"/>
    <w:multiLevelType w:val="hybridMultilevel"/>
    <w:tmpl w:val="1C32F3F2"/>
    <w:lvl w:ilvl="0" w:tplc="D76E1E7E">
      <w:start w:val="1"/>
      <w:numFmt w:val="lowerLetter"/>
      <w:lvlText w:val="%1)"/>
      <w:lvlJc w:val="left"/>
      <w:pPr>
        <w:ind w:left="1800" w:hanging="1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861B43"/>
    <w:multiLevelType w:val="hybridMultilevel"/>
    <w:tmpl w:val="46964CA6"/>
    <w:lvl w:ilvl="0" w:tplc="63C0366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B971F6"/>
    <w:multiLevelType w:val="hybridMultilevel"/>
    <w:tmpl w:val="05969E52"/>
    <w:lvl w:ilvl="0" w:tplc="2D2434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nsid w:val="40680D87"/>
    <w:multiLevelType w:val="hybridMultilevel"/>
    <w:tmpl w:val="B5BA580E"/>
    <w:lvl w:ilvl="0" w:tplc="51A0EFE4">
      <w:start w:val="1"/>
      <w:numFmt w:val="upperRoman"/>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nsid w:val="42E74BA7"/>
    <w:multiLevelType w:val="hybridMultilevel"/>
    <w:tmpl w:val="68BC8406"/>
    <w:lvl w:ilvl="0" w:tplc="04090017">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nsid w:val="46764D97"/>
    <w:multiLevelType w:val="hybridMultilevel"/>
    <w:tmpl w:val="241CCEDA"/>
    <w:lvl w:ilvl="0" w:tplc="7C2AB6B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4B471940"/>
    <w:multiLevelType w:val="hybridMultilevel"/>
    <w:tmpl w:val="88E2A7FE"/>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51EA4252"/>
    <w:multiLevelType w:val="hybridMultilevel"/>
    <w:tmpl w:val="5B1E081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53341D0"/>
    <w:multiLevelType w:val="multilevel"/>
    <w:tmpl w:val="FF04FF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59776CDB"/>
    <w:multiLevelType w:val="hybridMultilevel"/>
    <w:tmpl w:val="59C2EC08"/>
    <w:lvl w:ilvl="0" w:tplc="0F266104">
      <w:start w:val="1"/>
      <w:numFmt w:val="lowerLetter"/>
      <w:lvlText w:val="%1)"/>
      <w:lvlJc w:val="left"/>
      <w:pPr>
        <w:ind w:left="660" w:hanging="360"/>
      </w:pPr>
      <w:rPr>
        <w:rFonts w:hint="default"/>
      </w:rPr>
    </w:lvl>
    <w:lvl w:ilvl="1" w:tplc="04090019" w:tentative="1">
      <w:start w:val="1"/>
      <w:numFmt w:val="lowerLetter"/>
      <w:lvlText w:val="%2."/>
      <w:lvlJc w:val="left"/>
      <w:pPr>
        <w:ind w:left="1380" w:hanging="360"/>
      </w:pPr>
    </w:lvl>
    <w:lvl w:ilvl="2" w:tplc="0409001B" w:tentative="1">
      <w:start w:val="1"/>
      <w:numFmt w:val="lowerRoman"/>
      <w:lvlText w:val="%3."/>
      <w:lvlJc w:val="right"/>
      <w:pPr>
        <w:ind w:left="2100" w:hanging="180"/>
      </w:pPr>
    </w:lvl>
    <w:lvl w:ilvl="3" w:tplc="0409000F" w:tentative="1">
      <w:start w:val="1"/>
      <w:numFmt w:val="decimal"/>
      <w:lvlText w:val="%4."/>
      <w:lvlJc w:val="left"/>
      <w:pPr>
        <w:ind w:left="2820" w:hanging="360"/>
      </w:pPr>
    </w:lvl>
    <w:lvl w:ilvl="4" w:tplc="04090019" w:tentative="1">
      <w:start w:val="1"/>
      <w:numFmt w:val="lowerLetter"/>
      <w:lvlText w:val="%5."/>
      <w:lvlJc w:val="left"/>
      <w:pPr>
        <w:ind w:left="3540" w:hanging="360"/>
      </w:pPr>
    </w:lvl>
    <w:lvl w:ilvl="5" w:tplc="0409001B" w:tentative="1">
      <w:start w:val="1"/>
      <w:numFmt w:val="lowerRoman"/>
      <w:lvlText w:val="%6."/>
      <w:lvlJc w:val="right"/>
      <w:pPr>
        <w:ind w:left="4260" w:hanging="180"/>
      </w:pPr>
    </w:lvl>
    <w:lvl w:ilvl="6" w:tplc="0409000F" w:tentative="1">
      <w:start w:val="1"/>
      <w:numFmt w:val="decimal"/>
      <w:lvlText w:val="%7."/>
      <w:lvlJc w:val="left"/>
      <w:pPr>
        <w:ind w:left="4980" w:hanging="360"/>
      </w:pPr>
    </w:lvl>
    <w:lvl w:ilvl="7" w:tplc="04090019" w:tentative="1">
      <w:start w:val="1"/>
      <w:numFmt w:val="lowerLetter"/>
      <w:lvlText w:val="%8."/>
      <w:lvlJc w:val="left"/>
      <w:pPr>
        <w:ind w:left="5700" w:hanging="360"/>
      </w:pPr>
    </w:lvl>
    <w:lvl w:ilvl="8" w:tplc="0409001B" w:tentative="1">
      <w:start w:val="1"/>
      <w:numFmt w:val="lowerRoman"/>
      <w:lvlText w:val="%9."/>
      <w:lvlJc w:val="right"/>
      <w:pPr>
        <w:ind w:left="6420" w:hanging="180"/>
      </w:pPr>
    </w:lvl>
  </w:abstractNum>
  <w:abstractNum w:abstractNumId="22">
    <w:nsid w:val="59A56399"/>
    <w:multiLevelType w:val="hybridMultilevel"/>
    <w:tmpl w:val="6EC60C98"/>
    <w:lvl w:ilvl="0" w:tplc="04090017">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3">
    <w:nsid w:val="5CD4076C"/>
    <w:multiLevelType w:val="hybridMultilevel"/>
    <w:tmpl w:val="6756A854"/>
    <w:lvl w:ilvl="0" w:tplc="04090015">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3091E46"/>
    <w:multiLevelType w:val="multilevel"/>
    <w:tmpl w:val="1D28EB78"/>
    <w:lvl w:ilvl="0">
      <w:start w:val="1"/>
      <w:numFmt w:val="decimal"/>
      <w:lvlText w:val="%1."/>
      <w:lvlJc w:val="left"/>
      <w:pPr>
        <w:ind w:left="232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81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25">
    <w:nsid w:val="687F2DA1"/>
    <w:multiLevelType w:val="hybridMultilevel"/>
    <w:tmpl w:val="0BAC372E"/>
    <w:lvl w:ilvl="0" w:tplc="64187606">
      <w:start w:val="1"/>
      <w:numFmt w:val="upperRoman"/>
      <w:pStyle w:val="TOC2"/>
      <w:lvlText w:val="%1."/>
      <w:lvlJc w:val="left"/>
      <w:pPr>
        <w:ind w:left="1080" w:hanging="720"/>
      </w:pPr>
      <w:rPr>
        <w:rFonts w:hint="default"/>
      </w:rPr>
    </w:lvl>
    <w:lvl w:ilvl="1" w:tplc="42D8BEF0">
      <w:start w:val="1"/>
      <w:numFmt w:val="upperLetter"/>
      <w:lvlText w:val="I.%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69676B92"/>
    <w:multiLevelType w:val="hybridMultilevel"/>
    <w:tmpl w:val="796A748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729E69D5"/>
    <w:multiLevelType w:val="hybridMultilevel"/>
    <w:tmpl w:val="CF5EC632"/>
    <w:lvl w:ilvl="0" w:tplc="04090017">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8">
    <w:nsid w:val="7F6405BC"/>
    <w:multiLevelType w:val="hybridMultilevel"/>
    <w:tmpl w:val="716014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FA7732C"/>
    <w:multiLevelType w:val="hybridMultilevel"/>
    <w:tmpl w:val="85EC3064"/>
    <w:lvl w:ilvl="0" w:tplc="0C207672">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23"/>
  </w:num>
  <w:num w:numId="2">
    <w:abstractNumId w:val="20"/>
  </w:num>
  <w:num w:numId="3">
    <w:abstractNumId w:val="9"/>
  </w:num>
  <w:num w:numId="4">
    <w:abstractNumId w:val="3"/>
  </w:num>
  <w:num w:numId="5">
    <w:abstractNumId w:val="13"/>
  </w:num>
  <w:num w:numId="6">
    <w:abstractNumId w:val="17"/>
  </w:num>
  <w:num w:numId="7">
    <w:abstractNumId w:val="28"/>
  </w:num>
  <w:num w:numId="8">
    <w:abstractNumId w:val="26"/>
  </w:num>
  <w:num w:numId="9">
    <w:abstractNumId w:val="24"/>
  </w:num>
  <w:num w:numId="10">
    <w:abstractNumId w:val="14"/>
  </w:num>
  <w:num w:numId="11">
    <w:abstractNumId w:val="1"/>
  </w:num>
  <w:num w:numId="12">
    <w:abstractNumId w:val="25"/>
  </w:num>
  <w:num w:numId="13">
    <w:abstractNumId w:val="2"/>
  </w:num>
  <w:num w:numId="14">
    <w:abstractNumId w:val="7"/>
  </w:num>
  <w:num w:numId="15">
    <w:abstractNumId w:val="16"/>
  </w:num>
  <w:num w:numId="16">
    <w:abstractNumId w:val="18"/>
  </w:num>
  <w:num w:numId="17">
    <w:abstractNumId w:val="19"/>
  </w:num>
  <w:num w:numId="18">
    <w:abstractNumId w:val="5"/>
  </w:num>
  <w:num w:numId="19">
    <w:abstractNumId w:val="27"/>
  </w:num>
  <w:num w:numId="20">
    <w:abstractNumId w:val="8"/>
  </w:num>
  <w:num w:numId="21">
    <w:abstractNumId w:val="12"/>
  </w:num>
  <w:num w:numId="22">
    <w:abstractNumId w:val="11"/>
  </w:num>
  <w:num w:numId="23">
    <w:abstractNumId w:val="4"/>
  </w:num>
  <w:num w:numId="24">
    <w:abstractNumId w:val="29"/>
  </w:num>
  <w:num w:numId="25">
    <w:abstractNumId w:val="15"/>
  </w:num>
  <w:num w:numId="26">
    <w:abstractNumId w:val="6"/>
  </w:num>
  <w:num w:numId="27">
    <w:abstractNumId w:val="22"/>
  </w:num>
  <w:num w:numId="28">
    <w:abstractNumId w:val="0"/>
  </w:num>
  <w:num w:numId="29">
    <w:abstractNumId w:val="10"/>
  </w:num>
  <w:num w:numId="30">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0&lt;/Enabled&gt;&lt;ScanUnformatted&gt;1&lt;/ScanUnformatted&gt;&lt;ScanChanges&gt;1&lt;/ScanChanges&gt;&lt;Suspended&gt;0&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ableBibliographyCategories&gt;0&lt;/EnableBibliographyCategories&gt;&lt;/ENLayout&gt;"/>
    <w:docVar w:name="EN.Libraries" w:val="&lt;Libraries&gt;&lt;item db-id=&quot;trfxzx057wwv0qe0vz1vttttwf0522tvtwpt&quot;&gt;Dissertation&lt;record-ids&gt;&lt;item&gt;1&lt;/item&gt;&lt;item&gt;2&lt;/item&gt;&lt;item&gt;3&lt;/item&gt;&lt;item&gt;4&lt;/item&gt;&lt;item&gt;5&lt;/item&gt;&lt;item&gt;6&lt;/item&gt;&lt;item&gt;7&lt;/item&gt;&lt;item&gt;8&lt;/item&gt;&lt;item&gt;9&lt;/item&gt;&lt;item&gt;10&lt;/item&gt;&lt;item&gt;11&lt;/item&gt;&lt;item&gt;12&lt;/item&gt;&lt;item&gt;13&lt;/item&gt;&lt;item&gt;14&lt;/item&gt;&lt;item&gt;15&lt;/item&gt;&lt;item&gt;16&lt;/item&gt;&lt;item&gt;18&lt;/item&gt;&lt;item&gt;20&lt;/item&gt;&lt;item&gt;21&lt;/item&gt;&lt;item&gt;22&lt;/item&gt;&lt;item&gt;23&lt;/item&gt;&lt;item&gt;24&lt;/item&gt;&lt;item&gt;26&lt;/item&gt;&lt;item&gt;27&lt;/item&gt;&lt;item&gt;30&lt;/item&gt;&lt;item&gt;31&lt;/item&gt;&lt;item&gt;34&lt;/item&gt;&lt;item&gt;35&lt;/item&gt;&lt;item&gt;36&lt;/item&gt;&lt;item&gt;40&lt;/item&gt;&lt;item&gt;41&lt;/item&gt;&lt;item&gt;42&lt;/item&gt;&lt;item&gt;43&lt;/item&gt;&lt;item&gt;44&lt;/item&gt;&lt;item&gt;45&lt;/item&gt;&lt;item&gt;46&lt;/item&gt;&lt;item&gt;90&lt;/item&gt;&lt;item&gt;92&lt;/item&gt;&lt;item&gt;93&lt;/item&gt;&lt;item&gt;94&lt;/item&gt;&lt;item&gt;95&lt;/item&gt;&lt;item&gt;96&lt;/item&gt;&lt;item&gt;97&lt;/item&gt;&lt;item&gt;100&lt;/item&gt;&lt;item&gt;101&lt;/item&gt;&lt;item&gt;103&lt;/item&gt;&lt;item&gt;104&lt;/item&gt;&lt;item&gt;105&lt;/item&gt;&lt;item&gt;106&lt;/item&gt;&lt;item&gt;107&lt;/item&gt;&lt;item&gt;109&lt;/item&gt;&lt;item&gt;110&lt;/item&gt;&lt;item&gt;111&lt;/item&gt;&lt;item&gt;114&lt;/item&gt;&lt;item&gt;115&lt;/item&gt;&lt;/record-ids&gt;&lt;/item&gt;&lt;/Libraries&gt;"/>
  </w:docVars>
  <w:rsids>
    <w:rsidRoot w:val="00FF59C0"/>
    <w:rsid w:val="0000081E"/>
    <w:rsid w:val="000016EE"/>
    <w:rsid w:val="00003F5F"/>
    <w:rsid w:val="00004422"/>
    <w:rsid w:val="00005FF3"/>
    <w:rsid w:val="000062DE"/>
    <w:rsid w:val="00006F52"/>
    <w:rsid w:val="00007C03"/>
    <w:rsid w:val="00011690"/>
    <w:rsid w:val="00012BBA"/>
    <w:rsid w:val="00012C35"/>
    <w:rsid w:val="00013BA1"/>
    <w:rsid w:val="00013DCF"/>
    <w:rsid w:val="00015F4E"/>
    <w:rsid w:val="00017CD4"/>
    <w:rsid w:val="00020E28"/>
    <w:rsid w:val="00021C58"/>
    <w:rsid w:val="0002465E"/>
    <w:rsid w:val="00024DEA"/>
    <w:rsid w:val="0002696F"/>
    <w:rsid w:val="00026BF4"/>
    <w:rsid w:val="00027757"/>
    <w:rsid w:val="00027B00"/>
    <w:rsid w:val="0003299B"/>
    <w:rsid w:val="00033895"/>
    <w:rsid w:val="0004111C"/>
    <w:rsid w:val="00041C50"/>
    <w:rsid w:val="00043FE7"/>
    <w:rsid w:val="0004431C"/>
    <w:rsid w:val="00044E52"/>
    <w:rsid w:val="00046F32"/>
    <w:rsid w:val="00047FCA"/>
    <w:rsid w:val="00050337"/>
    <w:rsid w:val="000519E4"/>
    <w:rsid w:val="00051BA9"/>
    <w:rsid w:val="000522FC"/>
    <w:rsid w:val="00053AB8"/>
    <w:rsid w:val="000572B6"/>
    <w:rsid w:val="00057668"/>
    <w:rsid w:val="00060B85"/>
    <w:rsid w:val="000620A8"/>
    <w:rsid w:val="00063AD6"/>
    <w:rsid w:val="00065C95"/>
    <w:rsid w:val="00065C99"/>
    <w:rsid w:val="00066DA2"/>
    <w:rsid w:val="00066FB2"/>
    <w:rsid w:val="00070617"/>
    <w:rsid w:val="00073AA4"/>
    <w:rsid w:val="00075E3D"/>
    <w:rsid w:val="00076A9D"/>
    <w:rsid w:val="000808D8"/>
    <w:rsid w:val="00080D61"/>
    <w:rsid w:val="00080FF8"/>
    <w:rsid w:val="000810FE"/>
    <w:rsid w:val="0008248F"/>
    <w:rsid w:val="00086B91"/>
    <w:rsid w:val="0009182C"/>
    <w:rsid w:val="00092C2B"/>
    <w:rsid w:val="00092C92"/>
    <w:rsid w:val="00093705"/>
    <w:rsid w:val="00095C12"/>
    <w:rsid w:val="00095D13"/>
    <w:rsid w:val="00096AE2"/>
    <w:rsid w:val="00096E97"/>
    <w:rsid w:val="000A007D"/>
    <w:rsid w:val="000A1BDE"/>
    <w:rsid w:val="000A1F24"/>
    <w:rsid w:val="000A5A58"/>
    <w:rsid w:val="000B041B"/>
    <w:rsid w:val="000B04FC"/>
    <w:rsid w:val="000B0640"/>
    <w:rsid w:val="000B084C"/>
    <w:rsid w:val="000B1DFA"/>
    <w:rsid w:val="000B269D"/>
    <w:rsid w:val="000B7059"/>
    <w:rsid w:val="000C00FD"/>
    <w:rsid w:val="000C214E"/>
    <w:rsid w:val="000C3396"/>
    <w:rsid w:val="000C4188"/>
    <w:rsid w:val="000C774E"/>
    <w:rsid w:val="000D0701"/>
    <w:rsid w:val="000D2343"/>
    <w:rsid w:val="000D3441"/>
    <w:rsid w:val="000D4981"/>
    <w:rsid w:val="000D72C3"/>
    <w:rsid w:val="000E2579"/>
    <w:rsid w:val="000E7F77"/>
    <w:rsid w:val="000F010B"/>
    <w:rsid w:val="000F2AA4"/>
    <w:rsid w:val="000F356B"/>
    <w:rsid w:val="000F63D8"/>
    <w:rsid w:val="0010187C"/>
    <w:rsid w:val="001021EF"/>
    <w:rsid w:val="00102400"/>
    <w:rsid w:val="0010248C"/>
    <w:rsid w:val="0010573C"/>
    <w:rsid w:val="00106BDE"/>
    <w:rsid w:val="001152C6"/>
    <w:rsid w:val="00117B6B"/>
    <w:rsid w:val="00117FB3"/>
    <w:rsid w:val="00120DBC"/>
    <w:rsid w:val="00122717"/>
    <w:rsid w:val="00124D14"/>
    <w:rsid w:val="00125CB8"/>
    <w:rsid w:val="00125D92"/>
    <w:rsid w:val="00133728"/>
    <w:rsid w:val="001368F8"/>
    <w:rsid w:val="0013708F"/>
    <w:rsid w:val="00137A01"/>
    <w:rsid w:val="00140814"/>
    <w:rsid w:val="00144934"/>
    <w:rsid w:val="00144EEA"/>
    <w:rsid w:val="00150332"/>
    <w:rsid w:val="001536F5"/>
    <w:rsid w:val="00153790"/>
    <w:rsid w:val="00157214"/>
    <w:rsid w:val="00157282"/>
    <w:rsid w:val="00157FDF"/>
    <w:rsid w:val="001608FF"/>
    <w:rsid w:val="0016399C"/>
    <w:rsid w:val="001641B4"/>
    <w:rsid w:val="001676C5"/>
    <w:rsid w:val="001701D9"/>
    <w:rsid w:val="001709BF"/>
    <w:rsid w:val="00170DF3"/>
    <w:rsid w:val="001728E2"/>
    <w:rsid w:val="00176A5F"/>
    <w:rsid w:val="001774E8"/>
    <w:rsid w:val="00177DF2"/>
    <w:rsid w:val="00180B8F"/>
    <w:rsid w:val="00181DE0"/>
    <w:rsid w:val="001823C1"/>
    <w:rsid w:val="00182DC7"/>
    <w:rsid w:val="0018372E"/>
    <w:rsid w:val="0018675E"/>
    <w:rsid w:val="00186A49"/>
    <w:rsid w:val="001874D0"/>
    <w:rsid w:val="00191CA7"/>
    <w:rsid w:val="001956F7"/>
    <w:rsid w:val="001973B9"/>
    <w:rsid w:val="001A2DA3"/>
    <w:rsid w:val="001A4B7E"/>
    <w:rsid w:val="001A5FA2"/>
    <w:rsid w:val="001A65D0"/>
    <w:rsid w:val="001A7EC6"/>
    <w:rsid w:val="001B1800"/>
    <w:rsid w:val="001B2BA2"/>
    <w:rsid w:val="001B315B"/>
    <w:rsid w:val="001B382D"/>
    <w:rsid w:val="001B5D07"/>
    <w:rsid w:val="001C0F5D"/>
    <w:rsid w:val="001C163F"/>
    <w:rsid w:val="001C166E"/>
    <w:rsid w:val="001C4A60"/>
    <w:rsid w:val="001C5508"/>
    <w:rsid w:val="001C5D0A"/>
    <w:rsid w:val="001C5DE7"/>
    <w:rsid w:val="001C5FF9"/>
    <w:rsid w:val="001C67C7"/>
    <w:rsid w:val="001C71A5"/>
    <w:rsid w:val="001D553C"/>
    <w:rsid w:val="001D7497"/>
    <w:rsid w:val="001E06BF"/>
    <w:rsid w:val="001E2796"/>
    <w:rsid w:val="001E5DD5"/>
    <w:rsid w:val="001E71D0"/>
    <w:rsid w:val="001F035F"/>
    <w:rsid w:val="001F2287"/>
    <w:rsid w:val="001F3CB4"/>
    <w:rsid w:val="001F4AD8"/>
    <w:rsid w:val="001F4BD6"/>
    <w:rsid w:val="001F5415"/>
    <w:rsid w:val="001F5455"/>
    <w:rsid w:val="001F66A4"/>
    <w:rsid w:val="002009F6"/>
    <w:rsid w:val="00203F7C"/>
    <w:rsid w:val="00204AED"/>
    <w:rsid w:val="002050B6"/>
    <w:rsid w:val="002051D4"/>
    <w:rsid w:val="0020579B"/>
    <w:rsid w:val="002064D0"/>
    <w:rsid w:val="002100FA"/>
    <w:rsid w:val="00211958"/>
    <w:rsid w:val="0021358A"/>
    <w:rsid w:val="00213C52"/>
    <w:rsid w:val="00215F37"/>
    <w:rsid w:val="00216D18"/>
    <w:rsid w:val="00220A8E"/>
    <w:rsid w:val="00221854"/>
    <w:rsid w:val="0022658F"/>
    <w:rsid w:val="00227EF8"/>
    <w:rsid w:val="0023185A"/>
    <w:rsid w:val="002329DE"/>
    <w:rsid w:val="00233A23"/>
    <w:rsid w:val="00234A48"/>
    <w:rsid w:val="00236C4F"/>
    <w:rsid w:val="00241031"/>
    <w:rsid w:val="00243525"/>
    <w:rsid w:val="002443B3"/>
    <w:rsid w:val="00247A7B"/>
    <w:rsid w:val="00247E8F"/>
    <w:rsid w:val="002515C4"/>
    <w:rsid w:val="002515E8"/>
    <w:rsid w:val="00252234"/>
    <w:rsid w:val="002543C4"/>
    <w:rsid w:val="00255C7D"/>
    <w:rsid w:val="00261CC9"/>
    <w:rsid w:val="00265928"/>
    <w:rsid w:val="0026606D"/>
    <w:rsid w:val="00266A74"/>
    <w:rsid w:val="00272DFD"/>
    <w:rsid w:val="00273DB5"/>
    <w:rsid w:val="00274225"/>
    <w:rsid w:val="002749D0"/>
    <w:rsid w:val="00274C69"/>
    <w:rsid w:val="00276339"/>
    <w:rsid w:val="00277E51"/>
    <w:rsid w:val="00283ABD"/>
    <w:rsid w:val="00284FE1"/>
    <w:rsid w:val="00291D31"/>
    <w:rsid w:val="00291EFB"/>
    <w:rsid w:val="00293A39"/>
    <w:rsid w:val="00294790"/>
    <w:rsid w:val="00294F4F"/>
    <w:rsid w:val="00295457"/>
    <w:rsid w:val="002A0C6E"/>
    <w:rsid w:val="002A1552"/>
    <w:rsid w:val="002A3A6D"/>
    <w:rsid w:val="002A7272"/>
    <w:rsid w:val="002B0D1A"/>
    <w:rsid w:val="002B75C4"/>
    <w:rsid w:val="002C0433"/>
    <w:rsid w:val="002C14CB"/>
    <w:rsid w:val="002C4114"/>
    <w:rsid w:val="002C5284"/>
    <w:rsid w:val="002C5791"/>
    <w:rsid w:val="002C7D60"/>
    <w:rsid w:val="002D1559"/>
    <w:rsid w:val="002D27D8"/>
    <w:rsid w:val="002D5E5D"/>
    <w:rsid w:val="002D6A6D"/>
    <w:rsid w:val="002E018D"/>
    <w:rsid w:val="002E2F39"/>
    <w:rsid w:val="002E2F4E"/>
    <w:rsid w:val="002E35CF"/>
    <w:rsid w:val="002E3C51"/>
    <w:rsid w:val="002E67EB"/>
    <w:rsid w:val="002F031C"/>
    <w:rsid w:val="002F204E"/>
    <w:rsid w:val="002F340B"/>
    <w:rsid w:val="002F3942"/>
    <w:rsid w:val="002F6460"/>
    <w:rsid w:val="002F657E"/>
    <w:rsid w:val="00300822"/>
    <w:rsid w:val="00302E2E"/>
    <w:rsid w:val="003036F3"/>
    <w:rsid w:val="0030397F"/>
    <w:rsid w:val="003039D3"/>
    <w:rsid w:val="00303E50"/>
    <w:rsid w:val="00305D8E"/>
    <w:rsid w:val="0030764F"/>
    <w:rsid w:val="003102C0"/>
    <w:rsid w:val="00314B71"/>
    <w:rsid w:val="00314DEA"/>
    <w:rsid w:val="00317220"/>
    <w:rsid w:val="00320494"/>
    <w:rsid w:val="0032284F"/>
    <w:rsid w:val="003228FA"/>
    <w:rsid w:val="0032359F"/>
    <w:rsid w:val="00324D57"/>
    <w:rsid w:val="003255D1"/>
    <w:rsid w:val="003272B7"/>
    <w:rsid w:val="00327E28"/>
    <w:rsid w:val="00334C95"/>
    <w:rsid w:val="00335DE1"/>
    <w:rsid w:val="00337CCA"/>
    <w:rsid w:val="003407D5"/>
    <w:rsid w:val="00342F27"/>
    <w:rsid w:val="00343544"/>
    <w:rsid w:val="00343F66"/>
    <w:rsid w:val="00345543"/>
    <w:rsid w:val="003468F7"/>
    <w:rsid w:val="003478EC"/>
    <w:rsid w:val="00347978"/>
    <w:rsid w:val="00350ADF"/>
    <w:rsid w:val="00354E6E"/>
    <w:rsid w:val="003574BB"/>
    <w:rsid w:val="0036221D"/>
    <w:rsid w:val="0036222B"/>
    <w:rsid w:val="00362818"/>
    <w:rsid w:val="00363794"/>
    <w:rsid w:val="00366D1A"/>
    <w:rsid w:val="003704E2"/>
    <w:rsid w:val="003727ED"/>
    <w:rsid w:val="00373287"/>
    <w:rsid w:val="00374694"/>
    <w:rsid w:val="003748F2"/>
    <w:rsid w:val="003759CF"/>
    <w:rsid w:val="00377D21"/>
    <w:rsid w:val="0038083B"/>
    <w:rsid w:val="003822CA"/>
    <w:rsid w:val="003831BC"/>
    <w:rsid w:val="00383743"/>
    <w:rsid w:val="00384A4A"/>
    <w:rsid w:val="003866CA"/>
    <w:rsid w:val="00394CEB"/>
    <w:rsid w:val="00395BB3"/>
    <w:rsid w:val="003973F0"/>
    <w:rsid w:val="0039764A"/>
    <w:rsid w:val="003A01BC"/>
    <w:rsid w:val="003A0AFA"/>
    <w:rsid w:val="003A4387"/>
    <w:rsid w:val="003A500C"/>
    <w:rsid w:val="003A5B27"/>
    <w:rsid w:val="003A6E52"/>
    <w:rsid w:val="003A7597"/>
    <w:rsid w:val="003B0A69"/>
    <w:rsid w:val="003B486C"/>
    <w:rsid w:val="003B77EB"/>
    <w:rsid w:val="003C4282"/>
    <w:rsid w:val="003C5DD4"/>
    <w:rsid w:val="003C76A8"/>
    <w:rsid w:val="003D1FA2"/>
    <w:rsid w:val="003D226A"/>
    <w:rsid w:val="003D57EF"/>
    <w:rsid w:val="003D5ECD"/>
    <w:rsid w:val="003D6D4C"/>
    <w:rsid w:val="003D78A6"/>
    <w:rsid w:val="003E176D"/>
    <w:rsid w:val="003E2292"/>
    <w:rsid w:val="003E246F"/>
    <w:rsid w:val="003E4D27"/>
    <w:rsid w:val="003E5EDE"/>
    <w:rsid w:val="003E7E01"/>
    <w:rsid w:val="003F459C"/>
    <w:rsid w:val="003F4772"/>
    <w:rsid w:val="003F5DB8"/>
    <w:rsid w:val="003F66C1"/>
    <w:rsid w:val="003F6EAB"/>
    <w:rsid w:val="003F7BD0"/>
    <w:rsid w:val="003F7C50"/>
    <w:rsid w:val="004034B1"/>
    <w:rsid w:val="004042E7"/>
    <w:rsid w:val="004123D1"/>
    <w:rsid w:val="00414C90"/>
    <w:rsid w:val="0041685B"/>
    <w:rsid w:val="00417AB4"/>
    <w:rsid w:val="00420B56"/>
    <w:rsid w:val="00425594"/>
    <w:rsid w:val="00425816"/>
    <w:rsid w:val="00430EC4"/>
    <w:rsid w:val="00431E4E"/>
    <w:rsid w:val="004339DE"/>
    <w:rsid w:val="004347C4"/>
    <w:rsid w:val="00434E85"/>
    <w:rsid w:val="00436B12"/>
    <w:rsid w:val="00442FCA"/>
    <w:rsid w:val="004441B8"/>
    <w:rsid w:val="00444F6C"/>
    <w:rsid w:val="00446296"/>
    <w:rsid w:val="0045271B"/>
    <w:rsid w:val="00453504"/>
    <w:rsid w:val="00457D79"/>
    <w:rsid w:val="004621FC"/>
    <w:rsid w:val="0046308B"/>
    <w:rsid w:val="004630FF"/>
    <w:rsid w:val="00466BCC"/>
    <w:rsid w:val="00472C7B"/>
    <w:rsid w:val="00473C18"/>
    <w:rsid w:val="00474252"/>
    <w:rsid w:val="004747FF"/>
    <w:rsid w:val="00476174"/>
    <w:rsid w:val="00476728"/>
    <w:rsid w:val="00482C23"/>
    <w:rsid w:val="00483233"/>
    <w:rsid w:val="00483F15"/>
    <w:rsid w:val="004862A3"/>
    <w:rsid w:val="004867A9"/>
    <w:rsid w:val="004906D9"/>
    <w:rsid w:val="00491FEA"/>
    <w:rsid w:val="0049346C"/>
    <w:rsid w:val="00496389"/>
    <w:rsid w:val="00497109"/>
    <w:rsid w:val="004A16CF"/>
    <w:rsid w:val="004A34DD"/>
    <w:rsid w:val="004A3C65"/>
    <w:rsid w:val="004B1BEC"/>
    <w:rsid w:val="004B73AF"/>
    <w:rsid w:val="004B7E59"/>
    <w:rsid w:val="004C0F1A"/>
    <w:rsid w:val="004C1C1D"/>
    <w:rsid w:val="004C47B5"/>
    <w:rsid w:val="004C66BE"/>
    <w:rsid w:val="004C701E"/>
    <w:rsid w:val="004C71A1"/>
    <w:rsid w:val="004C7386"/>
    <w:rsid w:val="004D1F97"/>
    <w:rsid w:val="004D2B54"/>
    <w:rsid w:val="004D4050"/>
    <w:rsid w:val="004D426B"/>
    <w:rsid w:val="004D436C"/>
    <w:rsid w:val="004D4E2B"/>
    <w:rsid w:val="004D5D9E"/>
    <w:rsid w:val="004D77A9"/>
    <w:rsid w:val="004E0109"/>
    <w:rsid w:val="004E0751"/>
    <w:rsid w:val="004E13B1"/>
    <w:rsid w:val="004E1CEE"/>
    <w:rsid w:val="004E2940"/>
    <w:rsid w:val="004E3360"/>
    <w:rsid w:val="004E4886"/>
    <w:rsid w:val="004E5864"/>
    <w:rsid w:val="004E7981"/>
    <w:rsid w:val="004F1E71"/>
    <w:rsid w:val="004F21DD"/>
    <w:rsid w:val="004F2836"/>
    <w:rsid w:val="004F3281"/>
    <w:rsid w:val="004F382F"/>
    <w:rsid w:val="004F48EC"/>
    <w:rsid w:val="004F6963"/>
    <w:rsid w:val="004F786A"/>
    <w:rsid w:val="004F7D0E"/>
    <w:rsid w:val="00500A20"/>
    <w:rsid w:val="00502C31"/>
    <w:rsid w:val="005032C0"/>
    <w:rsid w:val="005048B0"/>
    <w:rsid w:val="00504F2D"/>
    <w:rsid w:val="0050601A"/>
    <w:rsid w:val="00506B4A"/>
    <w:rsid w:val="00513C09"/>
    <w:rsid w:val="00514894"/>
    <w:rsid w:val="00514B5C"/>
    <w:rsid w:val="00514B8B"/>
    <w:rsid w:val="005168BF"/>
    <w:rsid w:val="00521D6C"/>
    <w:rsid w:val="00522142"/>
    <w:rsid w:val="005232C5"/>
    <w:rsid w:val="005252F1"/>
    <w:rsid w:val="00525BA7"/>
    <w:rsid w:val="005271C6"/>
    <w:rsid w:val="005276F9"/>
    <w:rsid w:val="005336DB"/>
    <w:rsid w:val="00537212"/>
    <w:rsid w:val="00537C1C"/>
    <w:rsid w:val="005406DE"/>
    <w:rsid w:val="0054081B"/>
    <w:rsid w:val="00541A23"/>
    <w:rsid w:val="00542FAD"/>
    <w:rsid w:val="005434B2"/>
    <w:rsid w:val="005446BA"/>
    <w:rsid w:val="0055083A"/>
    <w:rsid w:val="0055332F"/>
    <w:rsid w:val="00556E4B"/>
    <w:rsid w:val="00561F6D"/>
    <w:rsid w:val="00563708"/>
    <w:rsid w:val="00564541"/>
    <w:rsid w:val="00564735"/>
    <w:rsid w:val="00564CB1"/>
    <w:rsid w:val="00571E11"/>
    <w:rsid w:val="00572964"/>
    <w:rsid w:val="005739E8"/>
    <w:rsid w:val="00577F09"/>
    <w:rsid w:val="005813C2"/>
    <w:rsid w:val="005815D6"/>
    <w:rsid w:val="00582D61"/>
    <w:rsid w:val="00583F82"/>
    <w:rsid w:val="00586D83"/>
    <w:rsid w:val="0058760F"/>
    <w:rsid w:val="00587CED"/>
    <w:rsid w:val="005900ED"/>
    <w:rsid w:val="005919D5"/>
    <w:rsid w:val="0059208F"/>
    <w:rsid w:val="005931E0"/>
    <w:rsid w:val="0059358C"/>
    <w:rsid w:val="00594D5A"/>
    <w:rsid w:val="00594F37"/>
    <w:rsid w:val="005953C1"/>
    <w:rsid w:val="005969E9"/>
    <w:rsid w:val="00597177"/>
    <w:rsid w:val="005A1894"/>
    <w:rsid w:val="005A4DE6"/>
    <w:rsid w:val="005B151A"/>
    <w:rsid w:val="005B2634"/>
    <w:rsid w:val="005B4466"/>
    <w:rsid w:val="005B58F3"/>
    <w:rsid w:val="005B6A09"/>
    <w:rsid w:val="005C0EEC"/>
    <w:rsid w:val="005C2BFE"/>
    <w:rsid w:val="005C4F35"/>
    <w:rsid w:val="005C6C60"/>
    <w:rsid w:val="005C7914"/>
    <w:rsid w:val="005D0A9A"/>
    <w:rsid w:val="005D1B36"/>
    <w:rsid w:val="005D4AD7"/>
    <w:rsid w:val="005D4EA3"/>
    <w:rsid w:val="005D6B6A"/>
    <w:rsid w:val="005D6D6A"/>
    <w:rsid w:val="005D78DD"/>
    <w:rsid w:val="005E0235"/>
    <w:rsid w:val="005E187B"/>
    <w:rsid w:val="005E4A2C"/>
    <w:rsid w:val="005E59A6"/>
    <w:rsid w:val="005E62E5"/>
    <w:rsid w:val="005E641B"/>
    <w:rsid w:val="005F2E1E"/>
    <w:rsid w:val="005F4957"/>
    <w:rsid w:val="005F4A2B"/>
    <w:rsid w:val="005F58A2"/>
    <w:rsid w:val="005F6E89"/>
    <w:rsid w:val="005F6F92"/>
    <w:rsid w:val="00604852"/>
    <w:rsid w:val="00605807"/>
    <w:rsid w:val="00606D1A"/>
    <w:rsid w:val="00611386"/>
    <w:rsid w:val="00615B1C"/>
    <w:rsid w:val="006224E8"/>
    <w:rsid w:val="00622997"/>
    <w:rsid w:val="00623894"/>
    <w:rsid w:val="00627D99"/>
    <w:rsid w:val="006319B9"/>
    <w:rsid w:val="00632A8E"/>
    <w:rsid w:val="006333EF"/>
    <w:rsid w:val="0063423B"/>
    <w:rsid w:val="006342BC"/>
    <w:rsid w:val="0063464F"/>
    <w:rsid w:val="00637D82"/>
    <w:rsid w:val="0064019A"/>
    <w:rsid w:val="006442C3"/>
    <w:rsid w:val="00646D93"/>
    <w:rsid w:val="00647B05"/>
    <w:rsid w:val="00647FA2"/>
    <w:rsid w:val="006502A8"/>
    <w:rsid w:val="00652FC1"/>
    <w:rsid w:val="006535BE"/>
    <w:rsid w:val="00653FF1"/>
    <w:rsid w:val="006545B5"/>
    <w:rsid w:val="00655572"/>
    <w:rsid w:val="0065619F"/>
    <w:rsid w:val="00662D33"/>
    <w:rsid w:val="00663A50"/>
    <w:rsid w:val="006652C3"/>
    <w:rsid w:val="00665729"/>
    <w:rsid w:val="00667015"/>
    <w:rsid w:val="00667DD6"/>
    <w:rsid w:val="006705CB"/>
    <w:rsid w:val="0067301C"/>
    <w:rsid w:val="00676FFE"/>
    <w:rsid w:val="00682B10"/>
    <w:rsid w:val="006830BE"/>
    <w:rsid w:val="006838F3"/>
    <w:rsid w:val="006920DA"/>
    <w:rsid w:val="00694BD5"/>
    <w:rsid w:val="0069662D"/>
    <w:rsid w:val="00696949"/>
    <w:rsid w:val="006A2ABA"/>
    <w:rsid w:val="006A79E4"/>
    <w:rsid w:val="006A7BC5"/>
    <w:rsid w:val="006B2777"/>
    <w:rsid w:val="006B38EB"/>
    <w:rsid w:val="006B59CB"/>
    <w:rsid w:val="006B744D"/>
    <w:rsid w:val="006B74FA"/>
    <w:rsid w:val="006C378D"/>
    <w:rsid w:val="006D1667"/>
    <w:rsid w:val="006E3142"/>
    <w:rsid w:val="006E3619"/>
    <w:rsid w:val="006E4212"/>
    <w:rsid w:val="006E77B7"/>
    <w:rsid w:val="006F076A"/>
    <w:rsid w:val="006F0C75"/>
    <w:rsid w:val="006F1175"/>
    <w:rsid w:val="006F2A53"/>
    <w:rsid w:val="006F489D"/>
    <w:rsid w:val="006F53CE"/>
    <w:rsid w:val="006F7A16"/>
    <w:rsid w:val="00700989"/>
    <w:rsid w:val="007040B2"/>
    <w:rsid w:val="007048EA"/>
    <w:rsid w:val="00704FC0"/>
    <w:rsid w:val="00711264"/>
    <w:rsid w:val="00711956"/>
    <w:rsid w:val="00713527"/>
    <w:rsid w:val="00715020"/>
    <w:rsid w:val="00715488"/>
    <w:rsid w:val="007160AD"/>
    <w:rsid w:val="007166EC"/>
    <w:rsid w:val="007167F6"/>
    <w:rsid w:val="0072195F"/>
    <w:rsid w:val="00724EEF"/>
    <w:rsid w:val="00725339"/>
    <w:rsid w:val="00725550"/>
    <w:rsid w:val="007257D7"/>
    <w:rsid w:val="00732559"/>
    <w:rsid w:val="00733F30"/>
    <w:rsid w:val="00735150"/>
    <w:rsid w:val="00752EAB"/>
    <w:rsid w:val="00755FEC"/>
    <w:rsid w:val="007578C5"/>
    <w:rsid w:val="00760441"/>
    <w:rsid w:val="007608B8"/>
    <w:rsid w:val="00760B2B"/>
    <w:rsid w:val="00767560"/>
    <w:rsid w:val="00767F51"/>
    <w:rsid w:val="007703A3"/>
    <w:rsid w:val="00771565"/>
    <w:rsid w:val="00773D90"/>
    <w:rsid w:val="007808A1"/>
    <w:rsid w:val="00781EC8"/>
    <w:rsid w:val="00781F91"/>
    <w:rsid w:val="00786082"/>
    <w:rsid w:val="00787CEA"/>
    <w:rsid w:val="00791978"/>
    <w:rsid w:val="00793A99"/>
    <w:rsid w:val="00795631"/>
    <w:rsid w:val="00795A1A"/>
    <w:rsid w:val="00795EDF"/>
    <w:rsid w:val="007977AF"/>
    <w:rsid w:val="007A18EB"/>
    <w:rsid w:val="007A27FB"/>
    <w:rsid w:val="007A3FA4"/>
    <w:rsid w:val="007A60DF"/>
    <w:rsid w:val="007A6389"/>
    <w:rsid w:val="007A6B2B"/>
    <w:rsid w:val="007B0082"/>
    <w:rsid w:val="007B06F2"/>
    <w:rsid w:val="007B074B"/>
    <w:rsid w:val="007B0CA9"/>
    <w:rsid w:val="007B12B5"/>
    <w:rsid w:val="007B1532"/>
    <w:rsid w:val="007B1B3B"/>
    <w:rsid w:val="007B1F01"/>
    <w:rsid w:val="007B3EA9"/>
    <w:rsid w:val="007B5309"/>
    <w:rsid w:val="007B5623"/>
    <w:rsid w:val="007B6A71"/>
    <w:rsid w:val="007B7031"/>
    <w:rsid w:val="007C0205"/>
    <w:rsid w:val="007C0F65"/>
    <w:rsid w:val="007C49A6"/>
    <w:rsid w:val="007D74D2"/>
    <w:rsid w:val="007E00BE"/>
    <w:rsid w:val="007E5DB5"/>
    <w:rsid w:val="007F0DD6"/>
    <w:rsid w:val="007F1288"/>
    <w:rsid w:val="007F1B96"/>
    <w:rsid w:val="007F1BB1"/>
    <w:rsid w:val="007F25FC"/>
    <w:rsid w:val="007F2783"/>
    <w:rsid w:val="007F2B8C"/>
    <w:rsid w:val="00801F66"/>
    <w:rsid w:val="00802901"/>
    <w:rsid w:val="00803F37"/>
    <w:rsid w:val="00807649"/>
    <w:rsid w:val="00807F53"/>
    <w:rsid w:val="00810A60"/>
    <w:rsid w:val="00812D95"/>
    <w:rsid w:val="008144A6"/>
    <w:rsid w:val="008149D6"/>
    <w:rsid w:val="00814C77"/>
    <w:rsid w:val="00817846"/>
    <w:rsid w:val="00817F88"/>
    <w:rsid w:val="00822D1B"/>
    <w:rsid w:val="00824DBB"/>
    <w:rsid w:val="0082612D"/>
    <w:rsid w:val="00833892"/>
    <w:rsid w:val="00833A89"/>
    <w:rsid w:val="00834480"/>
    <w:rsid w:val="00835E9C"/>
    <w:rsid w:val="00837C16"/>
    <w:rsid w:val="00841991"/>
    <w:rsid w:val="00841C06"/>
    <w:rsid w:val="008424D2"/>
    <w:rsid w:val="00842CE8"/>
    <w:rsid w:val="0084319A"/>
    <w:rsid w:val="00843B19"/>
    <w:rsid w:val="00845752"/>
    <w:rsid w:val="008479E9"/>
    <w:rsid w:val="00847FA0"/>
    <w:rsid w:val="008522CD"/>
    <w:rsid w:val="00853F60"/>
    <w:rsid w:val="00863150"/>
    <w:rsid w:val="00863F8F"/>
    <w:rsid w:val="0086499D"/>
    <w:rsid w:val="00865240"/>
    <w:rsid w:val="00865BBD"/>
    <w:rsid w:val="0086717D"/>
    <w:rsid w:val="00870950"/>
    <w:rsid w:val="00872061"/>
    <w:rsid w:val="00874734"/>
    <w:rsid w:val="0087523B"/>
    <w:rsid w:val="00877571"/>
    <w:rsid w:val="0087770E"/>
    <w:rsid w:val="008806F7"/>
    <w:rsid w:val="008836E3"/>
    <w:rsid w:val="00885688"/>
    <w:rsid w:val="008859B4"/>
    <w:rsid w:val="008860C4"/>
    <w:rsid w:val="0088654A"/>
    <w:rsid w:val="00890398"/>
    <w:rsid w:val="0089132E"/>
    <w:rsid w:val="00891B46"/>
    <w:rsid w:val="00893519"/>
    <w:rsid w:val="00893829"/>
    <w:rsid w:val="008944AB"/>
    <w:rsid w:val="00894D48"/>
    <w:rsid w:val="008952C2"/>
    <w:rsid w:val="008A1BBF"/>
    <w:rsid w:val="008A5A33"/>
    <w:rsid w:val="008A6484"/>
    <w:rsid w:val="008A66B1"/>
    <w:rsid w:val="008B01F8"/>
    <w:rsid w:val="008B10EC"/>
    <w:rsid w:val="008B29AA"/>
    <w:rsid w:val="008B381C"/>
    <w:rsid w:val="008B3F0A"/>
    <w:rsid w:val="008B3F3E"/>
    <w:rsid w:val="008B756C"/>
    <w:rsid w:val="008C004F"/>
    <w:rsid w:val="008C06D0"/>
    <w:rsid w:val="008C091E"/>
    <w:rsid w:val="008C2CCC"/>
    <w:rsid w:val="008C4464"/>
    <w:rsid w:val="008C4FA3"/>
    <w:rsid w:val="008C65B6"/>
    <w:rsid w:val="008D0110"/>
    <w:rsid w:val="008D0155"/>
    <w:rsid w:val="008D356E"/>
    <w:rsid w:val="008D40DD"/>
    <w:rsid w:val="008D4B21"/>
    <w:rsid w:val="008D4BC4"/>
    <w:rsid w:val="008E18C9"/>
    <w:rsid w:val="008E46E6"/>
    <w:rsid w:val="008E530F"/>
    <w:rsid w:val="008E5CEB"/>
    <w:rsid w:val="008E6F2E"/>
    <w:rsid w:val="008E7D84"/>
    <w:rsid w:val="008F2BF0"/>
    <w:rsid w:val="008F2C2F"/>
    <w:rsid w:val="008F7223"/>
    <w:rsid w:val="00900B1F"/>
    <w:rsid w:val="00901985"/>
    <w:rsid w:val="00903B03"/>
    <w:rsid w:val="00904996"/>
    <w:rsid w:val="00905712"/>
    <w:rsid w:val="00906A51"/>
    <w:rsid w:val="009104D2"/>
    <w:rsid w:val="009120DE"/>
    <w:rsid w:val="00914143"/>
    <w:rsid w:val="009154E3"/>
    <w:rsid w:val="0091723F"/>
    <w:rsid w:val="0091767A"/>
    <w:rsid w:val="0091793B"/>
    <w:rsid w:val="009200D2"/>
    <w:rsid w:val="00921252"/>
    <w:rsid w:val="00921272"/>
    <w:rsid w:val="00922340"/>
    <w:rsid w:val="0092568C"/>
    <w:rsid w:val="0092701C"/>
    <w:rsid w:val="00930141"/>
    <w:rsid w:val="00931631"/>
    <w:rsid w:val="00932A3B"/>
    <w:rsid w:val="00932EB1"/>
    <w:rsid w:val="00933021"/>
    <w:rsid w:val="0093330B"/>
    <w:rsid w:val="0093376E"/>
    <w:rsid w:val="0093577E"/>
    <w:rsid w:val="00935B87"/>
    <w:rsid w:val="00946707"/>
    <w:rsid w:val="00951D45"/>
    <w:rsid w:val="009538A6"/>
    <w:rsid w:val="00954382"/>
    <w:rsid w:val="00961498"/>
    <w:rsid w:val="009623D4"/>
    <w:rsid w:val="00963A8E"/>
    <w:rsid w:val="00965812"/>
    <w:rsid w:val="009660FA"/>
    <w:rsid w:val="00966244"/>
    <w:rsid w:val="00966579"/>
    <w:rsid w:val="0096695E"/>
    <w:rsid w:val="00967A33"/>
    <w:rsid w:val="00970922"/>
    <w:rsid w:val="009760FD"/>
    <w:rsid w:val="00977094"/>
    <w:rsid w:val="00980C64"/>
    <w:rsid w:val="00984F9A"/>
    <w:rsid w:val="009868A0"/>
    <w:rsid w:val="00987E98"/>
    <w:rsid w:val="0099046E"/>
    <w:rsid w:val="00991DB2"/>
    <w:rsid w:val="00992F42"/>
    <w:rsid w:val="009935F6"/>
    <w:rsid w:val="00994011"/>
    <w:rsid w:val="00996308"/>
    <w:rsid w:val="00996885"/>
    <w:rsid w:val="00996BC1"/>
    <w:rsid w:val="00997279"/>
    <w:rsid w:val="009A192B"/>
    <w:rsid w:val="009A203E"/>
    <w:rsid w:val="009A5AB8"/>
    <w:rsid w:val="009A603E"/>
    <w:rsid w:val="009B1BB4"/>
    <w:rsid w:val="009B1F81"/>
    <w:rsid w:val="009B280A"/>
    <w:rsid w:val="009B4599"/>
    <w:rsid w:val="009C05B6"/>
    <w:rsid w:val="009C115E"/>
    <w:rsid w:val="009C2445"/>
    <w:rsid w:val="009C2534"/>
    <w:rsid w:val="009C3630"/>
    <w:rsid w:val="009C5201"/>
    <w:rsid w:val="009C5A78"/>
    <w:rsid w:val="009D13E6"/>
    <w:rsid w:val="009D20A4"/>
    <w:rsid w:val="009D27E5"/>
    <w:rsid w:val="009D58C1"/>
    <w:rsid w:val="009D5C35"/>
    <w:rsid w:val="009E0EB6"/>
    <w:rsid w:val="009E1197"/>
    <w:rsid w:val="009E18F2"/>
    <w:rsid w:val="009E1D84"/>
    <w:rsid w:val="009E206D"/>
    <w:rsid w:val="009E2366"/>
    <w:rsid w:val="009E29F7"/>
    <w:rsid w:val="009E449E"/>
    <w:rsid w:val="009E4E51"/>
    <w:rsid w:val="009E5ED6"/>
    <w:rsid w:val="009E6184"/>
    <w:rsid w:val="009E7A56"/>
    <w:rsid w:val="009F03F3"/>
    <w:rsid w:val="009F2F24"/>
    <w:rsid w:val="009F4C94"/>
    <w:rsid w:val="009F5120"/>
    <w:rsid w:val="00A06FD0"/>
    <w:rsid w:val="00A108C0"/>
    <w:rsid w:val="00A14592"/>
    <w:rsid w:val="00A14D67"/>
    <w:rsid w:val="00A1565B"/>
    <w:rsid w:val="00A17A75"/>
    <w:rsid w:val="00A24735"/>
    <w:rsid w:val="00A24B93"/>
    <w:rsid w:val="00A258D0"/>
    <w:rsid w:val="00A26B7A"/>
    <w:rsid w:val="00A3048B"/>
    <w:rsid w:val="00A36CCE"/>
    <w:rsid w:val="00A37442"/>
    <w:rsid w:val="00A4070A"/>
    <w:rsid w:val="00A41304"/>
    <w:rsid w:val="00A42FE9"/>
    <w:rsid w:val="00A435B9"/>
    <w:rsid w:val="00A43EC7"/>
    <w:rsid w:val="00A44120"/>
    <w:rsid w:val="00A45F3C"/>
    <w:rsid w:val="00A46664"/>
    <w:rsid w:val="00A508BA"/>
    <w:rsid w:val="00A50B66"/>
    <w:rsid w:val="00A52AA4"/>
    <w:rsid w:val="00A538F5"/>
    <w:rsid w:val="00A55FC8"/>
    <w:rsid w:val="00A60209"/>
    <w:rsid w:val="00A63BA8"/>
    <w:rsid w:val="00A63C45"/>
    <w:rsid w:val="00A656FE"/>
    <w:rsid w:val="00A66592"/>
    <w:rsid w:val="00A66B3F"/>
    <w:rsid w:val="00A7288F"/>
    <w:rsid w:val="00A74E86"/>
    <w:rsid w:val="00A76D65"/>
    <w:rsid w:val="00A76E53"/>
    <w:rsid w:val="00A77931"/>
    <w:rsid w:val="00A77B82"/>
    <w:rsid w:val="00A77E4F"/>
    <w:rsid w:val="00A81106"/>
    <w:rsid w:val="00A83B3B"/>
    <w:rsid w:val="00A84D5D"/>
    <w:rsid w:val="00A860A4"/>
    <w:rsid w:val="00A902FA"/>
    <w:rsid w:val="00A91468"/>
    <w:rsid w:val="00A91830"/>
    <w:rsid w:val="00A9193F"/>
    <w:rsid w:val="00A9279C"/>
    <w:rsid w:val="00A93005"/>
    <w:rsid w:val="00A93013"/>
    <w:rsid w:val="00A9345E"/>
    <w:rsid w:val="00A93605"/>
    <w:rsid w:val="00A95272"/>
    <w:rsid w:val="00A95580"/>
    <w:rsid w:val="00A97041"/>
    <w:rsid w:val="00AA11FE"/>
    <w:rsid w:val="00AA38FB"/>
    <w:rsid w:val="00AA4DE4"/>
    <w:rsid w:val="00AA6134"/>
    <w:rsid w:val="00AA63FF"/>
    <w:rsid w:val="00AA6BEF"/>
    <w:rsid w:val="00AB176C"/>
    <w:rsid w:val="00AB34B9"/>
    <w:rsid w:val="00AB49AA"/>
    <w:rsid w:val="00AB5D3A"/>
    <w:rsid w:val="00AB7F20"/>
    <w:rsid w:val="00AC417F"/>
    <w:rsid w:val="00AC56FE"/>
    <w:rsid w:val="00AC6105"/>
    <w:rsid w:val="00AD10F3"/>
    <w:rsid w:val="00AD2138"/>
    <w:rsid w:val="00AE0914"/>
    <w:rsid w:val="00AE0A0D"/>
    <w:rsid w:val="00AE172C"/>
    <w:rsid w:val="00AE17CA"/>
    <w:rsid w:val="00AE39DF"/>
    <w:rsid w:val="00AE66FF"/>
    <w:rsid w:val="00AE7522"/>
    <w:rsid w:val="00AF550E"/>
    <w:rsid w:val="00AF67E9"/>
    <w:rsid w:val="00AF6B03"/>
    <w:rsid w:val="00B00644"/>
    <w:rsid w:val="00B039B9"/>
    <w:rsid w:val="00B04D3A"/>
    <w:rsid w:val="00B06B8A"/>
    <w:rsid w:val="00B0759E"/>
    <w:rsid w:val="00B1011A"/>
    <w:rsid w:val="00B1159E"/>
    <w:rsid w:val="00B12518"/>
    <w:rsid w:val="00B13736"/>
    <w:rsid w:val="00B16090"/>
    <w:rsid w:val="00B1779F"/>
    <w:rsid w:val="00B2269C"/>
    <w:rsid w:val="00B235E5"/>
    <w:rsid w:val="00B24F48"/>
    <w:rsid w:val="00B25B53"/>
    <w:rsid w:val="00B25C95"/>
    <w:rsid w:val="00B265DA"/>
    <w:rsid w:val="00B31E68"/>
    <w:rsid w:val="00B32A44"/>
    <w:rsid w:val="00B35270"/>
    <w:rsid w:val="00B36527"/>
    <w:rsid w:val="00B3794F"/>
    <w:rsid w:val="00B42EF8"/>
    <w:rsid w:val="00B43625"/>
    <w:rsid w:val="00B44FDD"/>
    <w:rsid w:val="00B5114F"/>
    <w:rsid w:val="00B51E30"/>
    <w:rsid w:val="00B520A6"/>
    <w:rsid w:val="00B559AE"/>
    <w:rsid w:val="00B55AFC"/>
    <w:rsid w:val="00B56830"/>
    <w:rsid w:val="00B56CFF"/>
    <w:rsid w:val="00B60FE3"/>
    <w:rsid w:val="00B6165A"/>
    <w:rsid w:val="00B62CD2"/>
    <w:rsid w:val="00B63E87"/>
    <w:rsid w:val="00B65722"/>
    <w:rsid w:val="00B70868"/>
    <w:rsid w:val="00B718F8"/>
    <w:rsid w:val="00B72E7A"/>
    <w:rsid w:val="00B73BC3"/>
    <w:rsid w:val="00B74E07"/>
    <w:rsid w:val="00B75CFE"/>
    <w:rsid w:val="00B75E89"/>
    <w:rsid w:val="00B804E2"/>
    <w:rsid w:val="00B84AFA"/>
    <w:rsid w:val="00B853C7"/>
    <w:rsid w:val="00B86D20"/>
    <w:rsid w:val="00B86F68"/>
    <w:rsid w:val="00B914C0"/>
    <w:rsid w:val="00B916FB"/>
    <w:rsid w:val="00B92044"/>
    <w:rsid w:val="00B96DA2"/>
    <w:rsid w:val="00BA062A"/>
    <w:rsid w:val="00BA067D"/>
    <w:rsid w:val="00BA06BE"/>
    <w:rsid w:val="00BA073E"/>
    <w:rsid w:val="00BA2BEE"/>
    <w:rsid w:val="00BA3C26"/>
    <w:rsid w:val="00BA450E"/>
    <w:rsid w:val="00BA4E29"/>
    <w:rsid w:val="00BA6214"/>
    <w:rsid w:val="00BA7508"/>
    <w:rsid w:val="00BA7AC6"/>
    <w:rsid w:val="00BB1565"/>
    <w:rsid w:val="00BB20C4"/>
    <w:rsid w:val="00BB2D53"/>
    <w:rsid w:val="00BB575B"/>
    <w:rsid w:val="00BB6D20"/>
    <w:rsid w:val="00BB74A7"/>
    <w:rsid w:val="00BC325F"/>
    <w:rsid w:val="00BC4622"/>
    <w:rsid w:val="00BC5FCA"/>
    <w:rsid w:val="00BC76B8"/>
    <w:rsid w:val="00BD16C7"/>
    <w:rsid w:val="00BD6168"/>
    <w:rsid w:val="00BD6840"/>
    <w:rsid w:val="00BD76D4"/>
    <w:rsid w:val="00BD7807"/>
    <w:rsid w:val="00BD7997"/>
    <w:rsid w:val="00BE0D06"/>
    <w:rsid w:val="00BE23CF"/>
    <w:rsid w:val="00BE356E"/>
    <w:rsid w:val="00BE65E0"/>
    <w:rsid w:val="00BE6B46"/>
    <w:rsid w:val="00BE6BD2"/>
    <w:rsid w:val="00BE75C4"/>
    <w:rsid w:val="00BF0758"/>
    <w:rsid w:val="00BF2EDC"/>
    <w:rsid w:val="00BF56A0"/>
    <w:rsid w:val="00BF605E"/>
    <w:rsid w:val="00C01BAD"/>
    <w:rsid w:val="00C03893"/>
    <w:rsid w:val="00C05D5D"/>
    <w:rsid w:val="00C1327A"/>
    <w:rsid w:val="00C13A66"/>
    <w:rsid w:val="00C14A4A"/>
    <w:rsid w:val="00C15E83"/>
    <w:rsid w:val="00C17F83"/>
    <w:rsid w:val="00C17FB3"/>
    <w:rsid w:val="00C20067"/>
    <w:rsid w:val="00C21AA3"/>
    <w:rsid w:val="00C232A9"/>
    <w:rsid w:val="00C235C4"/>
    <w:rsid w:val="00C24CF0"/>
    <w:rsid w:val="00C2515F"/>
    <w:rsid w:val="00C274C9"/>
    <w:rsid w:val="00C30E84"/>
    <w:rsid w:val="00C34A55"/>
    <w:rsid w:val="00C37225"/>
    <w:rsid w:val="00C42975"/>
    <w:rsid w:val="00C42BEE"/>
    <w:rsid w:val="00C43497"/>
    <w:rsid w:val="00C44306"/>
    <w:rsid w:val="00C45193"/>
    <w:rsid w:val="00C474E9"/>
    <w:rsid w:val="00C51643"/>
    <w:rsid w:val="00C522AF"/>
    <w:rsid w:val="00C53548"/>
    <w:rsid w:val="00C5362F"/>
    <w:rsid w:val="00C56D27"/>
    <w:rsid w:val="00C63615"/>
    <w:rsid w:val="00C638BA"/>
    <w:rsid w:val="00C63B7D"/>
    <w:rsid w:val="00C719AA"/>
    <w:rsid w:val="00C71A78"/>
    <w:rsid w:val="00C72AE8"/>
    <w:rsid w:val="00C72F9C"/>
    <w:rsid w:val="00C744B7"/>
    <w:rsid w:val="00C7730B"/>
    <w:rsid w:val="00C77334"/>
    <w:rsid w:val="00C77561"/>
    <w:rsid w:val="00C80630"/>
    <w:rsid w:val="00C82BE9"/>
    <w:rsid w:val="00C82C60"/>
    <w:rsid w:val="00C84945"/>
    <w:rsid w:val="00C87F98"/>
    <w:rsid w:val="00C9099D"/>
    <w:rsid w:val="00C93D30"/>
    <w:rsid w:val="00C94F60"/>
    <w:rsid w:val="00CA0C0B"/>
    <w:rsid w:val="00CA0D27"/>
    <w:rsid w:val="00CA61B4"/>
    <w:rsid w:val="00CA69EF"/>
    <w:rsid w:val="00CA6BE5"/>
    <w:rsid w:val="00CA752A"/>
    <w:rsid w:val="00CB1925"/>
    <w:rsid w:val="00CB2575"/>
    <w:rsid w:val="00CB48B0"/>
    <w:rsid w:val="00CB4940"/>
    <w:rsid w:val="00CB5303"/>
    <w:rsid w:val="00CB65D8"/>
    <w:rsid w:val="00CB6AE1"/>
    <w:rsid w:val="00CB7B4E"/>
    <w:rsid w:val="00CC2DBA"/>
    <w:rsid w:val="00CC5260"/>
    <w:rsid w:val="00CC5C54"/>
    <w:rsid w:val="00CC6EDA"/>
    <w:rsid w:val="00CD06E6"/>
    <w:rsid w:val="00CD297D"/>
    <w:rsid w:val="00CD337D"/>
    <w:rsid w:val="00CD428B"/>
    <w:rsid w:val="00CD572A"/>
    <w:rsid w:val="00CD6077"/>
    <w:rsid w:val="00CD73C5"/>
    <w:rsid w:val="00CE3296"/>
    <w:rsid w:val="00CE5127"/>
    <w:rsid w:val="00CE594E"/>
    <w:rsid w:val="00CE5CC6"/>
    <w:rsid w:val="00CF3CD9"/>
    <w:rsid w:val="00CF4C28"/>
    <w:rsid w:val="00CF5F5E"/>
    <w:rsid w:val="00CF6E1B"/>
    <w:rsid w:val="00CF7692"/>
    <w:rsid w:val="00D00A8B"/>
    <w:rsid w:val="00D017F0"/>
    <w:rsid w:val="00D02928"/>
    <w:rsid w:val="00D06499"/>
    <w:rsid w:val="00D13F3E"/>
    <w:rsid w:val="00D16BA1"/>
    <w:rsid w:val="00D224A6"/>
    <w:rsid w:val="00D246B3"/>
    <w:rsid w:val="00D2484D"/>
    <w:rsid w:val="00D2550F"/>
    <w:rsid w:val="00D25B73"/>
    <w:rsid w:val="00D26094"/>
    <w:rsid w:val="00D27E35"/>
    <w:rsid w:val="00D30C77"/>
    <w:rsid w:val="00D32861"/>
    <w:rsid w:val="00D34A5A"/>
    <w:rsid w:val="00D34F5C"/>
    <w:rsid w:val="00D35009"/>
    <w:rsid w:val="00D355DD"/>
    <w:rsid w:val="00D40074"/>
    <w:rsid w:val="00D40270"/>
    <w:rsid w:val="00D43524"/>
    <w:rsid w:val="00D45FE6"/>
    <w:rsid w:val="00D4651C"/>
    <w:rsid w:val="00D47E61"/>
    <w:rsid w:val="00D51F92"/>
    <w:rsid w:val="00D525D2"/>
    <w:rsid w:val="00D551CA"/>
    <w:rsid w:val="00D56582"/>
    <w:rsid w:val="00D606FA"/>
    <w:rsid w:val="00D61C17"/>
    <w:rsid w:val="00D63244"/>
    <w:rsid w:val="00D633CE"/>
    <w:rsid w:val="00D636B1"/>
    <w:rsid w:val="00D64BBA"/>
    <w:rsid w:val="00D64E78"/>
    <w:rsid w:val="00D65CDA"/>
    <w:rsid w:val="00D670E4"/>
    <w:rsid w:val="00D67F14"/>
    <w:rsid w:val="00D7135A"/>
    <w:rsid w:val="00D72311"/>
    <w:rsid w:val="00D72C4B"/>
    <w:rsid w:val="00D7363E"/>
    <w:rsid w:val="00D80BDC"/>
    <w:rsid w:val="00D825AD"/>
    <w:rsid w:val="00D82BFF"/>
    <w:rsid w:val="00D865E0"/>
    <w:rsid w:val="00D9013C"/>
    <w:rsid w:val="00D903A0"/>
    <w:rsid w:val="00D905B8"/>
    <w:rsid w:val="00D917BE"/>
    <w:rsid w:val="00D9624A"/>
    <w:rsid w:val="00D96B66"/>
    <w:rsid w:val="00D9758E"/>
    <w:rsid w:val="00DA0875"/>
    <w:rsid w:val="00DA3965"/>
    <w:rsid w:val="00DA4697"/>
    <w:rsid w:val="00DA536F"/>
    <w:rsid w:val="00DB1254"/>
    <w:rsid w:val="00DB5920"/>
    <w:rsid w:val="00DB5B61"/>
    <w:rsid w:val="00DB5EBF"/>
    <w:rsid w:val="00DC064D"/>
    <w:rsid w:val="00DC0A3C"/>
    <w:rsid w:val="00DC33EE"/>
    <w:rsid w:val="00DC397A"/>
    <w:rsid w:val="00DC4A6D"/>
    <w:rsid w:val="00DC51A0"/>
    <w:rsid w:val="00DC6832"/>
    <w:rsid w:val="00DC6861"/>
    <w:rsid w:val="00DD2196"/>
    <w:rsid w:val="00DD6A3C"/>
    <w:rsid w:val="00DD7E2B"/>
    <w:rsid w:val="00DE0E91"/>
    <w:rsid w:val="00DE12C9"/>
    <w:rsid w:val="00DE2858"/>
    <w:rsid w:val="00DE3E17"/>
    <w:rsid w:val="00DE4EE4"/>
    <w:rsid w:val="00DE5E24"/>
    <w:rsid w:val="00DE69D0"/>
    <w:rsid w:val="00DE6B26"/>
    <w:rsid w:val="00DE775F"/>
    <w:rsid w:val="00DF156F"/>
    <w:rsid w:val="00DF20CB"/>
    <w:rsid w:val="00DF2C1F"/>
    <w:rsid w:val="00DF382C"/>
    <w:rsid w:val="00DF3D70"/>
    <w:rsid w:val="00DF4B68"/>
    <w:rsid w:val="00DF4EF1"/>
    <w:rsid w:val="00DF6C54"/>
    <w:rsid w:val="00DF6D6B"/>
    <w:rsid w:val="00DF715B"/>
    <w:rsid w:val="00E0060A"/>
    <w:rsid w:val="00E0189E"/>
    <w:rsid w:val="00E01A96"/>
    <w:rsid w:val="00E031AF"/>
    <w:rsid w:val="00E032C7"/>
    <w:rsid w:val="00E0481A"/>
    <w:rsid w:val="00E073BA"/>
    <w:rsid w:val="00E07538"/>
    <w:rsid w:val="00E12C50"/>
    <w:rsid w:val="00E12E0E"/>
    <w:rsid w:val="00E17EAF"/>
    <w:rsid w:val="00E21281"/>
    <w:rsid w:val="00E25A8C"/>
    <w:rsid w:val="00E300D0"/>
    <w:rsid w:val="00E304CE"/>
    <w:rsid w:val="00E32C03"/>
    <w:rsid w:val="00E354C3"/>
    <w:rsid w:val="00E36281"/>
    <w:rsid w:val="00E378A4"/>
    <w:rsid w:val="00E406B5"/>
    <w:rsid w:val="00E4261C"/>
    <w:rsid w:val="00E42732"/>
    <w:rsid w:val="00E43C6D"/>
    <w:rsid w:val="00E44360"/>
    <w:rsid w:val="00E44DEB"/>
    <w:rsid w:val="00E451CB"/>
    <w:rsid w:val="00E544A3"/>
    <w:rsid w:val="00E54D37"/>
    <w:rsid w:val="00E6280A"/>
    <w:rsid w:val="00E64983"/>
    <w:rsid w:val="00E662B3"/>
    <w:rsid w:val="00E709A2"/>
    <w:rsid w:val="00E744EA"/>
    <w:rsid w:val="00E76A37"/>
    <w:rsid w:val="00E773E4"/>
    <w:rsid w:val="00E86D64"/>
    <w:rsid w:val="00E90044"/>
    <w:rsid w:val="00E9175B"/>
    <w:rsid w:val="00E9251E"/>
    <w:rsid w:val="00E925D6"/>
    <w:rsid w:val="00E95585"/>
    <w:rsid w:val="00E9647E"/>
    <w:rsid w:val="00E972B1"/>
    <w:rsid w:val="00E97B42"/>
    <w:rsid w:val="00EA1A2C"/>
    <w:rsid w:val="00EA3608"/>
    <w:rsid w:val="00EA6775"/>
    <w:rsid w:val="00EB0038"/>
    <w:rsid w:val="00EB013A"/>
    <w:rsid w:val="00EB0E20"/>
    <w:rsid w:val="00EB7E6D"/>
    <w:rsid w:val="00EC2A36"/>
    <w:rsid w:val="00EC5CC8"/>
    <w:rsid w:val="00EC7A3E"/>
    <w:rsid w:val="00ED13FC"/>
    <w:rsid w:val="00ED19E6"/>
    <w:rsid w:val="00ED2BAF"/>
    <w:rsid w:val="00ED4142"/>
    <w:rsid w:val="00ED4769"/>
    <w:rsid w:val="00EE1314"/>
    <w:rsid w:val="00EE1A59"/>
    <w:rsid w:val="00EE1F79"/>
    <w:rsid w:val="00EE3EBD"/>
    <w:rsid w:val="00EE4AC0"/>
    <w:rsid w:val="00EF083A"/>
    <w:rsid w:val="00EF0B9A"/>
    <w:rsid w:val="00EF293F"/>
    <w:rsid w:val="00EF3922"/>
    <w:rsid w:val="00EF3E33"/>
    <w:rsid w:val="00EF5056"/>
    <w:rsid w:val="00EF7BFB"/>
    <w:rsid w:val="00F018F6"/>
    <w:rsid w:val="00F02759"/>
    <w:rsid w:val="00F03945"/>
    <w:rsid w:val="00F04586"/>
    <w:rsid w:val="00F05400"/>
    <w:rsid w:val="00F06275"/>
    <w:rsid w:val="00F06FC5"/>
    <w:rsid w:val="00F11DF7"/>
    <w:rsid w:val="00F13657"/>
    <w:rsid w:val="00F14E53"/>
    <w:rsid w:val="00F155F8"/>
    <w:rsid w:val="00F1588E"/>
    <w:rsid w:val="00F15C13"/>
    <w:rsid w:val="00F16A9A"/>
    <w:rsid w:val="00F16F37"/>
    <w:rsid w:val="00F170A7"/>
    <w:rsid w:val="00F21749"/>
    <w:rsid w:val="00F21DAE"/>
    <w:rsid w:val="00F21E55"/>
    <w:rsid w:val="00F221AC"/>
    <w:rsid w:val="00F228B3"/>
    <w:rsid w:val="00F23615"/>
    <w:rsid w:val="00F2499F"/>
    <w:rsid w:val="00F268B9"/>
    <w:rsid w:val="00F2696D"/>
    <w:rsid w:val="00F26E81"/>
    <w:rsid w:val="00F30847"/>
    <w:rsid w:val="00F31218"/>
    <w:rsid w:val="00F3244B"/>
    <w:rsid w:val="00F32DE9"/>
    <w:rsid w:val="00F34CBD"/>
    <w:rsid w:val="00F35780"/>
    <w:rsid w:val="00F359FC"/>
    <w:rsid w:val="00F4089A"/>
    <w:rsid w:val="00F40C8A"/>
    <w:rsid w:val="00F41959"/>
    <w:rsid w:val="00F4256C"/>
    <w:rsid w:val="00F4572D"/>
    <w:rsid w:val="00F45F72"/>
    <w:rsid w:val="00F473BF"/>
    <w:rsid w:val="00F519B7"/>
    <w:rsid w:val="00F5359D"/>
    <w:rsid w:val="00F53AC8"/>
    <w:rsid w:val="00F557B4"/>
    <w:rsid w:val="00F55925"/>
    <w:rsid w:val="00F57142"/>
    <w:rsid w:val="00F61D42"/>
    <w:rsid w:val="00F62552"/>
    <w:rsid w:val="00F6622B"/>
    <w:rsid w:val="00F66692"/>
    <w:rsid w:val="00F67F0F"/>
    <w:rsid w:val="00F71090"/>
    <w:rsid w:val="00F72EBC"/>
    <w:rsid w:val="00F75BB8"/>
    <w:rsid w:val="00F7789A"/>
    <w:rsid w:val="00F8098D"/>
    <w:rsid w:val="00F851A1"/>
    <w:rsid w:val="00F91BB0"/>
    <w:rsid w:val="00F95405"/>
    <w:rsid w:val="00F965BB"/>
    <w:rsid w:val="00FA06F7"/>
    <w:rsid w:val="00FA2BF2"/>
    <w:rsid w:val="00FA3280"/>
    <w:rsid w:val="00FA3617"/>
    <w:rsid w:val="00FA454E"/>
    <w:rsid w:val="00FA4C41"/>
    <w:rsid w:val="00FA6C77"/>
    <w:rsid w:val="00FA74CD"/>
    <w:rsid w:val="00FA768B"/>
    <w:rsid w:val="00FB28C4"/>
    <w:rsid w:val="00FB32E6"/>
    <w:rsid w:val="00FB4DAF"/>
    <w:rsid w:val="00FB5346"/>
    <w:rsid w:val="00FB7642"/>
    <w:rsid w:val="00FC2312"/>
    <w:rsid w:val="00FC46F6"/>
    <w:rsid w:val="00FD129F"/>
    <w:rsid w:val="00FD243D"/>
    <w:rsid w:val="00FD58DC"/>
    <w:rsid w:val="00FD5A7C"/>
    <w:rsid w:val="00FD612F"/>
    <w:rsid w:val="00FD6C18"/>
    <w:rsid w:val="00FE09EF"/>
    <w:rsid w:val="00FE0A18"/>
    <w:rsid w:val="00FE0F6C"/>
    <w:rsid w:val="00FE1E8F"/>
    <w:rsid w:val="00FE250B"/>
    <w:rsid w:val="00FE40FA"/>
    <w:rsid w:val="00FE5317"/>
    <w:rsid w:val="00FE70D2"/>
    <w:rsid w:val="00FF0872"/>
    <w:rsid w:val="00FF13AC"/>
    <w:rsid w:val="00FF233C"/>
    <w:rsid w:val="00FF251E"/>
    <w:rsid w:val="00FF331D"/>
    <w:rsid w:val="00FF346D"/>
    <w:rsid w:val="00FF3EC4"/>
    <w:rsid w:val="00FF3F28"/>
    <w:rsid w:val="00FF41CB"/>
    <w:rsid w:val="00FF5525"/>
    <w:rsid w:val="00FF59C0"/>
    <w:rsid w:val="00FF7C13"/>
    <w:rsid w:val="00FF7FB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6016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4A"/>
    <w:pPr>
      <w:jc w:val="center"/>
    </w:pPr>
    <w:rPr>
      <w:rFonts w:ascii="Times New Roman" w:hAnsi="Times New Roman"/>
      <w:sz w:val="24"/>
    </w:rPr>
  </w:style>
  <w:style w:type="paragraph" w:styleId="Heading1">
    <w:name w:val="heading 1"/>
    <w:basedOn w:val="Normal"/>
    <w:next w:val="Normal"/>
    <w:link w:val="Heading1Char"/>
    <w:qFormat/>
    <w:rsid w:val="00FF59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3272B7"/>
    <w:pPr>
      <w:keepNext/>
      <w:tabs>
        <w:tab w:val="left" w:pos="540"/>
      </w:tabs>
      <w:spacing w:after="0" w:line="240" w:lineRule="auto"/>
      <w:ind w:left="576" w:hanging="576"/>
      <w:outlineLvl w:val="1"/>
    </w:pPr>
    <w:rPr>
      <w:rFonts w:eastAsia="Times New Roman" w:cs="Times New Roman"/>
      <w:b/>
      <w:caps/>
      <w:snapToGrid w:val="0"/>
      <w:szCs w:val="24"/>
    </w:rPr>
  </w:style>
  <w:style w:type="paragraph" w:styleId="Heading3">
    <w:name w:val="heading 3"/>
    <w:basedOn w:val="Normal"/>
    <w:next w:val="Normal"/>
    <w:link w:val="Heading3Char"/>
    <w:qFormat/>
    <w:rsid w:val="003272B7"/>
    <w:pPr>
      <w:keepNext/>
      <w:tabs>
        <w:tab w:val="left" w:pos="720"/>
      </w:tabs>
      <w:spacing w:after="0" w:line="240" w:lineRule="auto"/>
      <w:ind w:left="810" w:hanging="720"/>
      <w:outlineLvl w:val="2"/>
    </w:pPr>
    <w:rPr>
      <w:rFonts w:eastAsia="Times New Roman" w:cs="Times New Roman"/>
      <w:b/>
      <w:snapToGrid w:val="0"/>
      <w:szCs w:val="24"/>
    </w:rPr>
  </w:style>
  <w:style w:type="paragraph" w:styleId="Heading4">
    <w:name w:val="heading 4"/>
    <w:basedOn w:val="Normal"/>
    <w:next w:val="Normal"/>
    <w:link w:val="Heading4Char"/>
    <w:qFormat/>
    <w:rsid w:val="003272B7"/>
    <w:pPr>
      <w:keepNext/>
      <w:tabs>
        <w:tab w:val="left" w:pos="900"/>
      </w:tabs>
      <w:spacing w:after="0" w:line="240" w:lineRule="auto"/>
      <w:ind w:left="864" w:hanging="864"/>
      <w:outlineLvl w:val="3"/>
    </w:pPr>
    <w:rPr>
      <w:rFonts w:eastAsia="Times New Roman" w:cs="Times New Roman"/>
      <w:b/>
      <w:snapToGrid w:val="0"/>
      <w:szCs w:val="24"/>
    </w:rPr>
  </w:style>
  <w:style w:type="paragraph" w:styleId="Heading5">
    <w:name w:val="heading 5"/>
    <w:basedOn w:val="Normal"/>
    <w:next w:val="Normal"/>
    <w:link w:val="Heading5Char"/>
    <w:uiPriority w:val="9"/>
    <w:unhideWhenUsed/>
    <w:qFormat/>
    <w:rsid w:val="003272B7"/>
    <w:pPr>
      <w:widowControl w:val="0"/>
      <w:spacing w:before="240" w:after="60" w:line="240" w:lineRule="auto"/>
      <w:ind w:left="1008" w:hanging="1008"/>
      <w:outlineLvl w:val="4"/>
    </w:pPr>
    <w:rPr>
      <w:rFonts w:ascii="Calibri" w:eastAsia="Times New Roman" w:hAnsi="Calibri" w:cs="Times New Roman"/>
      <w:b/>
      <w:bCs/>
      <w:i/>
      <w:iCs/>
      <w:snapToGrid w:val="0"/>
      <w:sz w:val="26"/>
      <w:szCs w:val="26"/>
    </w:rPr>
  </w:style>
  <w:style w:type="paragraph" w:styleId="Heading6">
    <w:name w:val="heading 6"/>
    <w:basedOn w:val="Normal"/>
    <w:next w:val="Normal"/>
    <w:link w:val="Heading6Char"/>
    <w:uiPriority w:val="9"/>
    <w:semiHidden/>
    <w:unhideWhenUsed/>
    <w:qFormat/>
    <w:rsid w:val="003272B7"/>
    <w:pPr>
      <w:widowControl w:val="0"/>
      <w:spacing w:before="240" w:after="60" w:line="240" w:lineRule="auto"/>
      <w:ind w:left="1152" w:hanging="1152"/>
      <w:outlineLvl w:val="5"/>
    </w:pPr>
    <w:rPr>
      <w:rFonts w:ascii="Calibri" w:eastAsia="Times New Roman" w:hAnsi="Calibri" w:cs="Times New Roman"/>
      <w:b/>
      <w:bCs/>
      <w:snapToGrid w:val="0"/>
      <w:szCs w:val="24"/>
    </w:rPr>
  </w:style>
  <w:style w:type="paragraph" w:styleId="Heading7">
    <w:name w:val="heading 7"/>
    <w:basedOn w:val="Normal"/>
    <w:next w:val="Normal"/>
    <w:link w:val="Heading7Char"/>
    <w:uiPriority w:val="9"/>
    <w:semiHidden/>
    <w:unhideWhenUsed/>
    <w:qFormat/>
    <w:rsid w:val="003272B7"/>
    <w:pPr>
      <w:widowControl w:val="0"/>
      <w:spacing w:before="240" w:after="60" w:line="240" w:lineRule="auto"/>
      <w:ind w:left="1296" w:hanging="1296"/>
      <w:outlineLvl w:val="6"/>
    </w:pPr>
    <w:rPr>
      <w:rFonts w:ascii="Calibri" w:eastAsia="Times New Roman" w:hAnsi="Calibri" w:cs="Times New Roman"/>
      <w:snapToGrid w:val="0"/>
      <w:szCs w:val="24"/>
    </w:rPr>
  </w:style>
  <w:style w:type="paragraph" w:styleId="Heading8">
    <w:name w:val="heading 8"/>
    <w:basedOn w:val="Normal"/>
    <w:next w:val="Normal"/>
    <w:link w:val="Heading8Char"/>
    <w:uiPriority w:val="9"/>
    <w:semiHidden/>
    <w:unhideWhenUsed/>
    <w:qFormat/>
    <w:rsid w:val="003272B7"/>
    <w:pPr>
      <w:widowControl w:val="0"/>
      <w:spacing w:before="240" w:after="60" w:line="240" w:lineRule="auto"/>
      <w:ind w:left="1440" w:hanging="1440"/>
      <w:outlineLvl w:val="7"/>
    </w:pPr>
    <w:rPr>
      <w:rFonts w:ascii="Calibri" w:eastAsia="Times New Roman" w:hAnsi="Calibri" w:cs="Times New Roman"/>
      <w:i/>
      <w:iCs/>
      <w:snapToGrid w:val="0"/>
      <w:szCs w:val="24"/>
    </w:rPr>
  </w:style>
  <w:style w:type="paragraph" w:styleId="Heading9">
    <w:name w:val="heading 9"/>
    <w:basedOn w:val="Normal"/>
    <w:next w:val="Normal"/>
    <w:link w:val="Heading9Char"/>
    <w:uiPriority w:val="9"/>
    <w:semiHidden/>
    <w:unhideWhenUsed/>
    <w:qFormat/>
    <w:rsid w:val="003272B7"/>
    <w:pPr>
      <w:widowControl w:val="0"/>
      <w:spacing w:before="240" w:after="60" w:line="240" w:lineRule="auto"/>
      <w:ind w:left="1584" w:hanging="1584"/>
      <w:outlineLvl w:val="8"/>
    </w:pPr>
    <w:rPr>
      <w:rFonts w:ascii="Cambria" w:eastAsia="Times New Roman" w:hAnsi="Cambria" w:cs="Times New Roman"/>
      <w:snapToGrid w:val="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3728"/>
    <w:pPr>
      <w:spacing w:after="0" w:line="240" w:lineRule="auto"/>
      <w:jc w:val="center"/>
    </w:pPr>
    <w:rPr>
      <w:rFonts w:ascii="Times New Roman" w:hAnsi="Times New Roman"/>
      <w:sz w:val="24"/>
    </w:rPr>
  </w:style>
  <w:style w:type="paragraph" w:styleId="ListParagraph">
    <w:name w:val="List Paragraph"/>
    <w:basedOn w:val="Normal"/>
    <w:uiPriority w:val="34"/>
    <w:qFormat/>
    <w:rsid w:val="00FF59C0"/>
    <w:pPr>
      <w:ind w:left="720"/>
      <w:contextualSpacing/>
    </w:pPr>
  </w:style>
  <w:style w:type="character" w:customStyle="1" w:styleId="Heading1Char">
    <w:name w:val="Heading 1 Char"/>
    <w:basedOn w:val="DefaultParagraphFont"/>
    <w:link w:val="Heading1"/>
    <w:uiPriority w:val="9"/>
    <w:rsid w:val="00FF59C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F59C0"/>
    <w:pPr>
      <w:outlineLvl w:val="9"/>
    </w:pPr>
    <w:rPr>
      <w:lang w:eastAsia="ja-JP"/>
    </w:rPr>
  </w:style>
  <w:style w:type="paragraph" w:styleId="BalloonText">
    <w:name w:val="Balloon Text"/>
    <w:basedOn w:val="Normal"/>
    <w:link w:val="BalloonTextChar"/>
    <w:uiPriority w:val="99"/>
    <w:semiHidden/>
    <w:unhideWhenUsed/>
    <w:rsid w:val="00FF5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9C0"/>
    <w:rPr>
      <w:rFonts w:ascii="Tahoma" w:hAnsi="Tahoma" w:cs="Tahoma"/>
      <w:sz w:val="16"/>
      <w:szCs w:val="16"/>
    </w:rPr>
  </w:style>
  <w:style w:type="paragraph" w:styleId="TOC2">
    <w:name w:val="toc 2"/>
    <w:basedOn w:val="Normal"/>
    <w:next w:val="Normal"/>
    <w:autoRedefine/>
    <w:uiPriority w:val="39"/>
    <w:unhideWhenUsed/>
    <w:qFormat/>
    <w:rsid w:val="00095C12"/>
    <w:pPr>
      <w:numPr>
        <w:numId w:val="12"/>
      </w:numPr>
      <w:spacing w:after="100"/>
    </w:pPr>
    <w:rPr>
      <w:rFonts w:eastAsiaTheme="minorEastAsia"/>
      <w:b/>
      <w:lang w:eastAsia="ja-JP"/>
    </w:rPr>
  </w:style>
  <w:style w:type="paragraph" w:styleId="TOC1">
    <w:name w:val="toc 1"/>
    <w:basedOn w:val="Normal"/>
    <w:next w:val="Normal"/>
    <w:autoRedefine/>
    <w:uiPriority w:val="39"/>
    <w:unhideWhenUsed/>
    <w:qFormat/>
    <w:rsid w:val="001A4B7E"/>
    <w:pPr>
      <w:spacing w:after="100"/>
    </w:pPr>
    <w:rPr>
      <w:rFonts w:eastAsiaTheme="minorEastAsia" w:cs="Times New Roman"/>
      <w:b/>
      <w:bCs/>
      <w:szCs w:val="24"/>
      <w:lang w:eastAsia="ja-JP"/>
    </w:rPr>
  </w:style>
  <w:style w:type="paragraph" w:styleId="TOC3">
    <w:name w:val="toc 3"/>
    <w:basedOn w:val="Normal"/>
    <w:next w:val="Normal"/>
    <w:autoRedefine/>
    <w:uiPriority w:val="39"/>
    <w:unhideWhenUsed/>
    <w:qFormat/>
    <w:rsid w:val="00FF59C0"/>
    <w:pPr>
      <w:spacing w:after="100"/>
      <w:ind w:left="440"/>
    </w:pPr>
    <w:rPr>
      <w:rFonts w:eastAsiaTheme="minorEastAsia"/>
      <w:lang w:eastAsia="ja-JP"/>
    </w:rPr>
  </w:style>
  <w:style w:type="character" w:styleId="Hyperlink">
    <w:name w:val="Hyperlink"/>
    <w:basedOn w:val="DefaultParagraphFont"/>
    <w:uiPriority w:val="99"/>
    <w:unhideWhenUsed/>
    <w:rsid w:val="00051BA9"/>
    <w:rPr>
      <w:color w:val="0000FF"/>
      <w:u w:val="single"/>
    </w:rPr>
  </w:style>
  <w:style w:type="character" w:customStyle="1" w:styleId="apple-converted-space">
    <w:name w:val="apple-converted-space"/>
    <w:basedOn w:val="DefaultParagraphFont"/>
    <w:rsid w:val="002050B6"/>
  </w:style>
  <w:style w:type="character" w:customStyle="1" w:styleId="citation">
    <w:name w:val="citation"/>
    <w:basedOn w:val="DefaultParagraphFont"/>
    <w:rsid w:val="002050B6"/>
  </w:style>
  <w:style w:type="character" w:customStyle="1" w:styleId="reference-accessdate">
    <w:name w:val="reference-accessdate"/>
    <w:basedOn w:val="DefaultParagraphFont"/>
    <w:rsid w:val="002050B6"/>
  </w:style>
  <w:style w:type="character" w:customStyle="1" w:styleId="reference-text">
    <w:name w:val="reference-text"/>
    <w:basedOn w:val="DefaultParagraphFont"/>
    <w:rsid w:val="00A50B66"/>
  </w:style>
  <w:style w:type="character" w:styleId="PlaceholderText">
    <w:name w:val="Placeholder Text"/>
    <w:basedOn w:val="DefaultParagraphFont"/>
    <w:uiPriority w:val="99"/>
    <w:semiHidden/>
    <w:rsid w:val="004E5864"/>
    <w:rPr>
      <w:color w:val="808080"/>
    </w:rPr>
  </w:style>
  <w:style w:type="paragraph" w:customStyle="1" w:styleId="Default">
    <w:name w:val="Default"/>
    <w:rsid w:val="003008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
    <w:name w:val="EndNote Bibliography"/>
    <w:basedOn w:val="Normal"/>
    <w:rsid w:val="008E5CEB"/>
    <w:pPr>
      <w:widowControl w:val="0"/>
      <w:spacing w:after="0" w:line="240" w:lineRule="auto"/>
    </w:pPr>
    <w:rPr>
      <w:rFonts w:ascii="Calibri" w:eastAsia="Times New Roman" w:hAnsi="Calibri" w:cs="Times New Roman"/>
      <w:snapToGrid w:val="0"/>
      <w:sz w:val="22"/>
      <w:szCs w:val="24"/>
    </w:rPr>
  </w:style>
  <w:style w:type="paragraph" w:customStyle="1" w:styleId="FIGCAP1line">
    <w:name w:val="FIGCAP 1 line"/>
    <w:basedOn w:val="Normal"/>
    <w:rsid w:val="003272B7"/>
    <w:pPr>
      <w:spacing w:before="120" w:after="0" w:line="240" w:lineRule="auto"/>
    </w:pPr>
    <w:rPr>
      <w:rFonts w:eastAsia="Times New Roman" w:cs="Times New Roman"/>
      <w:b/>
      <w:snapToGrid w:val="0"/>
      <w:sz w:val="20"/>
    </w:rPr>
  </w:style>
  <w:style w:type="paragraph" w:customStyle="1" w:styleId="TABLECAP">
    <w:name w:val="TABLE CAP"/>
    <w:basedOn w:val="Normal"/>
    <w:rsid w:val="003272B7"/>
    <w:pPr>
      <w:keepNext/>
      <w:keepLines/>
      <w:tabs>
        <w:tab w:val="left" w:pos="360"/>
      </w:tabs>
      <w:spacing w:after="120" w:line="240" w:lineRule="auto"/>
    </w:pPr>
    <w:rPr>
      <w:rFonts w:ascii="Times New Roman Bold" w:eastAsia="Times New Roman" w:hAnsi="Times New Roman Bold" w:cs="Times New Roman"/>
      <w:b/>
      <w:snapToGrid w:val="0"/>
      <w:sz w:val="20"/>
      <w:szCs w:val="24"/>
    </w:rPr>
  </w:style>
  <w:style w:type="character" w:customStyle="1" w:styleId="Heading2Char">
    <w:name w:val="Heading 2 Char"/>
    <w:basedOn w:val="DefaultParagraphFont"/>
    <w:link w:val="Heading2"/>
    <w:rsid w:val="003272B7"/>
    <w:rPr>
      <w:rFonts w:ascii="Times New Roman" w:eastAsia="Times New Roman" w:hAnsi="Times New Roman" w:cs="Times New Roman"/>
      <w:b/>
      <w:caps/>
      <w:snapToGrid w:val="0"/>
      <w:szCs w:val="24"/>
    </w:rPr>
  </w:style>
  <w:style w:type="character" w:customStyle="1" w:styleId="Heading3Char">
    <w:name w:val="Heading 3 Char"/>
    <w:basedOn w:val="DefaultParagraphFont"/>
    <w:link w:val="Heading3"/>
    <w:rsid w:val="003272B7"/>
    <w:rPr>
      <w:rFonts w:ascii="Times New Roman" w:eastAsia="Times New Roman" w:hAnsi="Times New Roman" w:cs="Times New Roman"/>
      <w:b/>
      <w:snapToGrid w:val="0"/>
      <w:szCs w:val="24"/>
    </w:rPr>
  </w:style>
  <w:style w:type="character" w:customStyle="1" w:styleId="Heading4Char">
    <w:name w:val="Heading 4 Char"/>
    <w:basedOn w:val="DefaultParagraphFont"/>
    <w:link w:val="Heading4"/>
    <w:rsid w:val="003272B7"/>
    <w:rPr>
      <w:rFonts w:ascii="Times New Roman" w:eastAsia="Times New Roman" w:hAnsi="Times New Roman" w:cs="Times New Roman"/>
      <w:b/>
      <w:snapToGrid w:val="0"/>
      <w:szCs w:val="24"/>
    </w:rPr>
  </w:style>
  <w:style w:type="character" w:customStyle="1" w:styleId="Heading5Char">
    <w:name w:val="Heading 5 Char"/>
    <w:basedOn w:val="DefaultParagraphFont"/>
    <w:link w:val="Heading5"/>
    <w:uiPriority w:val="9"/>
    <w:rsid w:val="003272B7"/>
    <w:rPr>
      <w:rFonts w:ascii="Calibri" w:eastAsia="Times New Roman" w:hAnsi="Calibri" w:cs="Times New Roman"/>
      <w:b/>
      <w:bCs/>
      <w:i/>
      <w:iCs/>
      <w:snapToGrid w:val="0"/>
      <w:sz w:val="26"/>
      <w:szCs w:val="26"/>
    </w:rPr>
  </w:style>
  <w:style w:type="character" w:customStyle="1" w:styleId="Heading6Char">
    <w:name w:val="Heading 6 Char"/>
    <w:basedOn w:val="DefaultParagraphFont"/>
    <w:link w:val="Heading6"/>
    <w:uiPriority w:val="9"/>
    <w:semiHidden/>
    <w:rsid w:val="003272B7"/>
    <w:rPr>
      <w:rFonts w:ascii="Calibri" w:eastAsia="Times New Roman" w:hAnsi="Calibri" w:cs="Times New Roman"/>
      <w:b/>
      <w:bCs/>
      <w:snapToGrid w:val="0"/>
      <w:sz w:val="24"/>
      <w:szCs w:val="24"/>
    </w:rPr>
  </w:style>
  <w:style w:type="character" w:customStyle="1" w:styleId="Heading7Char">
    <w:name w:val="Heading 7 Char"/>
    <w:basedOn w:val="DefaultParagraphFont"/>
    <w:link w:val="Heading7"/>
    <w:uiPriority w:val="9"/>
    <w:semiHidden/>
    <w:rsid w:val="003272B7"/>
    <w:rPr>
      <w:rFonts w:ascii="Calibri" w:eastAsia="Times New Roman" w:hAnsi="Calibri" w:cs="Times New Roman"/>
      <w:snapToGrid w:val="0"/>
      <w:sz w:val="24"/>
      <w:szCs w:val="24"/>
    </w:rPr>
  </w:style>
  <w:style w:type="character" w:customStyle="1" w:styleId="Heading8Char">
    <w:name w:val="Heading 8 Char"/>
    <w:basedOn w:val="DefaultParagraphFont"/>
    <w:link w:val="Heading8"/>
    <w:uiPriority w:val="9"/>
    <w:semiHidden/>
    <w:rsid w:val="003272B7"/>
    <w:rPr>
      <w:rFonts w:ascii="Calibri" w:eastAsia="Times New Roman" w:hAnsi="Calibri" w:cs="Times New Roman"/>
      <w:i/>
      <w:iCs/>
      <w:snapToGrid w:val="0"/>
      <w:sz w:val="24"/>
      <w:szCs w:val="24"/>
    </w:rPr>
  </w:style>
  <w:style w:type="character" w:customStyle="1" w:styleId="Heading9Char">
    <w:name w:val="Heading 9 Char"/>
    <w:basedOn w:val="DefaultParagraphFont"/>
    <w:link w:val="Heading9"/>
    <w:uiPriority w:val="9"/>
    <w:semiHidden/>
    <w:rsid w:val="003272B7"/>
    <w:rPr>
      <w:rFonts w:ascii="Cambria" w:eastAsia="Times New Roman" w:hAnsi="Cambria" w:cs="Times New Roman"/>
      <w:snapToGrid w:val="0"/>
      <w:sz w:val="24"/>
      <w:szCs w:val="24"/>
    </w:rPr>
  </w:style>
  <w:style w:type="character" w:styleId="CommentReference">
    <w:name w:val="annotation reference"/>
    <w:basedOn w:val="DefaultParagraphFont"/>
    <w:uiPriority w:val="99"/>
    <w:semiHidden/>
    <w:unhideWhenUsed/>
    <w:rsid w:val="001C0F5D"/>
    <w:rPr>
      <w:sz w:val="16"/>
      <w:szCs w:val="16"/>
    </w:rPr>
  </w:style>
  <w:style w:type="paragraph" w:styleId="CommentText">
    <w:name w:val="annotation text"/>
    <w:basedOn w:val="Normal"/>
    <w:link w:val="CommentTextChar"/>
    <w:uiPriority w:val="99"/>
    <w:semiHidden/>
    <w:unhideWhenUsed/>
    <w:rsid w:val="001C0F5D"/>
    <w:pPr>
      <w:spacing w:line="240" w:lineRule="auto"/>
    </w:pPr>
    <w:rPr>
      <w:sz w:val="20"/>
      <w:szCs w:val="20"/>
    </w:rPr>
  </w:style>
  <w:style w:type="character" w:customStyle="1" w:styleId="CommentTextChar">
    <w:name w:val="Comment Text Char"/>
    <w:basedOn w:val="DefaultParagraphFont"/>
    <w:link w:val="CommentText"/>
    <w:uiPriority w:val="99"/>
    <w:semiHidden/>
    <w:rsid w:val="001C0F5D"/>
    <w:rPr>
      <w:sz w:val="20"/>
      <w:szCs w:val="20"/>
    </w:rPr>
  </w:style>
  <w:style w:type="paragraph" w:styleId="CommentSubject">
    <w:name w:val="annotation subject"/>
    <w:basedOn w:val="CommentText"/>
    <w:next w:val="CommentText"/>
    <w:link w:val="CommentSubjectChar"/>
    <w:uiPriority w:val="99"/>
    <w:semiHidden/>
    <w:unhideWhenUsed/>
    <w:rsid w:val="001C0F5D"/>
    <w:rPr>
      <w:b/>
      <w:bCs/>
    </w:rPr>
  </w:style>
  <w:style w:type="character" w:customStyle="1" w:styleId="CommentSubjectChar">
    <w:name w:val="Comment Subject Char"/>
    <w:basedOn w:val="CommentTextChar"/>
    <w:link w:val="CommentSubject"/>
    <w:uiPriority w:val="99"/>
    <w:semiHidden/>
    <w:rsid w:val="001C0F5D"/>
    <w:rPr>
      <w:b/>
      <w:bCs/>
      <w:sz w:val="20"/>
      <w:szCs w:val="20"/>
    </w:rPr>
  </w:style>
  <w:style w:type="paragraph" w:styleId="Header">
    <w:name w:val="header"/>
    <w:basedOn w:val="Normal"/>
    <w:link w:val="HeaderChar"/>
    <w:uiPriority w:val="99"/>
    <w:unhideWhenUsed/>
    <w:rsid w:val="00D90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5B8"/>
  </w:style>
  <w:style w:type="paragraph" w:styleId="Footer">
    <w:name w:val="footer"/>
    <w:basedOn w:val="Normal"/>
    <w:link w:val="FooterChar"/>
    <w:uiPriority w:val="99"/>
    <w:unhideWhenUsed/>
    <w:rsid w:val="00D90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5B8"/>
  </w:style>
  <w:style w:type="paragraph" w:customStyle="1" w:styleId="EndNoteBibliographyTitle">
    <w:name w:val="EndNote Bibliography Title"/>
    <w:basedOn w:val="Normal"/>
    <w:link w:val="EndNoteBibliographyTitleChar"/>
    <w:rsid w:val="00C15E83"/>
    <w:pPr>
      <w:spacing w:after="0"/>
    </w:pPr>
    <w:rPr>
      <w:rFonts w:ascii="Calibri" w:hAnsi="Calibri"/>
      <w:noProof/>
      <w:sz w:val="22"/>
    </w:rPr>
  </w:style>
  <w:style w:type="character" w:customStyle="1" w:styleId="EndNoteBibliographyTitleChar">
    <w:name w:val="EndNote Bibliography Title Char"/>
    <w:basedOn w:val="DefaultParagraphFont"/>
    <w:link w:val="EndNoteBibliographyTitle"/>
    <w:rsid w:val="00C15E83"/>
    <w:rPr>
      <w:rFonts w:ascii="Calibri" w:hAnsi="Calibri"/>
      <w:noProof/>
    </w:rPr>
  </w:style>
  <w:style w:type="paragraph" w:styleId="Caption">
    <w:name w:val="caption"/>
    <w:basedOn w:val="Normal"/>
    <w:next w:val="Normal"/>
    <w:uiPriority w:val="35"/>
    <w:unhideWhenUsed/>
    <w:qFormat/>
    <w:rsid w:val="005953C1"/>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A3048B"/>
    <w:pPr>
      <w:spacing w:after="0"/>
      <w:jc w:val="left"/>
    </w:pPr>
  </w:style>
  <w:style w:type="character" w:styleId="FollowedHyperlink">
    <w:name w:val="FollowedHyperlink"/>
    <w:basedOn w:val="DefaultParagraphFont"/>
    <w:uiPriority w:val="99"/>
    <w:semiHidden/>
    <w:unhideWhenUsed/>
    <w:rsid w:val="00B5683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764A"/>
    <w:pPr>
      <w:jc w:val="center"/>
    </w:pPr>
    <w:rPr>
      <w:rFonts w:ascii="Times New Roman" w:hAnsi="Times New Roman"/>
      <w:sz w:val="24"/>
    </w:rPr>
  </w:style>
  <w:style w:type="paragraph" w:styleId="Heading1">
    <w:name w:val="heading 1"/>
    <w:basedOn w:val="Normal"/>
    <w:next w:val="Normal"/>
    <w:link w:val="Heading1Char"/>
    <w:qFormat/>
    <w:rsid w:val="00FF59C0"/>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3272B7"/>
    <w:pPr>
      <w:keepNext/>
      <w:tabs>
        <w:tab w:val="left" w:pos="540"/>
      </w:tabs>
      <w:spacing w:after="0" w:line="240" w:lineRule="auto"/>
      <w:ind w:left="576" w:hanging="576"/>
      <w:outlineLvl w:val="1"/>
    </w:pPr>
    <w:rPr>
      <w:rFonts w:eastAsia="Times New Roman" w:cs="Times New Roman"/>
      <w:b/>
      <w:caps/>
      <w:snapToGrid w:val="0"/>
      <w:szCs w:val="24"/>
    </w:rPr>
  </w:style>
  <w:style w:type="paragraph" w:styleId="Heading3">
    <w:name w:val="heading 3"/>
    <w:basedOn w:val="Normal"/>
    <w:next w:val="Normal"/>
    <w:link w:val="Heading3Char"/>
    <w:qFormat/>
    <w:rsid w:val="003272B7"/>
    <w:pPr>
      <w:keepNext/>
      <w:tabs>
        <w:tab w:val="left" w:pos="720"/>
      </w:tabs>
      <w:spacing w:after="0" w:line="240" w:lineRule="auto"/>
      <w:ind w:left="810" w:hanging="720"/>
      <w:outlineLvl w:val="2"/>
    </w:pPr>
    <w:rPr>
      <w:rFonts w:eastAsia="Times New Roman" w:cs="Times New Roman"/>
      <w:b/>
      <w:snapToGrid w:val="0"/>
      <w:szCs w:val="24"/>
    </w:rPr>
  </w:style>
  <w:style w:type="paragraph" w:styleId="Heading4">
    <w:name w:val="heading 4"/>
    <w:basedOn w:val="Normal"/>
    <w:next w:val="Normal"/>
    <w:link w:val="Heading4Char"/>
    <w:qFormat/>
    <w:rsid w:val="003272B7"/>
    <w:pPr>
      <w:keepNext/>
      <w:tabs>
        <w:tab w:val="left" w:pos="900"/>
      </w:tabs>
      <w:spacing w:after="0" w:line="240" w:lineRule="auto"/>
      <w:ind w:left="864" w:hanging="864"/>
      <w:outlineLvl w:val="3"/>
    </w:pPr>
    <w:rPr>
      <w:rFonts w:eastAsia="Times New Roman" w:cs="Times New Roman"/>
      <w:b/>
      <w:snapToGrid w:val="0"/>
      <w:szCs w:val="24"/>
    </w:rPr>
  </w:style>
  <w:style w:type="paragraph" w:styleId="Heading5">
    <w:name w:val="heading 5"/>
    <w:basedOn w:val="Normal"/>
    <w:next w:val="Normal"/>
    <w:link w:val="Heading5Char"/>
    <w:uiPriority w:val="9"/>
    <w:unhideWhenUsed/>
    <w:qFormat/>
    <w:rsid w:val="003272B7"/>
    <w:pPr>
      <w:widowControl w:val="0"/>
      <w:spacing w:before="240" w:after="60" w:line="240" w:lineRule="auto"/>
      <w:ind w:left="1008" w:hanging="1008"/>
      <w:outlineLvl w:val="4"/>
    </w:pPr>
    <w:rPr>
      <w:rFonts w:ascii="Calibri" w:eastAsia="Times New Roman" w:hAnsi="Calibri" w:cs="Times New Roman"/>
      <w:b/>
      <w:bCs/>
      <w:i/>
      <w:iCs/>
      <w:snapToGrid w:val="0"/>
      <w:sz w:val="26"/>
      <w:szCs w:val="26"/>
    </w:rPr>
  </w:style>
  <w:style w:type="paragraph" w:styleId="Heading6">
    <w:name w:val="heading 6"/>
    <w:basedOn w:val="Normal"/>
    <w:next w:val="Normal"/>
    <w:link w:val="Heading6Char"/>
    <w:uiPriority w:val="9"/>
    <w:semiHidden/>
    <w:unhideWhenUsed/>
    <w:qFormat/>
    <w:rsid w:val="003272B7"/>
    <w:pPr>
      <w:widowControl w:val="0"/>
      <w:spacing w:before="240" w:after="60" w:line="240" w:lineRule="auto"/>
      <w:ind w:left="1152" w:hanging="1152"/>
      <w:outlineLvl w:val="5"/>
    </w:pPr>
    <w:rPr>
      <w:rFonts w:ascii="Calibri" w:eastAsia="Times New Roman" w:hAnsi="Calibri" w:cs="Times New Roman"/>
      <w:b/>
      <w:bCs/>
      <w:snapToGrid w:val="0"/>
      <w:szCs w:val="24"/>
    </w:rPr>
  </w:style>
  <w:style w:type="paragraph" w:styleId="Heading7">
    <w:name w:val="heading 7"/>
    <w:basedOn w:val="Normal"/>
    <w:next w:val="Normal"/>
    <w:link w:val="Heading7Char"/>
    <w:uiPriority w:val="9"/>
    <w:semiHidden/>
    <w:unhideWhenUsed/>
    <w:qFormat/>
    <w:rsid w:val="003272B7"/>
    <w:pPr>
      <w:widowControl w:val="0"/>
      <w:spacing w:before="240" w:after="60" w:line="240" w:lineRule="auto"/>
      <w:ind w:left="1296" w:hanging="1296"/>
      <w:outlineLvl w:val="6"/>
    </w:pPr>
    <w:rPr>
      <w:rFonts w:ascii="Calibri" w:eastAsia="Times New Roman" w:hAnsi="Calibri" w:cs="Times New Roman"/>
      <w:snapToGrid w:val="0"/>
      <w:szCs w:val="24"/>
    </w:rPr>
  </w:style>
  <w:style w:type="paragraph" w:styleId="Heading8">
    <w:name w:val="heading 8"/>
    <w:basedOn w:val="Normal"/>
    <w:next w:val="Normal"/>
    <w:link w:val="Heading8Char"/>
    <w:uiPriority w:val="9"/>
    <w:semiHidden/>
    <w:unhideWhenUsed/>
    <w:qFormat/>
    <w:rsid w:val="003272B7"/>
    <w:pPr>
      <w:widowControl w:val="0"/>
      <w:spacing w:before="240" w:after="60" w:line="240" w:lineRule="auto"/>
      <w:ind w:left="1440" w:hanging="1440"/>
      <w:outlineLvl w:val="7"/>
    </w:pPr>
    <w:rPr>
      <w:rFonts w:ascii="Calibri" w:eastAsia="Times New Roman" w:hAnsi="Calibri" w:cs="Times New Roman"/>
      <w:i/>
      <w:iCs/>
      <w:snapToGrid w:val="0"/>
      <w:szCs w:val="24"/>
    </w:rPr>
  </w:style>
  <w:style w:type="paragraph" w:styleId="Heading9">
    <w:name w:val="heading 9"/>
    <w:basedOn w:val="Normal"/>
    <w:next w:val="Normal"/>
    <w:link w:val="Heading9Char"/>
    <w:uiPriority w:val="9"/>
    <w:semiHidden/>
    <w:unhideWhenUsed/>
    <w:qFormat/>
    <w:rsid w:val="003272B7"/>
    <w:pPr>
      <w:widowControl w:val="0"/>
      <w:spacing w:before="240" w:after="60" w:line="240" w:lineRule="auto"/>
      <w:ind w:left="1584" w:hanging="1584"/>
      <w:outlineLvl w:val="8"/>
    </w:pPr>
    <w:rPr>
      <w:rFonts w:ascii="Cambria" w:eastAsia="Times New Roman" w:hAnsi="Cambria" w:cs="Times New Roman"/>
      <w:snapToGrid w:val="0"/>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133728"/>
    <w:pPr>
      <w:spacing w:after="0" w:line="240" w:lineRule="auto"/>
      <w:jc w:val="center"/>
    </w:pPr>
    <w:rPr>
      <w:rFonts w:ascii="Times New Roman" w:hAnsi="Times New Roman"/>
      <w:sz w:val="24"/>
    </w:rPr>
  </w:style>
  <w:style w:type="paragraph" w:styleId="ListParagraph">
    <w:name w:val="List Paragraph"/>
    <w:basedOn w:val="Normal"/>
    <w:uiPriority w:val="34"/>
    <w:qFormat/>
    <w:rsid w:val="00FF59C0"/>
    <w:pPr>
      <w:ind w:left="720"/>
      <w:contextualSpacing/>
    </w:pPr>
  </w:style>
  <w:style w:type="character" w:customStyle="1" w:styleId="Heading1Char">
    <w:name w:val="Heading 1 Char"/>
    <w:basedOn w:val="DefaultParagraphFont"/>
    <w:link w:val="Heading1"/>
    <w:uiPriority w:val="9"/>
    <w:rsid w:val="00FF59C0"/>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FF59C0"/>
    <w:pPr>
      <w:outlineLvl w:val="9"/>
    </w:pPr>
    <w:rPr>
      <w:lang w:eastAsia="ja-JP"/>
    </w:rPr>
  </w:style>
  <w:style w:type="paragraph" w:styleId="BalloonText">
    <w:name w:val="Balloon Text"/>
    <w:basedOn w:val="Normal"/>
    <w:link w:val="BalloonTextChar"/>
    <w:uiPriority w:val="99"/>
    <w:semiHidden/>
    <w:unhideWhenUsed/>
    <w:rsid w:val="00FF59C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F59C0"/>
    <w:rPr>
      <w:rFonts w:ascii="Tahoma" w:hAnsi="Tahoma" w:cs="Tahoma"/>
      <w:sz w:val="16"/>
      <w:szCs w:val="16"/>
    </w:rPr>
  </w:style>
  <w:style w:type="paragraph" w:styleId="TOC2">
    <w:name w:val="toc 2"/>
    <w:basedOn w:val="Normal"/>
    <w:next w:val="Normal"/>
    <w:autoRedefine/>
    <w:uiPriority w:val="39"/>
    <w:unhideWhenUsed/>
    <w:qFormat/>
    <w:rsid w:val="00095C12"/>
    <w:pPr>
      <w:numPr>
        <w:numId w:val="12"/>
      </w:numPr>
      <w:spacing w:after="100"/>
    </w:pPr>
    <w:rPr>
      <w:rFonts w:eastAsiaTheme="minorEastAsia"/>
      <w:b/>
      <w:lang w:eastAsia="ja-JP"/>
    </w:rPr>
  </w:style>
  <w:style w:type="paragraph" w:styleId="TOC1">
    <w:name w:val="toc 1"/>
    <w:basedOn w:val="Normal"/>
    <w:next w:val="Normal"/>
    <w:autoRedefine/>
    <w:uiPriority w:val="39"/>
    <w:unhideWhenUsed/>
    <w:qFormat/>
    <w:rsid w:val="001A4B7E"/>
    <w:pPr>
      <w:spacing w:after="100"/>
    </w:pPr>
    <w:rPr>
      <w:rFonts w:eastAsiaTheme="minorEastAsia" w:cs="Times New Roman"/>
      <w:b/>
      <w:bCs/>
      <w:szCs w:val="24"/>
      <w:lang w:eastAsia="ja-JP"/>
    </w:rPr>
  </w:style>
  <w:style w:type="paragraph" w:styleId="TOC3">
    <w:name w:val="toc 3"/>
    <w:basedOn w:val="Normal"/>
    <w:next w:val="Normal"/>
    <w:autoRedefine/>
    <w:uiPriority w:val="39"/>
    <w:unhideWhenUsed/>
    <w:qFormat/>
    <w:rsid w:val="00FF59C0"/>
    <w:pPr>
      <w:spacing w:after="100"/>
      <w:ind w:left="440"/>
    </w:pPr>
    <w:rPr>
      <w:rFonts w:eastAsiaTheme="minorEastAsia"/>
      <w:lang w:eastAsia="ja-JP"/>
    </w:rPr>
  </w:style>
  <w:style w:type="character" w:styleId="Hyperlink">
    <w:name w:val="Hyperlink"/>
    <w:basedOn w:val="DefaultParagraphFont"/>
    <w:uiPriority w:val="99"/>
    <w:unhideWhenUsed/>
    <w:rsid w:val="00051BA9"/>
    <w:rPr>
      <w:color w:val="0000FF"/>
      <w:u w:val="single"/>
    </w:rPr>
  </w:style>
  <w:style w:type="character" w:customStyle="1" w:styleId="apple-converted-space">
    <w:name w:val="apple-converted-space"/>
    <w:basedOn w:val="DefaultParagraphFont"/>
    <w:rsid w:val="002050B6"/>
  </w:style>
  <w:style w:type="character" w:customStyle="1" w:styleId="citation">
    <w:name w:val="citation"/>
    <w:basedOn w:val="DefaultParagraphFont"/>
    <w:rsid w:val="002050B6"/>
  </w:style>
  <w:style w:type="character" w:customStyle="1" w:styleId="reference-accessdate">
    <w:name w:val="reference-accessdate"/>
    <w:basedOn w:val="DefaultParagraphFont"/>
    <w:rsid w:val="002050B6"/>
  </w:style>
  <w:style w:type="character" w:customStyle="1" w:styleId="reference-text">
    <w:name w:val="reference-text"/>
    <w:basedOn w:val="DefaultParagraphFont"/>
    <w:rsid w:val="00A50B66"/>
  </w:style>
  <w:style w:type="character" w:styleId="PlaceholderText">
    <w:name w:val="Placeholder Text"/>
    <w:basedOn w:val="DefaultParagraphFont"/>
    <w:uiPriority w:val="99"/>
    <w:semiHidden/>
    <w:rsid w:val="004E5864"/>
    <w:rPr>
      <w:color w:val="808080"/>
    </w:rPr>
  </w:style>
  <w:style w:type="paragraph" w:customStyle="1" w:styleId="Default">
    <w:name w:val="Default"/>
    <w:rsid w:val="003008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EndNoteBibliography">
    <w:name w:val="EndNote Bibliography"/>
    <w:basedOn w:val="Normal"/>
    <w:rsid w:val="008E5CEB"/>
    <w:pPr>
      <w:widowControl w:val="0"/>
      <w:spacing w:after="0" w:line="240" w:lineRule="auto"/>
    </w:pPr>
    <w:rPr>
      <w:rFonts w:ascii="Calibri" w:eastAsia="Times New Roman" w:hAnsi="Calibri" w:cs="Times New Roman"/>
      <w:snapToGrid w:val="0"/>
      <w:sz w:val="22"/>
      <w:szCs w:val="24"/>
    </w:rPr>
  </w:style>
  <w:style w:type="paragraph" w:customStyle="1" w:styleId="FIGCAP1line">
    <w:name w:val="FIGCAP 1 line"/>
    <w:basedOn w:val="Normal"/>
    <w:rsid w:val="003272B7"/>
    <w:pPr>
      <w:spacing w:before="120" w:after="0" w:line="240" w:lineRule="auto"/>
    </w:pPr>
    <w:rPr>
      <w:rFonts w:eastAsia="Times New Roman" w:cs="Times New Roman"/>
      <w:b/>
      <w:snapToGrid w:val="0"/>
      <w:sz w:val="20"/>
    </w:rPr>
  </w:style>
  <w:style w:type="paragraph" w:customStyle="1" w:styleId="TABLECAP">
    <w:name w:val="TABLE CAP"/>
    <w:basedOn w:val="Normal"/>
    <w:rsid w:val="003272B7"/>
    <w:pPr>
      <w:keepNext/>
      <w:keepLines/>
      <w:tabs>
        <w:tab w:val="left" w:pos="360"/>
      </w:tabs>
      <w:spacing w:after="120" w:line="240" w:lineRule="auto"/>
    </w:pPr>
    <w:rPr>
      <w:rFonts w:ascii="Times New Roman Bold" w:eastAsia="Times New Roman" w:hAnsi="Times New Roman Bold" w:cs="Times New Roman"/>
      <w:b/>
      <w:snapToGrid w:val="0"/>
      <w:sz w:val="20"/>
      <w:szCs w:val="24"/>
    </w:rPr>
  </w:style>
  <w:style w:type="character" w:customStyle="1" w:styleId="Heading2Char">
    <w:name w:val="Heading 2 Char"/>
    <w:basedOn w:val="DefaultParagraphFont"/>
    <w:link w:val="Heading2"/>
    <w:rsid w:val="003272B7"/>
    <w:rPr>
      <w:rFonts w:ascii="Times New Roman" w:eastAsia="Times New Roman" w:hAnsi="Times New Roman" w:cs="Times New Roman"/>
      <w:b/>
      <w:caps/>
      <w:snapToGrid w:val="0"/>
      <w:szCs w:val="24"/>
    </w:rPr>
  </w:style>
  <w:style w:type="character" w:customStyle="1" w:styleId="Heading3Char">
    <w:name w:val="Heading 3 Char"/>
    <w:basedOn w:val="DefaultParagraphFont"/>
    <w:link w:val="Heading3"/>
    <w:rsid w:val="003272B7"/>
    <w:rPr>
      <w:rFonts w:ascii="Times New Roman" w:eastAsia="Times New Roman" w:hAnsi="Times New Roman" w:cs="Times New Roman"/>
      <w:b/>
      <w:snapToGrid w:val="0"/>
      <w:szCs w:val="24"/>
    </w:rPr>
  </w:style>
  <w:style w:type="character" w:customStyle="1" w:styleId="Heading4Char">
    <w:name w:val="Heading 4 Char"/>
    <w:basedOn w:val="DefaultParagraphFont"/>
    <w:link w:val="Heading4"/>
    <w:rsid w:val="003272B7"/>
    <w:rPr>
      <w:rFonts w:ascii="Times New Roman" w:eastAsia="Times New Roman" w:hAnsi="Times New Roman" w:cs="Times New Roman"/>
      <w:b/>
      <w:snapToGrid w:val="0"/>
      <w:szCs w:val="24"/>
    </w:rPr>
  </w:style>
  <w:style w:type="character" w:customStyle="1" w:styleId="Heading5Char">
    <w:name w:val="Heading 5 Char"/>
    <w:basedOn w:val="DefaultParagraphFont"/>
    <w:link w:val="Heading5"/>
    <w:uiPriority w:val="9"/>
    <w:rsid w:val="003272B7"/>
    <w:rPr>
      <w:rFonts w:ascii="Calibri" w:eastAsia="Times New Roman" w:hAnsi="Calibri" w:cs="Times New Roman"/>
      <w:b/>
      <w:bCs/>
      <w:i/>
      <w:iCs/>
      <w:snapToGrid w:val="0"/>
      <w:sz w:val="26"/>
      <w:szCs w:val="26"/>
    </w:rPr>
  </w:style>
  <w:style w:type="character" w:customStyle="1" w:styleId="Heading6Char">
    <w:name w:val="Heading 6 Char"/>
    <w:basedOn w:val="DefaultParagraphFont"/>
    <w:link w:val="Heading6"/>
    <w:uiPriority w:val="9"/>
    <w:semiHidden/>
    <w:rsid w:val="003272B7"/>
    <w:rPr>
      <w:rFonts w:ascii="Calibri" w:eastAsia="Times New Roman" w:hAnsi="Calibri" w:cs="Times New Roman"/>
      <w:b/>
      <w:bCs/>
      <w:snapToGrid w:val="0"/>
      <w:sz w:val="24"/>
      <w:szCs w:val="24"/>
    </w:rPr>
  </w:style>
  <w:style w:type="character" w:customStyle="1" w:styleId="Heading7Char">
    <w:name w:val="Heading 7 Char"/>
    <w:basedOn w:val="DefaultParagraphFont"/>
    <w:link w:val="Heading7"/>
    <w:uiPriority w:val="9"/>
    <w:semiHidden/>
    <w:rsid w:val="003272B7"/>
    <w:rPr>
      <w:rFonts w:ascii="Calibri" w:eastAsia="Times New Roman" w:hAnsi="Calibri" w:cs="Times New Roman"/>
      <w:snapToGrid w:val="0"/>
      <w:sz w:val="24"/>
      <w:szCs w:val="24"/>
    </w:rPr>
  </w:style>
  <w:style w:type="character" w:customStyle="1" w:styleId="Heading8Char">
    <w:name w:val="Heading 8 Char"/>
    <w:basedOn w:val="DefaultParagraphFont"/>
    <w:link w:val="Heading8"/>
    <w:uiPriority w:val="9"/>
    <w:semiHidden/>
    <w:rsid w:val="003272B7"/>
    <w:rPr>
      <w:rFonts w:ascii="Calibri" w:eastAsia="Times New Roman" w:hAnsi="Calibri" w:cs="Times New Roman"/>
      <w:i/>
      <w:iCs/>
      <w:snapToGrid w:val="0"/>
      <w:sz w:val="24"/>
      <w:szCs w:val="24"/>
    </w:rPr>
  </w:style>
  <w:style w:type="character" w:customStyle="1" w:styleId="Heading9Char">
    <w:name w:val="Heading 9 Char"/>
    <w:basedOn w:val="DefaultParagraphFont"/>
    <w:link w:val="Heading9"/>
    <w:uiPriority w:val="9"/>
    <w:semiHidden/>
    <w:rsid w:val="003272B7"/>
    <w:rPr>
      <w:rFonts w:ascii="Cambria" w:eastAsia="Times New Roman" w:hAnsi="Cambria" w:cs="Times New Roman"/>
      <w:snapToGrid w:val="0"/>
      <w:sz w:val="24"/>
      <w:szCs w:val="24"/>
    </w:rPr>
  </w:style>
  <w:style w:type="character" w:styleId="CommentReference">
    <w:name w:val="annotation reference"/>
    <w:basedOn w:val="DefaultParagraphFont"/>
    <w:uiPriority w:val="99"/>
    <w:semiHidden/>
    <w:unhideWhenUsed/>
    <w:rsid w:val="001C0F5D"/>
    <w:rPr>
      <w:sz w:val="16"/>
      <w:szCs w:val="16"/>
    </w:rPr>
  </w:style>
  <w:style w:type="paragraph" w:styleId="CommentText">
    <w:name w:val="annotation text"/>
    <w:basedOn w:val="Normal"/>
    <w:link w:val="CommentTextChar"/>
    <w:uiPriority w:val="99"/>
    <w:semiHidden/>
    <w:unhideWhenUsed/>
    <w:rsid w:val="001C0F5D"/>
    <w:pPr>
      <w:spacing w:line="240" w:lineRule="auto"/>
    </w:pPr>
    <w:rPr>
      <w:sz w:val="20"/>
      <w:szCs w:val="20"/>
    </w:rPr>
  </w:style>
  <w:style w:type="character" w:customStyle="1" w:styleId="CommentTextChar">
    <w:name w:val="Comment Text Char"/>
    <w:basedOn w:val="DefaultParagraphFont"/>
    <w:link w:val="CommentText"/>
    <w:uiPriority w:val="99"/>
    <w:semiHidden/>
    <w:rsid w:val="001C0F5D"/>
    <w:rPr>
      <w:sz w:val="20"/>
      <w:szCs w:val="20"/>
    </w:rPr>
  </w:style>
  <w:style w:type="paragraph" w:styleId="CommentSubject">
    <w:name w:val="annotation subject"/>
    <w:basedOn w:val="CommentText"/>
    <w:next w:val="CommentText"/>
    <w:link w:val="CommentSubjectChar"/>
    <w:uiPriority w:val="99"/>
    <w:semiHidden/>
    <w:unhideWhenUsed/>
    <w:rsid w:val="001C0F5D"/>
    <w:rPr>
      <w:b/>
      <w:bCs/>
    </w:rPr>
  </w:style>
  <w:style w:type="character" w:customStyle="1" w:styleId="CommentSubjectChar">
    <w:name w:val="Comment Subject Char"/>
    <w:basedOn w:val="CommentTextChar"/>
    <w:link w:val="CommentSubject"/>
    <w:uiPriority w:val="99"/>
    <w:semiHidden/>
    <w:rsid w:val="001C0F5D"/>
    <w:rPr>
      <w:b/>
      <w:bCs/>
      <w:sz w:val="20"/>
      <w:szCs w:val="20"/>
    </w:rPr>
  </w:style>
  <w:style w:type="paragraph" w:styleId="Header">
    <w:name w:val="header"/>
    <w:basedOn w:val="Normal"/>
    <w:link w:val="HeaderChar"/>
    <w:uiPriority w:val="99"/>
    <w:unhideWhenUsed/>
    <w:rsid w:val="00D905B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905B8"/>
  </w:style>
  <w:style w:type="paragraph" w:styleId="Footer">
    <w:name w:val="footer"/>
    <w:basedOn w:val="Normal"/>
    <w:link w:val="FooterChar"/>
    <w:uiPriority w:val="99"/>
    <w:unhideWhenUsed/>
    <w:rsid w:val="00D905B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905B8"/>
  </w:style>
  <w:style w:type="paragraph" w:customStyle="1" w:styleId="EndNoteBibliographyTitle">
    <w:name w:val="EndNote Bibliography Title"/>
    <w:basedOn w:val="Normal"/>
    <w:link w:val="EndNoteBibliographyTitleChar"/>
    <w:rsid w:val="00C15E83"/>
    <w:pPr>
      <w:spacing w:after="0"/>
    </w:pPr>
    <w:rPr>
      <w:rFonts w:ascii="Calibri" w:hAnsi="Calibri"/>
      <w:noProof/>
      <w:sz w:val="22"/>
    </w:rPr>
  </w:style>
  <w:style w:type="character" w:customStyle="1" w:styleId="EndNoteBibliographyTitleChar">
    <w:name w:val="EndNote Bibliography Title Char"/>
    <w:basedOn w:val="DefaultParagraphFont"/>
    <w:link w:val="EndNoteBibliographyTitle"/>
    <w:rsid w:val="00C15E83"/>
    <w:rPr>
      <w:rFonts w:ascii="Calibri" w:hAnsi="Calibri"/>
      <w:noProof/>
    </w:rPr>
  </w:style>
  <w:style w:type="paragraph" w:styleId="Caption">
    <w:name w:val="caption"/>
    <w:basedOn w:val="Normal"/>
    <w:next w:val="Normal"/>
    <w:uiPriority w:val="35"/>
    <w:unhideWhenUsed/>
    <w:qFormat/>
    <w:rsid w:val="005953C1"/>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A3048B"/>
    <w:pPr>
      <w:spacing w:after="0"/>
      <w:jc w:val="left"/>
    </w:pPr>
  </w:style>
  <w:style w:type="character" w:styleId="FollowedHyperlink">
    <w:name w:val="FollowedHyperlink"/>
    <w:basedOn w:val="DefaultParagraphFont"/>
    <w:uiPriority w:val="99"/>
    <w:semiHidden/>
    <w:unhideWhenUsed/>
    <w:rsid w:val="00B5683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5540648">
      <w:bodyDiv w:val="1"/>
      <w:marLeft w:val="0"/>
      <w:marRight w:val="0"/>
      <w:marTop w:val="0"/>
      <w:marBottom w:val="0"/>
      <w:divBdr>
        <w:top w:val="none" w:sz="0" w:space="0" w:color="auto"/>
        <w:left w:val="none" w:sz="0" w:space="0" w:color="auto"/>
        <w:bottom w:val="none" w:sz="0" w:space="0" w:color="auto"/>
        <w:right w:val="none" w:sz="0" w:space="0" w:color="auto"/>
      </w:divBdr>
    </w:div>
    <w:div w:id="119342572">
      <w:bodyDiv w:val="1"/>
      <w:marLeft w:val="0"/>
      <w:marRight w:val="0"/>
      <w:marTop w:val="0"/>
      <w:marBottom w:val="0"/>
      <w:divBdr>
        <w:top w:val="none" w:sz="0" w:space="0" w:color="auto"/>
        <w:left w:val="none" w:sz="0" w:space="0" w:color="auto"/>
        <w:bottom w:val="none" w:sz="0" w:space="0" w:color="auto"/>
        <w:right w:val="none" w:sz="0" w:space="0" w:color="auto"/>
      </w:divBdr>
    </w:div>
    <w:div w:id="137888410">
      <w:bodyDiv w:val="1"/>
      <w:marLeft w:val="0"/>
      <w:marRight w:val="0"/>
      <w:marTop w:val="0"/>
      <w:marBottom w:val="0"/>
      <w:divBdr>
        <w:top w:val="none" w:sz="0" w:space="0" w:color="auto"/>
        <w:left w:val="none" w:sz="0" w:space="0" w:color="auto"/>
        <w:bottom w:val="none" w:sz="0" w:space="0" w:color="auto"/>
        <w:right w:val="none" w:sz="0" w:space="0" w:color="auto"/>
      </w:divBdr>
    </w:div>
    <w:div w:id="190070530">
      <w:bodyDiv w:val="1"/>
      <w:marLeft w:val="0"/>
      <w:marRight w:val="0"/>
      <w:marTop w:val="0"/>
      <w:marBottom w:val="0"/>
      <w:divBdr>
        <w:top w:val="none" w:sz="0" w:space="0" w:color="auto"/>
        <w:left w:val="none" w:sz="0" w:space="0" w:color="auto"/>
        <w:bottom w:val="none" w:sz="0" w:space="0" w:color="auto"/>
        <w:right w:val="none" w:sz="0" w:space="0" w:color="auto"/>
      </w:divBdr>
    </w:div>
    <w:div w:id="243075549">
      <w:bodyDiv w:val="1"/>
      <w:marLeft w:val="0"/>
      <w:marRight w:val="0"/>
      <w:marTop w:val="0"/>
      <w:marBottom w:val="0"/>
      <w:divBdr>
        <w:top w:val="none" w:sz="0" w:space="0" w:color="auto"/>
        <w:left w:val="none" w:sz="0" w:space="0" w:color="auto"/>
        <w:bottom w:val="none" w:sz="0" w:space="0" w:color="auto"/>
        <w:right w:val="none" w:sz="0" w:space="0" w:color="auto"/>
      </w:divBdr>
    </w:div>
    <w:div w:id="279805898">
      <w:bodyDiv w:val="1"/>
      <w:marLeft w:val="0"/>
      <w:marRight w:val="0"/>
      <w:marTop w:val="0"/>
      <w:marBottom w:val="0"/>
      <w:divBdr>
        <w:top w:val="none" w:sz="0" w:space="0" w:color="auto"/>
        <w:left w:val="none" w:sz="0" w:space="0" w:color="auto"/>
        <w:bottom w:val="none" w:sz="0" w:space="0" w:color="auto"/>
        <w:right w:val="none" w:sz="0" w:space="0" w:color="auto"/>
      </w:divBdr>
    </w:div>
    <w:div w:id="281305930">
      <w:bodyDiv w:val="1"/>
      <w:marLeft w:val="0"/>
      <w:marRight w:val="0"/>
      <w:marTop w:val="0"/>
      <w:marBottom w:val="0"/>
      <w:divBdr>
        <w:top w:val="none" w:sz="0" w:space="0" w:color="auto"/>
        <w:left w:val="none" w:sz="0" w:space="0" w:color="auto"/>
        <w:bottom w:val="none" w:sz="0" w:space="0" w:color="auto"/>
        <w:right w:val="none" w:sz="0" w:space="0" w:color="auto"/>
      </w:divBdr>
    </w:div>
    <w:div w:id="400756314">
      <w:bodyDiv w:val="1"/>
      <w:marLeft w:val="0"/>
      <w:marRight w:val="0"/>
      <w:marTop w:val="0"/>
      <w:marBottom w:val="0"/>
      <w:divBdr>
        <w:top w:val="none" w:sz="0" w:space="0" w:color="auto"/>
        <w:left w:val="none" w:sz="0" w:space="0" w:color="auto"/>
        <w:bottom w:val="none" w:sz="0" w:space="0" w:color="auto"/>
        <w:right w:val="none" w:sz="0" w:space="0" w:color="auto"/>
      </w:divBdr>
    </w:div>
    <w:div w:id="465896548">
      <w:bodyDiv w:val="1"/>
      <w:marLeft w:val="0"/>
      <w:marRight w:val="0"/>
      <w:marTop w:val="0"/>
      <w:marBottom w:val="0"/>
      <w:divBdr>
        <w:top w:val="none" w:sz="0" w:space="0" w:color="auto"/>
        <w:left w:val="none" w:sz="0" w:space="0" w:color="auto"/>
        <w:bottom w:val="none" w:sz="0" w:space="0" w:color="auto"/>
        <w:right w:val="none" w:sz="0" w:space="0" w:color="auto"/>
      </w:divBdr>
    </w:div>
    <w:div w:id="500050366">
      <w:bodyDiv w:val="1"/>
      <w:marLeft w:val="0"/>
      <w:marRight w:val="0"/>
      <w:marTop w:val="0"/>
      <w:marBottom w:val="0"/>
      <w:divBdr>
        <w:top w:val="none" w:sz="0" w:space="0" w:color="auto"/>
        <w:left w:val="none" w:sz="0" w:space="0" w:color="auto"/>
        <w:bottom w:val="none" w:sz="0" w:space="0" w:color="auto"/>
        <w:right w:val="none" w:sz="0" w:space="0" w:color="auto"/>
      </w:divBdr>
    </w:div>
    <w:div w:id="544559942">
      <w:bodyDiv w:val="1"/>
      <w:marLeft w:val="0"/>
      <w:marRight w:val="0"/>
      <w:marTop w:val="0"/>
      <w:marBottom w:val="0"/>
      <w:divBdr>
        <w:top w:val="none" w:sz="0" w:space="0" w:color="auto"/>
        <w:left w:val="none" w:sz="0" w:space="0" w:color="auto"/>
        <w:bottom w:val="none" w:sz="0" w:space="0" w:color="auto"/>
        <w:right w:val="none" w:sz="0" w:space="0" w:color="auto"/>
      </w:divBdr>
    </w:div>
    <w:div w:id="647244883">
      <w:bodyDiv w:val="1"/>
      <w:marLeft w:val="0"/>
      <w:marRight w:val="0"/>
      <w:marTop w:val="0"/>
      <w:marBottom w:val="0"/>
      <w:divBdr>
        <w:top w:val="none" w:sz="0" w:space="0" w:color="auto"/>
        <w:left w:val="none" w:sz="0" w:space="0" w:color="auto"/>
        <w:bottom w:val="none" w:sz="0" w:space="0" w:color="auto"/>
        <w:right w:val="none" w:sz="0" w:space="0" w:color="auto"/>
      </w:divBdr>
    </w:div>
    <w:div w:id="703292394">
      <w:bodyDiv w:val="1"/>
      <w:marLeft w:val="0"/>
      <w:marRight w:val="0"/>
      <w:marTop w:val="0"/>
      <w:marBottom w:val="0"/>
      <w:divBdr>
        <w:top w:val="none" w:sz="0" w:space="0" w:color="auto"/>
        <w:left w:val="none" w:sz="0" w:space="0" w:color="auto"/>
        <w:bottom w:val="none" w:sz="0" w:space="0" w:color="auto"/>
        <w:right w:val="none" w:sz="0" w:space="0" w:color="auto"/>
      </w:divBdr>
    </w:div>
    <w:div w:id="809831050">
      <w:bodyDiv w:val="1"/>
      <w:marLeft w:val="0"/>
      <w:marRight w:val="0"/>
      <w:marTop w:val="0"/>
      <w:marBottom w:val="0"/>
      <w:divBdr>
        <w:top w:val="none" w:sz="0" w:space="0" w:color="auto"/>
        <w:left w:val="none" w:sz="0" w:space="0" w:color="auto"/>
        <w:bottom w:val="none" w:sz="0" w:space="0" w:color="auto"/>
        <w:right w:val="none" w:sz="0" w:space="0" w:color="auto"/>
      </w:divBdr>
    </w:div>
    <w:div w:id="891233881">
      <w:bodyDiv w:val="1"/>
      <w:marLeft w:val="0"/>
      <w:marRight w:val="0"/>
      <w:marTop w:val="0"/>
      <w:marBottom w:val="0"/>
      <w:divBdr>
        <w:top w:val="none" w:sz="0" w:space="0" w:color="auto"/>
        <w:left w:val="none" w:sz="0" w:space="0" w:color="auto"/>
        <w:bottom w:val="none" w:sz="0" w:space="0" w:color="auto"/>
        <w:right w:val="none" w:sz="0" w:space="0" w:color="auto"/>
      </w:divBdr>
    </w:div>
    <w:div w:id="910886582">
      <w:bodyDiv w:val="1"/>
      <w:marLeft w:val="0"/>
      <w:marRight w:val="0"/>
      <w:marTop w:val="0"/>
      <w:marBottom w:val="0"/>
      <w:divBdr>
        <w:top w:val="none" w:sz="0" w:space="0" w:color="auto"/>
        <w:left w:val="none" w:sz="0" w:space="0" w:color="auto"/>
        <w:bottom w:val="none" w:sz="0" w:space="0" w:color="auto"/>
        <w:right w:val="none" w:sz="0" w:space="0" w:color="auto"/>
      </w:divBdr>
    </w:div>
    <w:div w:id="968973018">
      <w:bodyDiv w:val="1"/>
      <w:marLeft w:val="0"/>
      <w:marRight w:val="0"/>
      <w:marTop w:val="0"/>
      <w:marBottom w:val="0"/>
      <w:divBdr>
        <w:top w:val="none" w:sz="0" w:space="0" w:color="auto"/>
        <w:left w:val="none" w:sz="0" w:space="0" w:color="auto"/>
        <w:bottom w:val="none" w:sz="0" w:space="0" w:color="auto"/>
        <w:right w:val="none" w:sz="0" w:space="0" w:color="auto"/>
      </w:divBdr>
    </w:div>
    <w:div w:id="972443624">
      <w:bodyDiv w:val="1"/>
      <w:marLeft w:val="0"/>
      <w:marRight w:val="0"/>
      <w:marTop w:val="0"/>
      <w:marBottom w:val="0"/>
      <w:divBdr>
        <w:top w:val="none" w:sz="0" w:space="0" w:color="auto"/>
        <w:left w:val="none" w:sz="0" w:space="0" w:color="auto"/>
        <w:bottom w:val="none" w:sz="0" w:space="0" w:color="auto"/>
        <w:right w:val="none" w:sz="0" w:space="0" w:color="auto"/>
      </w:divBdr>
    </w:div>
    <w:div w:id="1038430133">
      <w:bodyDiv w:val="1"/>
      <w:marLeft w:val="0"/>
      <w:marRight w:val="0"/>
      <w:marTop w:val="0"/>
      <w:marBottom w:val="0"/>
      <w:divBdr>
        <w:top w:val="none" w:sz="0" w:space="0" w:color="auto"/>
        <w:left w:val="none" w:sz="0" w:space="0" w:color="auto"/>
        <w:bottom w:val="none" w:sz="0" w:space="0" w:color="auto"/>
        <w:right w:val="none" w:sz="0" w:space="0" w:color="auto"/>
      </w:divBdr>
    </w:div>
    <w:div w:id="1055816175">
      <w:bodyDiv w:val="1"/>
      <w:marLeft w:val="0"/>
      <w:marRight w:val="0"/>
      <w:marTop w:val="0"/>
      <w:marBottom w:val="0"/>
      <w:divBdr>
        <w:top w:val="none" w:sz="0" w:space="0" w:color="auto"/>
        <w:left w:val="none" w:sz="0" w:space="0" w:color="auto"/>
        <w:bottom w:val="none" w:sz="0" w:space="0" w:color="auto"/>
        <w:right w:val="none" w:sz="0" w:space="0" w:color="auto"/>
      </w:divBdr>
    </w:div>
    <w:div w:id="1100103211">
      <w:bodyDiv w:val="1"/>
      <w:marLeft w:val="0"/>
      <w:marRight w:val="0"/>
      <w:marTop w:val="0"/>
      <w:marBottom w:val="0"/>
      <w:divBdr>
        <w:top w:val="none" w:sz="0" w:space="0" w:color="auto"/>
        <w:left w:val="none" w:sz="0" w:space="0" w:color="auto"/>
        <w:bottom w:val="none" w:sz="0" w:space="0" w:color="auto"/>
        <w:right w:val="none" w:sz="0" w:space="0" w:color="auto"/>
      </w:divBdr>
    </w:div>
    <w:div w:id="1180006240">
      <w:bodyDiv w:val="1"/>
      <w:marLeft w:val="0"/>
      <w:marRight w:val="0"/>
      <w:marTop w:val="0"/>
      <w:marBottom w:val="0"/>
      <w:divBdr>
        <w:top w:val="none" w:sz="0" w:space="0" w:color="auto"/>
        <w:left w:val="none" w:sz="0" w:space="0" w:color="auto"/>
        <w:bottom w:val="none" w:sz="0" w:space="0" w:color="auto"/>
        <w:right w:val="none" w:sz="0" w:space="0" w:color="auto"/>
      </w:divBdr>
    </w:div>
    <w:div w:id="1193347043">
      <w:bodyDiv w:val="1"/>
      <w:marLeft w:val="0"/>
      <w:marRight w:val="0"/>
      <w:marTop w:val="0"/>
      <w:marBottom w:val="0"/>
      <w:divBdr>
        <w:top w:val="none" w:sz="0" w:space="0" w:color="auto"/>
        <w:left w:val="none" w:sz="0" w:space="0" w:color="auto"/>
        <w:bottom w:val="none" w:sz="0" w:space="0" w:color="auto"/>
        <w:right w:val="none" w:sz="0" w:space="0" w:color="auto"/>
      </w:divBdr>
    </w:div>
    <w:div w:id="1347517382">
      <w:bodyDiv w:val="1"/>
      <w:marLeft w:val="0"/>
      <w:marRight w:val="0"/>
      <w:marTop w:val="0"/>
      <w:marBottom w:val="0"/>
      <w:divBdr>
        <w:top w:val="none" w:sz="0" w:space="0" w:color="auto"/>
        <w:left w:val="none" w:sz="0" w:space="0" w:color="auto"/>
        <w:bottom w:val="none" w:sz="0" w:space="0" w:color="auto"/>
        <w:right w:val="none" w:sz="0" w:space="0" w:color="auto"/>
      </w:divBdr>
    </w:div>
    <w:div w:id="1347901667">
      <w:bodyDiv w:val="1"/>
      <w:marLeft w:val="0"/>
      <w:marRight w:val="0"/>
      <w:marTop w:val="0"/>
      <w:marBottom w:val="0"/>
      <w:divBdr>
        <w:top w:val="none" w:sz="0" w:space="0" w:color="auto"/>
        <w:left w:val="none" w:sz="0" w:space="0" w:color="auto"/>
        <w:bottom w:val="none" w:sz="0" w:space="0" w:color="auto"/>
        <w:right w:val="none" w:sz="0" w:space="0" w:color="auto"/>
      </w:divBdr>
    </w:div>
    <w:div w:id="1423840202">
      <w:bodyDiv w:val="1"/>
      <w:marLeft w:val="0"/>
      <w:marRight w:val="0"/>
      <w:marTop w:val="0"/>
      <w:marBottom w:val="0"/>
      <w:divBdr>
        <w:top w:val="none" w:sz="0" w:space="0" w:color="auto"/>
        <w:left w:val="none" w:sz="0" w:space="0" w:color="auto"/>
        <w:bottom w:val="none" w:sz="0" w:space="0" w:color="auto"/>
        <w:right w:val="none" w:sz="0" w:space="0" w:color="auto"/>
      </w:divBdr>
    </w:div>
    <w:div w:id="1448623661">
      <w:bodyDiv w:val="1"/>
      <w:marLeft w:val="0"/>
      <w:marRight w:val="0"/>
      <w:marTop w:val="0"/>
      <w:marBottom w:val="0"/>
      <w:divBdr>
        <w:top w:val="none" w:sz="0" w:space="0" w:color="auto"/>
        <w:left w:val="none" w:sz="0" w:space="0" w:color="auto"/>
        <w:bottom w:val="none" w:sz="0" w:space="0" w:color="auto"/>
        <w:right w:val="none" w:sz="0" w:space="0" w:color="auto"/>
      </w:divBdr>
    </w:div>
    <w:div w:id="1500346176">
      <w:bodyDiv w:val="1"/>
      <w:marLeft w:val="0"/>
      <w:marRight w:val="0"/>
      <w:marTop w:val="0"/>
      <w:marBottom w:val="0"/>
      <w:divBdr>
        <w:top w:val="none" w:sz="0" w:space="0" w:color="auto"/>
        <w:left w:val="none" w:sz="0" w:space="0" w:color="auto"/>
        <w:bottom w:val="none" w:sz="0" w:space="0" w:color="auto"/>
        <w:right w:val="none" w:sz="0" w:space="0" w:color="auto"/>
      </w:divBdr>
    </w:div>
    <w:div w:id="1534919289">
      <w:bodyDiv w:val="1"/>
      <w:marLeft w:val="0"/>
      <w:marRight w:val="0"/>
      <w:marTop w:val="0"/>
      <w:marBottom w:val="0"/>
      <w:divBdr>
        <w:top w:val="none" w:sz="0" w:space="0" w:color="auto"/>
        <w:left w:val="none" w:sz="0" w:space="0" w:color="auto"/>
        <w:bottom w:val="none" w:sz="0" w:space="0" w:color="auto"/>
        <w:right w:val="none" w:sz="0" w:space="0" w:color="auto"/>
      </w:divBdr>
    </w:div>
    <w:div w:id="1744258778">
      <w:bodyDiv w:val="1"/>
      <w:marLeft w:val="0"/>
      <w:marRight w:val="0"/>
      <w:marTop w:val="0"/>
      <w:marBottom w:val="0"/>
      <w:divBdr>
        <w:top w:val="none" w:sz="0" w:space="0" w:color="auto"/>
        <w:left w:val="none" w:sz="0" w:space="0" w:color="auto"/>
        <w:bottom w:val="none" w:sz="0" w:space="0" w:color="auto"/>
        <w:right w:val="none" w:sz="0" w:space="0" w:color="auto"/>
      </w:divBdr>
    </w:div>
    <w:div w:id="1794057225">
      <w:bodyDiv w:val="1"/>
      <w:marLeft w:val="0"/>
      <w:marRight w:val="0"/>
      <w:marTop w:val="0"/>
      <w:marBottom w:val="0"/>
      <w:divBdr>
        <w:top w:val="none" w:sz="0" w:space="0" w:color="auto"/>
        <w:left w:val="none" w:sz="0" w:space="0" w:color="auto"/>
        <w:bottom w:val="none" w:sz="0" w:space="0" w:color="auto"/>
        <w:right w:val="none" w:sz="0" w:space="0" w:color="auto"/>
      </w:divBdr>
    </w:div>
    <w:div w:id="1808547601">
      <w:bodyDiv w:val="1"/>
      <w:marLeft w:val="0"/>
      <w:marRight w:val="0"/>
      <w:marTop w:val="0"/>
      <w:marBottom w:val="0"/>
      <w:divBdr>
        <w:top w:val="none" w:sz="0" w:space="0" w:color="auto"/>
        <w:left w:val="none" w:sz="0" w:space="0" w:color="auto"/>
        <w:bottom w:val="none" w:sz="0" w:space="0" w:color="auto"/>
        <w:right w:val="none" w:sz="0" w:space="0" w:color="auto"/>
      </w:divBdr>
    </w:div>
    <w:div w:id="1844784255">
      <w:bodyDiv w:val="1"/>
      <w:marLeft w:val="0"/>
      <w:marRight w:val="0"/>
      <w:marTop w:val="0"/>
      <w:marBottom w:val="0"/>
      <w:divBdr>
        <w:top w:val="none" w:sz="0" w:space="0" w:color="auto"/>
        <w:left w:val="none" w:sz="0" w:space="0" w:color="auto"/>
        <w:bottom w:val="none" w:sz="0" w:space="0" w:color="auto"/>
        <w:right w:val="none" w:sz="0" w:space="0" w:color="auto"/>
      </w:divBdr>
    </w:div>
    <w:div w:id="1898470915">
      <w:bodyDiv w:val="1"/>
      <w:marLeft w:val="0"/>
      <w:marRight w:val="0"/>
      <w:marTop w:val="0"/>
      <w:marBottom w:val="0"/>
      <w:divBdr>
        <w:top w:val="none" w:sz="0" w:space="0" w:color="auto"/>
        <w:left w:val="none" w:sz="0" w:space="0" w:color="auto"/>
        <w:bottom w:val="none" w:sz="0" w:space="0" w:color="auto"/>
        <w:right w:val="none" w:sz="0" w:space="0" w:color="auto"/>
      </w:divBdr>
    </w:div>
    <w:div w:id="1962568389">
      <w:bodyDiv w:val="1"/>
      <w:marLeft w:val="0"/>
      <w:marRight w:val="0"/>
      <w:marTop w:val="0"/>
      <w:marBottom w:val="0"/>
      <w:divBdr>
        <w:top w:val="none" w:sz="0" w:space="0" w:color="auto"/>
        <w:left w:val="none" w:sz="0" w:space="0" w:color="auto"/>
        <w:bottom w:val="none" w:sz="0" w:space="0" w:color="auto"/>
        <w:right w:val="none" w:sz="0" w:space="0" w:color="auto"/>
      </w:divBdr>
    </w:div>
    <w:div w:id="2006855199">
      <w:bodyDiv w:val="1"/>
      <w:marLeft w:val="0"/>
      <w:marRight w:val="0"/>
      <w:marTop w:val="0"/>
      <w:marBottom w:val="0"/>
      <w:divBdr>
        <w:top w:val="none" w:sz="0" w:space="0" w:color="auto"/>
        <w:left w:val="none" w:sz="0" w:space="0" w:color="auto"/>
        <w:bottom w:val="none" w:sz="0" w:space="0" w:color="auto"/>
        <w:right w:val="none" w:sz="0" w:space="0" w:color="auto"/>
      </w:divBdr>
    </w:div>
    <w:div w:id="2088723083">
      <w:bodyDiv w:val="1"/>
      <w:marLeft w:val="0"/>
      <w:marRight w:val="0"/>
      <w:marTop w:val="0"/>
      <w:marBottom w:val="0"/>
      <w:divBdr>
        <w:top w:val="none" w:sz="0" w:space="0" w:color="auto"/>
        <w:left w:val="none" w:sz="0" w:space="0" w:color="auto"/>
        <w:bottom w:val="none" w:sz="0" w:space="0" w:color="auto"/>
        <w:right w:val="none" w:sz="0" w:space="0" w:color="auto"/>
      </w:divBdr>
    </w:div>
    <w:div w:id="21396887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png"/><Relationship Id="rId18" Type="http://schemas.openxmlformats.org/officeDocument/2006/relationships/image" Target="media/image7.png"/><Relationship Id="rId26" Type="http://schemas.openxmlformats.org/officeDocument/2006/relationships/image" Target="media/image15.png"/><Relationship Id="rId39" Type="http://schemas.openxmlformats.org/officeDocument/2006/relationships/image" Target="media/image27.png"/><Relationship Id="rId21" Type="http://schemas.openxmlformats.org/officeDocument/2006/relationships/image" Target="media/image10.png"/><Relationship Id="rId34" Type="http://schemas.openxmlformats.org/officeDocument/2006/relationships/image" Target="media/image23.png"/><Relationship Id="rId42" Type="http://schemas.openxmlformats.org/officeDocument/2006/relationships/chart" Target="charts/chart3.xml"/><Relationship Id="rId47" Type="http://schemas.openxmlformats.org/officeDocument/2006/relationships/chart" Target="charts/chart7.xml"/><Relationship Id="rId50" Type="http://schemas.openxmlformats.org/officeDocument/2006/relationships/chart" Target="charts/chart10.xml"/><Relationship Id="rId55" Type="http://schemas.openxmlformats.org/officeDocument/2006/relationships/chart" Target="charts/chart12.xml"/><Relationship Id="rId63" Type="http://schemas.openxmlformats.org/officeDocument/2006/relationships/image" Target="media/image41.png"/><Relationship Id="rId68" Type="http://schemas.openxmlformats.org/officeDocument/2006/relationships/image" Target="media/image46.png"/><Relationship Id="rId76" Type="http://schemas.openxmlformats.org/officeDocument/2006/relationships/chart" Target="charts/chart19.xml"/><Relationship Id="rId7" Type="http://schemas.openxmlformats.org/officeDocument/2006/relationships/footnotes" Target="footnotes.xml"/><Relationship Id="rId71" Type="http://schemas.openxmlformats.org/officeDocument/2006/relationships/chart" Target="charts/chart15.xml"/><Relationship Id="rId2" Type="http://schemas.openxmlformats.org/officeDocument/2006/relationships/numbering" Target="numbering.xml"/><Relationship Id="rId16" Type="http://schemas.openxmlformats.org/officeDocument/2006/relationships/image" Target="media/image5.emf"/><Relationship Id="rId29" Type="http://schemas.openxmlformats.org/officeDocument/2006/relationships/image" Target="media/image18.png"/><Relationship Id="rId11" Type="http://schemas.openxmlformats.org/officeDocument/2006/relationships/footer" Target="footer3.xml"/><Relationship Id="rId24" Type="http://schemas.openxmlformats.org/officeDocument/2006/relationships/image" Target="media/image13.wmf"/><Relationship Id="rId32" Type="http://schemas.openxmlformats.org/officeDocument/2006/relationships/image" Target="media/image21.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chart" Target="charts/chart6.xml"/><Relationship Id="rId53" Type="http://schemas.openxmlformats.org/officeDocument/2006/relationships/image" Target="media/image35.png"/><Relationship Id="rId58" Type="http://schemas.openxmlformats.org/officeDocument/2006/relationships/image" Target="media/image37.png"/><Relationship Id="rId66" Type="http://schemas.openxmlformats.org/officeDocument/2006/relationships/image" Target="media/image44.png"/><Relationship Id="rId74" Type="http://schemas.openxmlformats.org/officeDocument/2006/relationships/chart" Target="charts/chart17.xml"/><Relationship Id="rId79" Type="http://schemas.openxmlformats.org/officeDocument/2006/relationships/theme" Target="theme/theme1.xml"/><Relationship Id="rId5" Type="http://schemas.openxmlformats.org/officeDocument/2006/relationships/settings" Target="settings.xml"/><Relationship Id="rId61" Type="http://schemas.openxmlformats.org/officeDocument/2006/relationships/image" Target="media/image39.png"/><Relationship Id="rId10" Type="http://schemas.openxmlformats.org/officeDocument/2006/relationships/footer" Target="footer2.xml"/><Relationship Id="rId19" Type="http://schemas.openxmlformats.org/officeDocument/2006/relationships/image" Target="media/image8.png"/><Relationship Id="rId31" Type="http://schemas.openxmlformats.org/officeDocument/2006/relationships/image" Target="media/image20.emf"/><Relationship Id="rId44" Type="http://schemas.openxmlformats.org/officeDocument/2006/relationships/chart" Target="charts/chart5.xml"/><Relationship Id="rId52" Type="http://schemas.openxmlformats.org/officeDocument/2006/relationships/image" Target="media/image34.png"/><Relationship Id="rId60" Type="http://schemas.openxmlformats.org/officeDocument/2006/relationships/chart" Target="charts/chart14.xml"/><Relationship Id="rId65" Type="http://schemas.openxmlformats.org/officeDocument/2006/relationships/image" Target="media/image43.png"/><Relationship Id="rId73" Type="http://schemas.openxmlformats.org/officeDocument/2006/relationships/image" Target="media/image49.png"/><Relationship Id="rId78"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image" Target="media/image11.jpeg"/><Relationship Id="rId27" Type="http://schemas.openxmlformats.org/officeDocument/2006/relationships/image" Target="media/image16.png"/><Relationship Id="rId30" Type="http://schemas.openxmlformats.org/officeDocument/2006/relationships/image" Target="media/image19.emf"/><Relationship Id="rId35" Type="http://schemas.openxmlformats.org/officeDocument/2006/relationships/chart" Target="charts/chart1.xml"/><Relationship Id="rId43" Type="http://schemas.openxmlformats.org/officeDocument/2006/relationships/chart" Target="charts/chart4.xml"/><Relationship Id="rId48" Type="http://schemas.openxmlformats.org/officeDocument/2006/relationships/chart" Target="charts/chart8.xml"/><Relationship Id="rId56" Type="http://schemas.openxmlformats.org/officeDocument/2006/relationships/chart" Target="charts/chart13.xml"/><Relationship Id="rId64" Type="http://schemas.openxmlformats.org/officeDocument/2006/relationships/image" Target="media/image42.png"/><Relationship Id="rId69" Type="http://schemas.openxmlformats.org/officeDocument/2006/relationships/image" Target="media/image47.png"/><Relationship Id="rId77" Type="http://schemas.openxmlformats.org/officeDocument/2006/relationships/chart" Target="charts/chart20.xml"/><Relationship Id="rId8" Type="http://schemas.openxmlformats.org/officeDocument/2006/relationships/endnotes" Target="endnotes.xml"/><Relationship Id="rId51" Type="http://schemas.openxmlformats.org/officeDocument/2006/relationships/image" Target="media/image33.png"/><Relationship Id="rId72" Type="http://schemas.openxmlformats.org/officeDocument/2006/relationships/chart" Target="charts/chart16.xml"/><Relationship Id="rId3"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image" Target="media/image6.png"/><Relationship Id="rId25" Type="http://schemas.openxmlformats.org/officeDocument/2006/relationships/image" Target="media/image14.wmf"/><Relationship Id="rId33" Type="http://schemas.openxmlformats.org/officeDocument/2006/relationships/image" Target="media/image22.png"/><Relationship Id="rId38" Type="http://schemas.openxmlformats.org/officeDocument/2006/relationships/image" Target="media/image26.png"/><Relationship Id="rId46" Type="http://schemas.openxmlformats.org/officeDocument/2006/relationships/image" Target="media/image32.wmf"/><Relationship Id="rId59" Type="http://schemas.openxmlformats.org/officeDocument/2006/relationships/image" Target="media/image38.png"/><Relationship Id="rId67" Type="http://schemas.openxmlformats.org/officeDocument/2006/relationships/image" Target="media/image45.png"/><Relationship Id="rId20" Type="http://schemas.openxmlformats.org/officeDocument/2006/relationships/image" Target="media/image9.png"/><Relationship Id="rId41" Type="http://schemas.openxmlformats.org/officeDocument/2006/relationships/chart" Target="charts/chart2.xml"/><Relationship Id="rId54" Type="http://schemas.openxmlformats.org/officeDocument/2006/relationships/chart" Target="charts/chart11.xml"/><Relationship Id="rId62" Type="http://schemas.openxmlformats.org/officeDocument/2006/relationships/image" Target="media/image40.png"/><Relationship Id="rId70" Type="http://schemas.openxmlformats.org/officeDocument/2006/relationships/image" Target="media/image48.png"/><Relationship Id="rId75" Type="http://schemas.openxmlformats.org/officeDocument/2006/relationships/chart" Target="charts/chart18.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image" Target="media/image12.png"/><Relationship Id="rId28" Type="http://schemas.openxmlformats.org/officeDocument/2006/relationships/image" Target="media/image17.png"/><Relationship Id="rId36" Type="http://schemas.openxmlformats.org/officeDocument/2006/relationships/image" Target="media/image24.png"/><Relationship Id="rId49" Type="http://schemas.openxmlformats.org/officeDocument/2006/relationships/chart" Target="charts/chart9.xml"/><Relationship Id="rId57" Type="http://schemas.openxmlformats.org/officeDocument/2006/relationships/image" Target="media/image36.png"/></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F:\ATF\UO2%20kernel\k-eff%20vs.%20EFPD%202.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F:\ATF\UCO%20and%20UN\UO2%20UN%20and%20UCO.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file:///F:\ATF\Publications\Alt%20Cladding\CladsAndClads\SteelCladCalcs.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F:\FCM%20Particle%20Fuel\EOC%20Reactivity%20Calcs\Kurt%20Pins%20(Corrected).xlsx" TargetMode="Externa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oleObject" Target="file:///F:\FCM%20Particle%20Fuel\EOC%20Reactivity%20Calcs\Kurt%20Pins%20(Corrected).xlsx" TargetMode="External"/><Relationship Id="rId1" Type="http://schemas.openxmlformats.org/officeDocument/2006/relationships/image" Target="../media/image29.png"/></Relationships>
</file>

<file path=word/charts/_rels/chart7.xml.rels><?xml version="1.0" encoding="UTF-8" standalone="yes"?>
<Relationships xmlns="http://schemas.openxmlformats.org/package/2006/relationships"><Relationship Id="rId1" Type="http://schemas.openxmlformats.org/officeDocument/2006/relationships/oleObject" Target="file:///E:\ATF\Publications\Alt%20Cladding\CladsAndClads\SCALE6.1.2%20Verification\Jeffs%20plots.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file:///E:\FCM%20Particle%20Fuel\Kurt%20Pins%2011-8\FCM%20Fluxplanes.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file:///E:\FCM%20Particle%20Fuel\Kurt%20Pins%2011-8\FCM%20Fluxplanes.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file:///E:\FCM%20Particle%20Fuel\Kurt%20Pins%2011-8\FCM%20Fluxplanes.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file:///E:\ATF\BWR\GE%2014\GE%20Results.xlsx" TargetMode="External"/></Relationships>
</file>

<file path=word/charts/_rels/chart12.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1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14.xml.rels><?xml version="1.0" encoding="UTF-8" standalone="yes"?>
<Relationships xmlns="http://schemas.openxmlformats.org/package/2006/relationships"><Relationship Id="rId1" Type="http://schemas.openxmlformats.org/officeDocument/2006/relationships/package" Target="../embeddings/Microsoft_Excel_Worksheet3.xlsx"/></Relationships>
</file>

<file path=word/charts/_rels/chart15.xml.rels><?xml version="1.0" encoding="UTF-8" standalone="yes"?>
<Relationships xmlns="http://schemas.openxmlformats.org/package/2006/relationships"><Relationship Id="rId1" Type="http://schemas.openxmlformats.org/officeDocument/2006/relationships/oleObject" Target="file:///E:\ATF\BWR\VoidPlots.xlsx" TargetMode="External"/></Relationships>
</file>

<file path=word/charts/_rels/chart16.xml.rels><?xml version="1.0" encoding="UTF-8" standalone="yes"?>
<Relationships xmlns="http://schemas.openxmlformats.org/package/2006/relationships"><Relationship Id="rId1" Type="http://schemas.openxmlformats.org/officeDocument/2006/relationships/oleObject" Target="file:///E:\ATF\BWR\SiC-Cr%20Channel%20Box\Homogenization.xlsx" TargetMode="External"/></Relationships>
</file>

<file path=word/charts/_rels/chart17.xml.rels><?xml version="1.0" encoding="UTF-8" standalone="yes"?>
<Relationships xmlns="http://schemas.openxmlformats.org/package/2006/relationships"><Relationship Id="rId1" Type="http://schemas.openxmlformats.org/officeDocument/2006/relationships/oleObject" Target="file:///E:\ATF\BWR\PEREGRINE\Linear%20Heat%20Rates_Zirc.xlsx" TargetMode="External"/></Relationships>
</file>

<file path=word/charts/_rels/chart18.xml.rels><?xml version="1.0" encoding="UTF-8" standalone="yes"?>
<Relationships xmlns="http://schemas.openxmlformats.org/package/2006/relationships"><Relationship Id="rId1" Type="http://schemas.openxmlformats.org/officeDocument/2006/relationships/oleObject" Target="file:///E:\ATF\Dissertation\BISON_Results.xlsx" TargetMode="External"/></Relationships>
</file>

<file path=word/charts/_rels/chart19.xml.rels><?xml version="1.0" encoding="UTF-8" standalone="yes"?>
<Relationships xmlns="http://schemas.openxmlformats.org/package/2006/relationships"><Relationship Id="rId1" Type="http://schemas.openxmlformats.org/officeDocument/2006/relationships/oleObject" Target="file:///E:\ATF\Dissertation\BISON_Results.xlsx" TargetMode="External"/></Relationships>
</file>

<file path=word/charts/_rels/chart20.xml.rels><?xml version="1.0" encoding="UTF-8" standalone="yes"?>
<Relationships xmlns="http://schemas.openxmlformats.org/package/2006/relationships"><Relationship Id="rId1" Type="http://schemas.openxmlformats.org/officeDocument/2006/relationships/oleObject" Target="file:///E:\ATF\Dissertation\BISON_Results.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21217589368504899"/>
          <c:y val="3.7715560764924903E-2"/>
          <c:w val="0.74011127582157399"/>
          <c:h val="0.80021563541368601"/>
        </c:manualLayout>
      </c:layout>
      <c:scatterChart>
        <c:scatterStyle val="smoothMarker"/>
        <c:varyColors val="0"/>
        <c:ser>
          <c:idx val="0"/>
          <c:order val="0"/>
          <c:marker>
            <c:symbol val="diamond"/>
            <c:size val="5"/>
          </c:marker>
          <c:xVal>
            <c:numRef>
              <c:f>Sheet1!$B$3:$B$26</c:f>
              <c:numCache>
                <c:formatCode>General</c:formatCode>
                <c:ptCount val="24"/>
                <c:pt idx="0">
                  <c:v>0.4</c:v>
                </c:pt>
                <c:pt idx="1">
                  <c:v>1.25</c:v>
                </c:pt>
                <c:pt idx="2">
                  <c:v>1.65</c:v>
                </c:pt>
                <c:pt idx="3">
                  <c:v>1.75</c:v>
                </c:pt>
                <c:pt idx="4">
                  <c:v>1.6</c:v>
                </c:pt>
                <c:pt idx="5">
                  <c:v>1.45</c:v>
                </c:pt>
                <c:pt idx="6">
                  <c:v>1.35</c:v>
                </c:pt>
                <c:pt idx="7">
                  <c:v>1.22</c:v>
                </c:pt>
                <c:pt idx="8">
                  <c:v>1.1100000000000001</c:v>
                </c:pt>
                <c:pt idx="9">
                  <c:v>1.05</c:v>
                </c:pt>
                <c:pt idx="10">
                  <c:v>1</c:v>
                </c:pt>
                <c:pt idx="11">
                  <c:v>0.98</c:v>
                </c:pt>
                <c:pt idx="12">
                  <c:v>1</c:v>
                </c:pt>
                <c:pt idx="13">
                  <c:v>0.95</c:v>
                </c:pt>
                <c:pt idx="14">
                  <c:v>0.98</c:v>
                </c:pt>
                <c:pt idx="15">
                  <c:v>1.01</c:v>
                </c:pt>
                <c:pt idx="16">
                  <c:v>1</c:v>
                </c:pt>
                <c:pt idx="17">
                  <c:v>0.92</c:v>
                </c:pt>
                <c:pt idx="18">
                  <c:v>0.88</c:v>
                </c:pt>
                <c:pt idx="19">
                  <c:v>0.75</c:v>
                </c:pt>
                <c:pt idx="20">
                  <c:v>0.57999999999999996</c:v>
                </c:pt>
                <c:pt idx="21">
                  <c:v>0.3</c:v>
                </c:pt>
                <c:pt idx="22">
                  <c:v>0.15</c:v>
                </c:pt>
                <c:pt idx="23">
                  <c:v>0.05</c:v>
                </c:pt>
              </c:numCache>
            </c:numRef>
          </c:xVal>
          <c:yVal>
            <c:numRef>
              <c:f>Sheet1!$A$3:$A$26</c:f>
              <c:numCache>
                <c:formatCode>General</c:formatCode>
                <c:ptCount val="24"/>
                <c:pt idx="0">
                  <c:v>2</c:v>
                </c:pt>
                <c:pt idx="1">
                  <c:v>8.2608695652173907</c:v>
                </c:pt>
                <c:pt idx="2">
                  <c:v>14.52173913043478</c:v>
                </c:pt>
                <c:pt idx="3">
                  <c:v>20.782608695652169</c:v>
                </c:pt>
                <c:pt idx="4">
                  <c:v>27.043478260869559</c:v>
                </c:pt>
                <c:pt idx="5">
                  <c:v>33.304347826086953</c:v>
                </c:pt>
                <c:pt idx="6">
                  <c:v>39.565217391304351</c:v>
                </c:pt>
                <c:pt idx="7">
                  <c:v>45.826086956521742</c:v>
                </c:pt>
                <c:pt idx="8">
                  <c:v>52.086956521739133</c:v>
                </c:pt>
                <c:pt idx="9">
                  <c:v>58.347826086956488</c:v>
                </c:pt>
                <c:pt idx="10">
                  <c:v>64.608695652173878</c:v>
                </c:pt>
                <c:pt idx="11">
                  <c:v>70.869565217391298</c:v>
                </c:pt>
                <c:pt idx="12">
                  <c:v>77.130434782608688</c:v>
                </c:pt>
                <c:pt idx="13">
                  <c:v>83.391304347826079</c:v>
                </c:pt>
                <c:pt idx="14">
                  <c:v>89.652173913043441</c:v>
                </c:pt>
                <c:pt idx="15">
                  <c:v>95.913043478260875</c:v>
                </c:pt>
                <c:pt idx="16">
                  <c:v>102.17391304347829</c:v>
                </c:pt>
                <c:pt idx="17">
                  <c:v>108.4347826086956</c:v>
                </c:pt>
                <c:pt idx="18">
                  <c:v>114.695652173913</c:v>
                </c:pt>
                <c:pt idx="19">
                  <c:v>120.95652173913039</c:v>
                </c:pt>
                <c:pt idx="20">
                  <c:v>127.2173913043478</c:v>
                </c:pt>
                <c:pt idx="21">
                  <c:v>133.47826086956519</c:v>
                </c:pt>
                <c:pt idx="22">
                  <c:v>139.7391304347826</c:v>
                </c:pt>
                <c:pt idx="23">
                  <c:v>146</c:v>
                </c:pt>
              </c:numCache>
            </c:numRef>
          </c:yVal>
          <c:smooth val="1"/>
        </c:ser>
        <c:dLbls>
          <c:showLegendKey val="0"/>
          <c:showVal val="0"/>
          <c:showCatName val="0"/>
          <c:showSerName val="0"/>
          <c:showPercent val="0"/>
          <c:showBubbleSize val="0"/>
        </c:dLbls>
        <c:axId val="104484224"/>
        <c:axId val="108942848"/>
      </c:scatterChart>
      <c:valAx>
        <c:axId val="104484224"/>
        <c:scaling>
          <c:orientation val="minMax"/>
        </c:scaling>
        <c:delete val="0"/>
        <c:axPos val="b"/>
        <c:majorGridlines>
          <c:spPr>
            <a:ln>
              <a:prstDash val="sysDash"/>
            </a:ln>
          </c:spPr>
        </c:majorGridlines>
        <c:title>
          <c:tx>
            <c:rich>
              <a:bodyPr/>
              <a:lstStyle/>
              <a:p>
                <a:pPr>
                  <a:defRPr/>
                </a:pPr>
                <a:r>
                  <a:rPr lang="en-US"/>
                  <a:t>Relative Power Peak</a:t>
                </a:r>
              </a:p>
            </c:rich>
          </c:tx>
          <c:layout/>
          <c:overlay val="0"/>
        </c:title>
        <c:numFmt formatCode="General" sourceLinked="1"/>
        <c:majorTickMark val="out"/>
        <c:minorTickMark val="none"/>
        <c:tickLblPos val="nextTo"/>
        <c:crossAx val="108942848"/>
        <c:crosses val="autoZero"/>
        <c:crossBetween val="midCat"/>
        <c:majorUnit val="0.5"/>
        <c:minorUnit val="0.1"/>
      </c:valAx>
      <c:valAx>
        <c:axId val="108942848"/>
        <c:scaling>
          <c:orientation val="minMax"/>
        </c:scaling>
        <c:delete val="0"/>
        <c:axPos val="l"/>
        <c:majorGridlines>
          <c:spPr>
            <a:ln>
              <a:prstDash val="sysDash"/>
            </a:ln>
          </c:spPr>
        </c:majorGridlines>
        <c:title>
          <c:tx>
            <c:rich>
              <a:bodyPr rot="-5400000" vert="horz"/>
              <a:lstStyle/>
              <a:p>
                <a:pPr>
                  <a:defRPr/>
                </a:pPr>
                <a:r>
                  <a:rPr lang="en-US"/>
                  <a:t>Axial Height (inches)</a:t>
                </a:r>
              </a:p>
            </c:rich>
          </c:tx>
          <c:layout/>
          <c:overlay val="0"/>
        </c:title>
        <c:numFmt formatCode="General" sourceLinked="1"/>
        <c:majorTickMark val="out"/>
        <c:minorTickMark val="none"/>
        <c:tickLblPos val="nextTo"/>
        <c:crossAx val="104484224"/>
        <c:crosses val="autoZero"/>
        <c:crossBetween val="midCat"/>
      </c:valAx>
      <c:spPr>
        <a:ln>
          <a:solidFill>
            <a:sysClr val="windowText" lastClr="000000"/>
          </a:solidFill>
        </a:ln>
      </c:spPr>
    </c:plotArea>
    <c:plotVisOnly val="1"/>
    <c:dispBlanksAs val="gap"/>
    <c:showDLblsOverMax val="0"/>
  </c:chart>
  <c:spPr>
    <a:ln>
      <a:solidFill>
        <a:schemeClr val="bg1"/>
      </a:solidFill>
    </a:ln>
  </c:spPr>
  <c:txPr>
    <a:bodyPr/>
    <a:lstStyle/>
    <a:p>
      <a:pPr>
        <a:defRPr sz="11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49674640838245"/>
          <c:y val="6.4251522305063397E-2"/>
          <c:w val="0.76608046048115996"/>
          <c:h val="0.78847823547279094"/>
        </c:manualLayout>
      </c:layout>
      <c:scatterChart>
        <c:scatterStyle val="smoothMarker"/>
        <c:varyColors val="0"/>
        <c:ser>
          <c:idx val="0"/>
          <c:order val="0"/>
          <c:tx>
            <c:strRef>
              <c:f>'Normal Layers'!$B$1</c:f>
              <c:strCache>
                <c:ptCount val="1"/>
                <c:pt idx="0">
                  <c:v>500 Microns</c:v>
                </c:pt>
              </c:strCache>
            </c:strRef>
          </c:tx>
          <c:marker>
            <c:symbol val="diamond"/>
            <c:size val="5"/>
          </c:marker>
          <c:xVal>
            <c:numRef>
              <c:f>'Normal Layers'!$A$2:$A$44</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'Normal Layers'!$B$2:$B$44</c:f>
              <c:numCache>
                <c:formatCode>General</c:formatCode>
                <c:ptCount val="43"/>
                <c:pt idx="0">
                  <c:v>1.41753627</c:v>
                </c:pt>
                <c:pt idx="1">
                  <c:v>1.34188679</c:v>
                </c:pt>
                <c:pt idx="2">
                  <c:v>1.3104893799999999</c:v>
                </c:pt>
                <c:pt idx="3">
                  <c:v>1.2775853500000001</c:v>
                </c:pt>
                <c:pt idx="4">
                  <c:v>1.24212061</c:v>
                </c:pt>
                <c:pt idx="5">
                  <c:v>1.2030880500000001</c:v>
                </c:pt>
                <c:pt idx="6">
                  <c:v>1.1614993899999999</c:v>
                </c:pt>
                <c:pt idx="7">
                  <c:v>1.1158905800000001</c:v>
                </c:pt>
                <c:pt idx="8">
                  <c:v>1.0663284200000001</c:v>
                </c:pt>
                <c:pt idx="9">
                  <c:v>1.01205009</c:v>
                </c:pt>
                <c:pt idx="10">
                  <c:v>0.95174977000000005</c:v>
                </c:pt>
                <c:pt idx="11">
                  <c:v>0.88485994999999995</c:v>
                </c:pt>
                <c:pt idx="12">
                  <c:v>0.81008000999999996</c:v>
                </c:pt>
                <c:pt idx="13">
                  <c:v>0.72674362000000003</c:v>
                </c:pt>
                <c:pt idx="14">
                  <c:v>0.63574503999999998</c:v>
                </c:pt>
                <c:pt idx="15">
                  <c:v>0.53800700999999995</c:v>
                </c:pt>
                <c:pt idx="16">
                  <c:v>0.44199674</c:v>
                </c:pt>
                <c:pt idx="17">
                  <c:v>0.36029283000000001</c:v>
                </c:pt>
                <c:pt idx="18">
                  <c:v>0.30588792999999997</c:v>
                </c:pt>
                <c:pt idx="19">
                  <c:v>0.27855584999999999</c:v>
                </c:pt>
                <c:pt idx="20">
                  <c:v>0.26711079999999998</c:v>
                </c:pt>
                <c:pt idx="21">
                  <c:v>0.26211066</c:v>
                </c:pt>
                <c:pt idx="22">
                  <c:v>0.25916537000000001</c:v>
                </c:pt>
                <c:pt idx="23">
                  <c:v>0.25677035999999998</c:v>
                </c:pt>
                <c:pt idx="24">
                  <c:v>0.25451045</c:v>
                </c:pt>
                <c:pt idx="25">
                  <c:v>0.25216747</c:v>
                </c:pt>
                <c:pt idx="26">
                  <c:v>0.24979646</c:v>
                </c:pt>
                <c:pt idx="27">
                  <c:v>0.24737091</c:v>
                </c:pt>
                <c:pt idx="28">
                  <c:v>0.24489958000000001</c:v>
                </c:pt>
                <c:pt idx="29">
                  <c:v>0.24083524000000001</c:v>
                </c:pt>
                <c:pt idx="30">
                  <c:v>0.23539052999999999</c:v>
                </c:pt>
                <c:pt idx="31">
                  <c:v>0.23020852999999999</c:v>
                </c:pt>
                <c:pt idx="32">
                  <c:v>0.22498778999999999</c:v>
                </c:pt>
                <c:pt idx="33">
                  <c:v>0.21996829000000001</c:v>
                </c:pt>
                <c:pt idx="34">
                  <c:v>0.21451993999999999</c:v>
                </c:pt>
                <c:pt idx="35">
                  <c:v>0.20947751000000001</c:v>
                </c:pt>
                <c:pt idx="36">
                  <c:v>0.20348454999999999</c:v>
                </c:pt>
                <c:pt idx="37">
                  <c:v>0.19843268</c:v>
                </c:pt>
                <c:pt idx="38">
                  <c:v>0.19306859000000001</c:v>
                </c:pt>
                <c:pt idx="39">
                  <c:v>0.18764422</c:v>
                </c:pt>
                <c:pt idx="40">
                  <c:v>0.18215340999999999</c:v>
                </c:pt>
                <c:pt idx="41">
                  <c:v>0.17661545000000001</c:v>
                </c:pt>
                <c:pt idx="42">
                  <c:v>0.17101712999999999</c:v>
                </c:pt>
              </c:numCache>
            </c:numRef>
          </c:yVal>
          <c:smooth val="1"/>
        </c:ser>
        <c:ser>
          <c:idx val="1"/>
          <c:order val="1"/>
          <c:tx>
            <c:strRef>
              <c:f>'Normal Layers'!$C$1</c:f>
              <c:strCache>
                <c:ptCount val="1"/>
                <c:pt idx="0">
                  <c:v>600 Microns</c:v>
                </c:pt>
              </c:strCache>
            </c:strRef>
          </c:tx>
          <c:marker>
            <c:symbol val="square"/>
            <c:size val="5"/>
          </c:marker>
          <c:xVal>
            <c:numRef>
              <c:f>'Normal Layers'!$A$2:$A$44</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'Normal Layers'!$C$2:$C$44</c:f>
              <c:numCache>
                <c:formatCode>General</c:formatCode>
                <c:ptCount val="43"/>
                <c:pt idx="0">
                  <c:v>1.46905262</c:v>
                </c:pt>
                <c:pt idx="1">
                  <c:v>1.3942944100000001</c:v>
                </c:pt>
                <c:pt idx="2">
                  <c:v>1.36917624</c:v>
                </c:pt>
                <c:pt idx="3">
                  <c:v>1.3441109600000001</c:v>
                </c:pt>
                <c:pt idx="4">
                  <c:v>1.3176303700000001</c:v>
                </c:pt>
                <c:pt idx="5">
                  <c:v>1.2892601299999999</c:v>
                </c:pt>
                <c:pt idx="6">
                  <c:v>1.25937945</c:v>
                </c:pt>
                <c:pt idx="7">
                  <c:v>1.2279859900000001</c:v>
                </c:pt>
                <c:pt idx="8">
                  <c:v>1.1947570199999999</c:v>
                </c:pt>
                <c:pt idx="9">
                  <c:v>1.1594964800000001</c:v>
                </c:pt>
                <c:pt idx="10">
                  <c:v>1.12161947</c:v>
                </c:pt>
                <c:pt idx="11">
                  <c:v>1.08108636</c:v>
                </c:pt>
                <c:pt idx="12">
                  <c:v>1.03725062</c:v>
                </c:pt>
                <c:pt idx="13">
                  <c:v>0.98957700999999998</c:v>
                </c:pt>
                <c:pt idx="14">
                  <c:v>0.93741682000000004</c:v>
                </c:pt>
                <c:pt idx="15">
                  <c:v>0.88021716999999999</c:v>
                </c:pt>
                <c:pt idx="16">
                  <c:v>0.81800426999999998</c:v>
                </c:pt>
                <c:pt idx="17">
                  <c:v>0.74925074999999997</c:v>
                </c:pt>
                <c:pt idx="18">
                  <c:v>0.67467350999999998</c:v>
                </c:pt>
                <c:pt idx="19">
                  <c:v>0.59593879000000005</c:v>
                </c:pt>
                <c:pt idx="20">
                  <c:v>0.51628940000000001</c:v>
                </c:pt>
                <c:pt idx="21">
                  <c:v>0.44270008</c:v>
                </c:pt>
                <c:pt idx="22">
                  <c:v>0.38288623999999999</c:v>
                </c:pt>
                <c:pt idx="23">
                  <c:v>0.34235036000000002</c:v>
                </c:pt>
                <c:pt idx="24">
                  <c:v>0.31958951000000002</c:v>
                </c:pt>
                <c:pt idx="25">
                  <c:v>0.30750251000000001</c:v>
                </c:pt>
                <c:pt idx="26">
                  <c:v>0.30141738000000001</c:v>
                </c:pt>
                <c:pt idx="27">
                  <c:v>0.29802188000000002</c:v>
                </c:pt>
                <c:pt idx="28">
                  <c:v>0.29550504999999999</c:v>
                </c:pt>
                <c:pt idx="29">
                  <c:v>0.29215820999999997</c:v>
                </c:pt>
                <c:pt idx="30">
                  <c:v>0.28799750000000002</c:v>
                </c:pt>
                <c:pt idx="31">
                  <c:v>0.28324761999999998</c:v>
                </c:pt>
                <c:pt idx="32">
                  <c:v>0.27891621999999999</c:v>
                </c:pt>
                <c:pt idx="33">
                  <c:v>0.27437943999999997</c:v>
                </c:pt>
                <c:pt idx="34">
                  <c:v>0.26994815</c:v>
                </c:pt>
                <c:pt idx="35">
                  <c:v>0.26484579000000003</c:v>
                </c:pt>
                <c:pt idx="36">
                  <c:v>0.26026713000000001</c:v>
                </c:pt>
                <c:pt idx="37">
                  <c:v>0.25557671999999998</c:v>
                </c:pt>
                <c:pt idx="38">
                  <c:v>0.25084241000000002</c:v>
                </c:pt>
                <c:pt idx="39">
                  <c:v>0.24610807000000001</c:v>
                </c:pt>
                <c:pt idx="40">
                  <c:v>0.24133919000000001</c:v>
                </c:pt>
                <c:pt idx="41">
                  <c:v>0.2365727</c:v>
                </c:pt>
                <c:pt idx="42">
                  <c:v>0.23172688999999999</c:v>
                </c:pt>
              </c:numCache>
            </c:numRef>
          </c:yVal>
          <c:smooth val="1"/>
        </c:ser>
        <c:ser>
          <c:idx val="2"/>
          <c:order val="2"/>
          <c:tx>
            <c:strRef>
              <c:f>'Normal Layers'!$D$1</c:f>
              <c:strCache>
                <c:ptCount val="1"/>
                <c:pt idx="0">
                  <c:v>700 Microns</c:v>
                </c:pt>
              </c:strCache>
            </c:strRef>
          </c:tx>
          <c:marker>
            <c:symbol val="triangle"/>
            <c:size val="5"/>
          </c:marker>
          <c:xVal>
            <c:numRef>
              <c:f>'Normal Layers'!$A$2:$A$44</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'Normal Layers'!$D$2:$D$44</c:f>
              <c:numCache>
                <c:formatCode>General</c:formatCode>
                <c:ptCount val="43"/>
                <c:pt idx="0">
                  <c:v>1.50023741</c:v>
                </c:pt>
                <c:pt idx="1">
                  <c:v>1.42681356</c:v>
                </c:pt>
                <c:pt idx="2">
                  <c:v>1.4049529199999999</c:v>
                </c:pt>
                <c:pt idx="3">
                  <c:v>1.3842836599999999</c:v>
                </c:pt>
                <c:pt idx="4">
                  <c:v>1.3626710799999999</c:v>
                </c:pt>
                <c:pt idx="5">
                  <c:v>1.33970864</c:v>
                </c:pt>
                <c:pt idx="6">
                  <c:v>1.3156503500000001</c:v>
                </c:pt>
                <c:pt idx="7">
                  <c:v>1.2911620100000001</c:v>
                </c:pt>
                <c:pt idx="8">
                  <c:v>1.26574169</c:v>
                </c:pt>
                <c:pt idx="9">
                  <c:v>1.2396783300000001</c:v>
                </c:pt>
                <c:pt idx="10">
                  <c:v>1.21196466</c:v>
                </c:pt>
                <c:pt idx="11">
                  <c:v>1.1824711400000001</c:v>
                </c:pt>
                <c:pt idx="12">
                  <c:v>1.15196911</c:v>
                </c:pt>
                <c:pt idx="13">
                  <c:v>1.1195068500000001</c:v>
                </c:pt>
                <c:pt idx="14">
                  <c:v>1.0849347199999999</c:v>
                </c:pt>
                <c:pt idx="15">
                  <c:v>1.0479609299999999</c:v>
                </c:pt>
                <c:pt idx="16">
                  <c:v>1.00817504</c:v>
                </c:pt>
                <c:pt idx="17">
                  <c:v>0.96525936999999995</c:v>
                </c:pt>
                <c:pt idx="18">
                  <c:v>0.91934844999999998</c:v>
                </c:pt>
                <c:pt idx="19">
                  <c:v>0.86889826000000003</c:v>
                </c:pt>
                <c:pt idx="20">
                  <c:v>0.81410236000000002</c:v>
                </c:pt>
                <c:pt idx="21">
                  <c:v>0.75528178999999995</c:v>
                </c:pt>
                <c:pt idx="22">
                  <c:v>0.69213281000000004</c:v>
                </c:pt>
                <c:pt idx="23">
                  <c:v>0.62611391000000005</c:v>
                </c:pt>
                <c:pt idx="24">
                  <c:v>0.55946921999999999</c:v>
                </c:pt>
                <c:pt idx="25">
                  <c:v>0.49563400000000002</c:v>
                </c:pt>
                <c:pt idx="26">
                  <c:v>0.44010231999999999</c:v>
                </c:pt>
                <c:pt idx="27">
                  <c:v>0.39668859000000001</c:v>
                </c:pt>
                <c:pt idx="28">
                  <c:v>0.36706950999999999</c:v>
                </c:pt>
                <c:pt idx="29">
                  <c:v>0.34396678000000003</c:v>
                </c:pt>
                <c:pt idx="30">
                  <c:v>0.33126074999999999</c:v>
                </c:pt>
                <c:pt idx="31">
                  <c:v>0.32527587000000002</c:v>
                </c:pt>
                <c:pt idx="32">
                  <c:v>0.32108784000000001</c:v>
                </c:pt>
                <c:pt idx="33">
                  <c:v>0.31733107999999999</c:v>
                </c:pt>
                <c:pt idx="34">
                  <c:v>0.31325528000000002</c:v>
                </c:pt>
                <c:pt idx="35">
                  <c:v>0.30935027999999998</c:v>
                </c:pt>
                <c:pt idx="36">
                  <c:v>0.30510978999999999</c:v>
                </c:pt>
                <c:pt idx="37">
                  <c:v>0.30092509000000001</c:v>
                </c:pt>
                <c:pt idx="38">
                  <c:v>0.29640095999999999</c:v>
                </c:pt>
                <c:pt idx="39">
                  <c:v>0.29230106</c:v>
                </c:pt>
                <c:pt idx="40">
                  <c:v>0.28786121999999997</c:v>
                </c:pt>
                <c:pt idx="41">
                  <c:v>0.28356288000000002</c:v>
                </c:pt>
                <c:pt idx="42">
                  <c:v>0.27921333999999998</c:v>
                </c:pt>
              </c:numCache>
            </c:numRef>
          </c:yVal>
          <c:smooth val="1"/>
        </c:ser>
        <c:ser>
          <c:idx val="3"/>
          <c:order val="3"/>
          <c:tx>
            <c:strRef>
              <c:f>'Normal Layers'!$E$1</c:f>
              <c:strCache>
                <c:ptCount val="1"/>
                <c:pt idx="0">
                  <c:v>800 Microns</c:v>
                </c:pt>
              </c:strCache>
            </c:strRef>
          </c:tx>
          <c:marker>
            <c:symbol val="x"/>
            <c:size val="5"/>
          </c:marker>
          <c:xVal>
            <c:numRef>
              <c:f>'Normal Layers'!$A$2:$A$44</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'Normal Layers'!$E$2:$E$44</c:f>
              <c:numCache>
                <c:formatCode>General</c:formatCode>
                <c:ptCount val="43"/>
                <c:pt idx="0">
                  <c:v>1.5200390500000001</c:v>
                </c:pt>
                <c:pt idx="1">
                  <c:v>1.4483336600000001</c:v>
                </c:pt>
                <c:pt idx="2">
                  <c:v>1.42816107</c:v>
                </c:pt>
                <c:pt idx="3">
                  <c:v>1.4102608000000001</c:v>
                </c:pt>
                <c:pt idx="4">
                  <c:v>1.39161007</c:v>
                </c:pt>
                <c:pt idx="5">
                  <c:v>1.37170536</c:v>
                </c:pt>
                <c:pt idx="6">
                  <c:v>1.3512392799999999</c:v>
                </c:pt>
                <c:pt idx="7">
                  <c:v>1.33102217</c:v>
                </c:pt>
                <c:pt idx="8">
                  <c:v>1.3096947299999999</c:v>
                </c:pt>
                <c:pt idx="9">
                  <c:v>1.2879979800000001</c:v>
                </c:pt>
                <c:pt idx="10">
                  <c:v>1.26600052</c:v>
                </c:pt>
                <c:pt idx="11">
                  <c:v>1.2433491999999999</c:v>
                </c:pt>
                <c:pt idx="12">
                  <c:v>1.2193676499999999</c:v>
                </c:pt>
                <c:pt idx="13">
                  <c:v>1.19350595</c:v>
                </c:pt>
                <c:pt idx="14">
                  <c:v>1.16752524</c:v>
                </c:pt>
                <c:pt idx="15">
                  <c:v>1.14021335</c:v>
                </c:pt>
                <c:pt idx="16">
                  <c:v>1.1114937300000001</c:v>
                </c:pt>
                <c:pt idx="17">
                  <c:v>1.0810527599999999</c:v>
                </c:pt>
                <c:pt idx="18">
                  <c:v>1.0486057900000001</c:v>
                </c:pt>
                <c:pt idx="19">
                  <c:v>1.0139960400000001</c:v>
                </c:pt>
                <c:pt idx="20">
                  <c:v>0.97762592000000004</c:v>
                </c:pt>
                <c:pt idx="21">
                  <c:v>0.93807191000000001</c:v>
                </c:pt>
                <c:pt idx="22">
                  <c:v>0.89537160999999998</c:v>
                </c:pt>
                <c:pt idx="23">
                  <c:v>0.84961430000000004</c:v>
                </c:pt>
                <c:pt idx="24">
                  <c:v>0.80038964000000001</c:v>
                </c:pt>
                <c:pt idx="25">
                  <c:v>0.74814663999999997</c:v>
                </c:pt>
                <c:pt idx="26">
                  <c:v>0.69301473999999996</c:v>
                </c:pt>
                <c:pt idx="27">
                  <c:v>0.63596814000000002</c:v>
                </c:pt>
                <c:pt idx="28">
                  <c:v>0.57887582999999998</c:v>
                </c:pt>
                <c:pt idx="29">
                  <c:v>0.50107427000000004</c:v>
                </c:pt>
                <c:pt idx="30">
                  <c:v>0.42341941</c:v>
                </c:pt>
                <c:pt idx="31">
                  <c:v>0.37979551</c:v>
                </c:pt>
                <c:pt idx="32">
                  <c:v>0.36090601999999999</c:v>
                </c:pt>
                <c:pt idx="33">
                  <c:v>0.35266312</c:v>
                </c:pt>
                <c:pt idx="34">
                  <c:v>0.34784656000000003</c:v>
                </c:pt>
                <c:pt idx="35">
                  <c:v>0.34410147000000002</c:v>
                </c:pt>
                <c:pt idx="36">
                  <c:v>0.34053358</c:v>
                </c:pt>
                <c:pt idx="37">
                  <c:v>0.33687497999999999</c:v>
                </c:pt>
                <c:pt idx="38">
                  <c:v>0.33311639999999998</c:v>
                </c:pt>
                <c:pt idx="39">
                  <c:v>0.32932721999999998</c:v>
                </c:pt>
                <c:pt idx="40">
                  <c:v>0.32544377000000002</c:v>
                </c:pt>
                <c:pt idx="41">
                  <c:v>0.32153169999999998</c:v>
                </c:pt>
                <c:pt idx="42">
                  <c:v>0.31758060999999999</c:v>
                </c:pt>
              </c:numCache>
            </c:numRef>
          </c:yVal>
          <c:smooth val="1"/>
        </c:ser>
        <c:ser>
          <c:idx val="4"/>
          <c:order val="4"/>
          <c:tx>
            <c:strRef>
              <c:f>'Normal Layers'!$F$1</c:f>
              <c:strCache>
                <c:ptCount val="1"/>
                <c:pt idx="0">
                  <c:v>900 Microns</c:v>
                </c:pt>
              </c:strCache>
            </c:strRef>
          </c:tx>
          <c:marker>
            <c:symbol val="star"/>
            <c:size val="5"/>
          </c:marker>
          <c:xVal>
            <c:numRef>
              <c:f>'Normal Layers'!$A$2:$A$44</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'Normal Layers'!$F$2:$F$44</c:f>
              <c:numCache>
                <c:formatCode>General</c:formatCode>
                <c:ptCount val="43"/>
                <c:pt idx="0">
                  <c:v>1.5331001399999999</c:v>
                </c:pt>
                <c:pt idx="1">
                  <c:v>1.46254298</c:v>
                </c:pt>
                <c:pt idx="2">
                  <c:v>1.44398264</c:v>
                </c:pt>
                <c:pt idx="3">
                  <c:v>1.42798114</c:v>
                </c:pt>
                <c:pt idx="4">
                  <c:v>1.4113419300000001</c:v>
                </c:pt>
                <c:pt idx="5">
                  <c:v>1.3936986099999999</c:v>
                </c:pt>
                <c:pt idx="6">
                  <c:v>1.37537668</c:v>
                </c:pt>
                <c:pt idx="7">
                  <c:v>1.35760787</c:v>
                </c:pt>
                <c:pt idx="8">
                  <c:v>1.3394217500000001</c:v>
                </c:pt>
                <c:pt idx="9">
                  <c:v>1.32030973</c:v>
                </c:pt>
                <c:pt idx="10">
                  <c:v>1.3011778599999999</c:v>
                </c:pt>
                <c:pt idx="11">
                  <c:v>1.28213613</c:v>
                </c:pt>
                <c:pt idx="12">
                  <c:v>1.2625123599999999</c:v>
                </c:pt>
                <c:pt idx="13">
                  <c:v>1.24094565</c:v>
                </c:pt>
                <c:pt idx="14">
                  <c:v>1.22030766</c:v>
                </c:pt>
                <c:pt idx="15">
                  <c:v>1.19703337</c:v>
                </c:pt>
                <c:pt idx="16">
                  <c:v>1.17429663</c:v>
                </c:pt>
                <c:pt idx="17">
                  <c:v>1.15056918</c:v>
                </c:pt>
                <c:pt idx="18">
                  <c:v>1.1255529900000001</c:v>
                </c:pt>
                <c:pt idx="19">
                  <c:v>1.0992935800000001</c:v>
                </c:pt>
                <c:pt idx="20">
                  <c:v>1.0715692299999999</c:v>
                </c:pt>
                <c:pt idx="21">
                  <c:v>1.0428316200000001</c:v>
                </c:pt>
                <c:pt idx="22">
                  <c:v>1.0118144200000001</c:v>
                </c:pt>
                <c:pt idx="23">
                  <c:v>0.97896033999999998</c:v>
                </c:pt>
                <c:pt idx="24">
                  <c:v>0.94377971000000005</c:v>
                </c:pt>
                <c:pt idx="25">
                  <c:v>0.90618896999999998</c:v>
                </c:pt>
                <c:pt idx="26">
                  <c:v>0.86638912999999995</c:v>
                </c:pt>
                <c:pt idx="27">
                  <c:v>0.82362217999999998</c:v>
                </c:pt>
                <c:pt idx="28">
                  <c:v>0.77834862000000005</c:v>
                </c:pt>
                <c:pt idx="29">
                  <c:v>0.70799942999999999</c:v>
                </c:pt>
                <c:pt idx="30">
                  <c:v>0.61045711999999996</c:v>
                </c:pt>
                <c:pt idx="31">
                  <c:v>0.51849690000000004</c:v>
                </c:pt>
                <c:pt idx="32">
                  <c:v>0.44760168</c:v>
                </c:pt>
                <c:pt idx="33">
                  <c:v>0.40528303999999998</c:v>
                </c:pt>
                <c:pt idx="34">
                  <c:v>0.38471484</c:v>
                </c:pt>
                <c:pt idx="35">
                  <c:v>0.37509091999999999</c:v>
                </c:pt>
                <c:pt idx="36">
                  <c:v>0.36971831999999999</c:v>
                </c:pt>
                <c:pt idx="37">
                  <c:v>0.36586478</c:v>
                </c:pt>
                <c:pt idx="38">
                  <c:v>0.36243588999999998</c:v>
                </c:pt>
                <c:pt idx="39">
                  <c:v>0.35902581</c:v>
                </c:pt>
                <c:pt idx="40">
                  <c:v>0.35561134999999999</c:v>
                </c:pt>
                <c:pt idx="41">
                  <c:v>0.35210182000000001</c:v>
                </c:pt>
                <c:pt idx="42">
                  <c:v>0.34855931000000001</c:v>
                </c:pt>
              </c:numCache>
            </c:numRef>
          </c:yVal>
          <c:smooth val="1"/>
        </c:ser>
        <c:ser>
          <c:idx val="5"/>
          <c:order val="5"/>
          <c:tx>
            <c:strRef>
              <c:f>'Normal Layers'!$G$1</c:f>
              <c:strCache>
                <c:ptCount val="1"/>
                <c:pt idx="0">
                  <c:v>1000 Microns</c:v>
                </c:pt>
              </c:strCache>
            </c:strRef>
          </c:tx>
          <c:marker>
            <c:symbol val="circle"/>
            <c:size val="5"/>
          </c:marker>
          <c:xVal>
            <c:numRef>
              <c:f>'Normal Layers'!$A$2:$A$44</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'Normal Layers'!$G$2:$G$44</c:f>
              <c:numCache>
                <c:formatCode>General</c:formatCode>
                <c:ptCount val="43"/>
                <c:pt idx="0">
                  <c:v>1.5419671800000001</c:v>
                </c:pt>
                <c:pt idx="1">
                  <c:v>1.47299549</c:v>
                </c:pt>
                <c:pt idx="2">
                  <c:v>1.4552499999999999</c:v>
                </c:pt>
                <c:pt idx="3">
                  <c:v>1.44042968</c:v>
                </c:pt>
                <c:pt idx="4">
                  <c:v>1.42549017</c:v>
                </c:pt>
                <c:pt idx="5">
                  <c:v>1.40892566</c:v>
                </c:pt>
                <c:pt idx="6">
                  <c:v>1.3926517199999999</c:v>
                </c:pt>
                <c:pt idx="7">
                  <c:v>1.3764830100000001</c:v>
                </c:pt>
                <c:pt idx="8">
                  <c:v>1.3600627999999999</c:v>
                </c:pt>
                <c:pt idx="9">
                  <c:v>1.34344719</c:v>
                </c:pt>
                <c:pt idx="10">
                  <c:v>1.32603896</c:v>
                </c:pt>
                <c:pt idx="11">
                  <c:v>1.30877606</c:v>
                </c:pt>
                <c:pt idx="12">
                  <c:v>1.2916950899999999</c:v>
                </c:pt>
                <c:pt idx="13">
                  <c:v>1.27417501</c:v>
                </c:pt>
                <c:pt idx="14">
                  <c:v>1.25574976</c:v>
                </c:pt>
                <c:pt idx="15">
                  <c:v>1.23668691</c:v>
                </c:pt>
                <c:pt idx="16">
                  <c:v>1.21592967</c:v>
                </c:pt>
                <c:pt idx="17">
                  <c:v>1.19607347</c:v>
                </c:pt>
                <c:pt idx="18">
                  <c:v>1.17538298</c:v>
                </c:pt>
                <c:pt idx="19">
                  <c:v>1.1541138500000001</c:v>
                </c:pt>
                <c:pt idx="20">
                  <c:v>1.13171355</c:v>
                </c:pt>
                <c:pt idx="21">
                  <c:v>1.1084658999999999</c:v>
                </c:pt>
                <c:pt idx="22">
                  <c:v>1.0844390100000001</c:v>
                </c:pt>
                <c:pt idx="23">
                  <c:v>1.0586635499999999</c:v>
                </c:pt>
                <c:pt idx="24">
                  <c:v>1.0316766100000001</c:v>
                </c:pt>
                <c:pt idx="25">
                  <c:v>1.00324579</c:v>
                </c:pt>
                <c:pt idx="26">
                  <c:v>0.97287179000000001</c:v>
                </c:pt>
                <c:pt idx="27">
                  <c:v>0.94080635999999995</c:v>
                </c:pt>
                <c:pt idx="28">
                  <c:v>0.90677366999999998</c:v>
                </c:pt>
                <c:pt idx="29">
                  <c:v>0.85263361999999998</c:v>
                </c:pt>
                <c:pt idx="30">
                  <c:v>0.77371181</c:v>
                </c:pt>
                <c:pt idx="31">
                  <c:v>0.68769378999999997</c:v>
                </c:pt>
                <c:pt idx="32">
                  <c:v>0.59966202999999996</c:v>
                </c:pt>
                <c:pt idx="33">
                  <c:v>0.52075740000000004</c:v>
                </c:pt>
                <c:pt idx="34">
                  <c:v>0.46026702000000003</c:v>
                </c:pt>
                <c:pt idx="35">
                  <c:v>0.42268401</c:v>
                </c:pt>
                <c:pt idx="36">
                  <c:v>0.40293979000000002</c:v>
                </c:pt>
                <c:pt idx="37">
                  <c:v>0.39306991000000002</c:v>
                </c:pt>
                <c:pt idx="38">
                  <c:v>0.38744722999999998</c:v>
                </c:pt>
                <c:pt idx="39">
                  <c:v>0.3834883</c:v>
                </c:pt>
                <c:pt idx="40">
                  <c:v>0.38013888000000001</c:v>
                </c:pt>
                <c:pt idx="41">
                  <c:v>0.37697607999999999</c:v>
                </c:pt>
                <c:pt idx="42">
                  <c:v>0.37378915000000001</c:v>
                </c:pt>
              </c:numCache>
            </c:numRef>
          </c:yVal>
          <c:smooth val="1"/>
        </c:ser>
        <c:ser>
          <c:idx val="6"/>
          <c:order val="6"/>
          <c:tx>
            <c:strRef>
              <c:f>'Normal Layers'!$H$1</c:f>
              <c:strCache>
                <c:ptCount val="1"/>
                <c:pt idx="0">
                  <c:v>UO2 fuel pellets</c:v>
                </c:pt>
              </c:strCache>
            </c:strRef>
          </c:tx>
          <c:marker>
            <c:symbol val="plus"/>
            <c:size val="5"/>
          </c:marker>
          <c:xVal>
            <c:numRef>
              <c:f>'Normal Layers'!$A$2:$A$44</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'Normal Layers'!$H$2:$H$44</c:f>
              <c:numCache>
                <c:formatCode>General</c:formatCode>
                <c:ptCount val="43"/>
                <c:pt idx="0">
                  <c:v>1.3415891200000001</c:v>
                </c:pt>
                <c:pt idx="1">
                  <c:v>1.29356465</c:v>
                </c:pt>
                <c:pt idx="2">
                  <c:v>1.28082184</c:v>
                </c:pt>
                <c:pt idx="3">
                  <c:v>1.2709880499999999</c:v>
                </c:pt>
                <c:pt idx="4">
                  <c:v>1.2609730800000001</c:v>
                </c:pt>
                <c:pt idx="5">
                  <c:v>1.25085655</c:v>
                </c:pt>
                <c:pt idx="6">
                  <c:v>1.2407637600000001</c:v>
                </c:pt>
                <c:pt idx="7">
                  <c:v>1.23081146</c:v>
                </c:pt>
                <c:pt idx="8">
                  <c:v>1.22108956</c:v>
                </c:pt>
                <c:pt idx="9">
                  <c:v>1.2115851500000001</c:v>
                </c:pt>
                <c:pt idx="10">
                  <c:v>1.20232071</c:v>
                </c:pt>
                <c:pt idx="11">
                  <c:v>1.19332945</c:v>
                </c:pt>
                <c:pt idx="12">
                  <c:v>1.1845867000000001</c:v>
                </c:pt>
                <c:pt idx="13">
                  <c:v>1.1760630599999999</c:v>
                </c:pt>
                <c:pt idx="14">
                  <c:v>1.16779239</c:v>
                </c:pt>
                <c:pt idx="15">
                  <c:v>1.15971011</c:v>
                </c:pt>
                <c:pt idx="16">
                  <c:v>1.1518505699999999</c:v>
                </c:pt>
                <c:pt idx="17">
                  <c:v>1.1441697099999999</c:v>
                </c:pt>
                <c:pt idx="18">
                  <c:v>1.13665192</c:v>
                </c:pt>
                <c:pt idx="19">
                  <c:v>1.12929616</c:v>
                </c:pt>
                <c:pt idx="20">
                  <c:v>1.12208485</c:v>
                </c:pt>
                <c:pt idx="21">
                  <c:v>1.1150076600000001</c:v>
                </c:pt>
                <c:pt idx="22">
                  <c:v>1.10805653</c:v>
                </c:pt>
                <c:pt idx="23">
                  <c:v>1.1012329599999999</c:v>
                </c:pt>
                <c:pt idx="24">
                  <c:v>1.0945316199999999</c:v>
                </c:pt>
                <c:pt idx="25">
                  <c:v>1.0879076999999999</c:v>
                </c:pt>
                <c:pt idx="26">
                  <c:v>1.08138113</c:v>
                </c:pt>
                <c:pt idx="27">
                  <c:v>1.0749458999999999</c:v>
                </c:pt>
                <c:pt idx="28">
                  <c:v>1.0685975700000001</c:v>
                </c:pt>
                <c:pt idx="29">
                  <c:v>1.05926813</c:v>
                </c:pt>
                <c:pt idx="30">
                  <c:v>1.04707621</c:v>
                </c:pt>
                <c:pt idx="31">
                  <c:v>1.03514521</c:v>
                </c:pt>
                <c:pt idx="32">
                  <c:v>1.02349136</c:v>
                </c:pt>
                <c:pt idx="33">
                  <c:v>1.01209349</c:v>
                </c:pt>
                <c:pt idx="34">
                  <c:v>1.00094522</c:v>
                </c:pt>
                <c:pt idx="35">
                  <c:v>0.99003967000000004</c:v>
                </c:pt>
                <c:pt idx="36">
                  <c:v>0.97937574000000005</c:v>
                </c:pt>
                <c:pt idx="37">
                  <c:v>0.96893910000000005</c:v>
                </c:pt>
                <c:pt idx="38">
                  <c:v>0.95875193999999997</c:v>
                </c:pt>
                <c:pt idx="39">
                  <c:v>0.94880306000000003</c:v>
                </c:pt>
                <c:pt idx="40">
                  <c:v>0.93909476999999997</c:v>
                </c:pt>
                <c:pt idx="41">
                  <c:v>0.92962701000000003</c:v>
                </c:pt>
                <c:pt idx="42">
                  <c:v>0.92040359000000005</c:v>
                </c:pt>
              </c:numCache>
            </c:numRef>
          </c:yVal>
          <c:smooth val="1"/>
        </c:ser>
        <c:dLbls>
          <c:showLegendKey val="0"/>
          <c:showVal val="0"/>
          <c:showCatName val="0"/>
          <c:showSerName val="0"/>
          <c:showPercent val="0"/>
          <c:showBubbleSize val="0"/>
        </c:dLbls>
        <c:axId val="110124032"/>
        <c:axId val="110126208"/>
      </c:scatterChart>
      <c:valAx>
        <c:axId val="110124032"/>
        <c:scaling>
          <c:orientation val="minMax"/>
          <c:max val="1500"/>
          <c:min val="0"/>
        </c:scaling>
        <c:delete val="0"/>
        <c:axPos val="b"/>
        <c:majorGridlines>
          <c:spPr>
            <a:ln>
              <a:solidFill>
                <a:schemeClr val="bg1">
                  <a:lumMod val="65000"/>
                </a:schemeClr>
              </a:solidFill>
              <a:prstDash val="sysDash"/>
            </a:ln>
          </c:spPr>
        </c:majorGridlines>
        <c:title>
          <c:tx>
            <c:rich>
              <a:bodyPr/>
              <a:lstStyle/>
              <a:p>
                <a:pPr>
                  <a:defRPr/>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EFPD</a:t>
                </a:r>
                <a:endParaRPr lang="en-US"/>
              </a:p>
            </c:rich>
          </c:tx>
          <c:layout/>
          <c:overlay val="0"/>
        </c:title>
        <c:numFmt formatCode="General" sourceLinked="1"/>
        <c:majorTickMark val="out"/>
        <c:minorTickMark val="none"/>
        <c:tickLblPos val="nextTo"/>
        <c:crossAx val="110126208"/>
        <c:crosses val="autoZero"/>
        <c:crossBetween val="midCat"/>
        <c:majorUnit val="300"/>
      </c:valAx>
      <c:valAx>
        <c:axId val="110126208"/>
        <c:scaling>
          <c:orientation val="minMax"/>
          <c:max val="1.6"/>
          <c:min val="0.6"/>
        </c:scaling>
        <c:delete val="0"/>
        <c:axPos val="l"/>
        <c:majorGridlines>
          <c:spPr>
            <a:ln>
              <a:prstDash val="sysDash"/>
            </a:ln>
          </c:spPr>
        </c:majorGridlines>
        <c:title>
          <c:tx>
            <c:rich>
              <a:bodyPr rot="-5400000" vert="horz"/>
              <a:lstStyle/>
              <a:p>
                <a:pPr>
                  <a:defRPr/>
                </a:pPr>
                <a:r>
                  <a:rPr lang="en-US"/>
                  <a:t>Infinite Multiplication Factor</a:t>
                </a:r>
              </a:p>
            </c:rich>
          </c:tx>
          <c:layout/>
          <c:overlay val="0"/>
        </c:title>
        <c:numFmt formatCode="General" sourceLinked="1"/>
        <c:majorTickMark val="out"/>
        <c:minorTickMark val="none"/>
        <c:tickLblPos val="nextTo"/>
        <c:crossAx val="110124032"/>
        <c:crosses val="autoZero"/>
        <c:crossBetween val="midCat"/>
      </c:valAx>
      <c:spPr>
        <a:ln>
          <a:solidFill>
            <a:schemeClr val="tx1"/>
          </a:solidFill>
        </a:ln>
      </c:spPr>
    </c:plotArea>
    <c:legend>
      <c:legendPos val="r"/>
      <c:layout>
        <c:manualLayout>
          <c:xMode val="edge"/>
          <c:yMode val="edge"/>
          <c:x val="0.48096104565604703"/>
          <c:y val="1.9416033849861299E-2"/>
          <c:w val="0.452787719716854"/>
          <c:h val="0.306890960011934"/>
        </c:manualLayout>
      </c:layout>
      <c:overlay val="0"/>
      <c:spPr>
        <a:solidFill>
          <a:schemeClr val="bg1"/>
        </a:solidFill>
        <a:ln>
          <a:solidFill>
            <a:schemeClr val="tx1"/>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5212252660034"/>
          <c:y val="6.5006159944292694E-2"/>
          <c:w val="0.77035105461076703"/>
          <c:h val="0.80740978806220598"/>
        </c:manualLayout>
      </c:layout>
      <c:scatterChart>
        <c:scatterStyle val="smoothMarker"/>
        <c:varyColors val="0"/>
        <c:ser>
          <c:idx val="0"/>
          <c:order val="0"/>
          <c:tx>
            <c:strRef>
              <c:f>GetPublishedAltFuels!$G$2</c:f>
              <c:strCache>
                <c:ptCount val="1"/>
                <c:pt idx="0">
                  <c:v>UN</c:v>
                </c:pt>
              </c:strCache>
            </c:strRef>
          </c:tx>
          <c:marker>
            <c:symbol val="diamond"/>
            <c:size val="5"/>
          </c:marker>
          <c:xVal>
            <c:numRef>
              <c:f>GetPublishedAltFuels!$F$3:$F$45</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GetPublishedAltFuels!$G$3:$G$45</c:f>
              <c:numCache>
                <c:formatCode>General</c:formatCode>
                <c:ptCount val="43"/>
                <c:pt idx="0">
                  <c:v>1.5470327500000001</c:v>
                </c:pt>
                <c:pt idx="1">
                  <c:v>1.4887047899999999</c:v>
                </c:pt>
                <c:pt idx="2">
                  <c:v>1.4740425100000001</c:v>
                </c:pt>
                <c:pt idx="3">
                  <c:v>1.46294576</c:v>
                </c:pt>
                <c:pt idx="4">
                  <c:v>1.45168553</c:v>
                </c:pt>
                <c:pt idx="5">
                  <c:v>1.44010214</c:v>
                </c:pt>
                <c:pt idx="6">
                  <c:v>1.42868471</c:v>
                </c:pt>
                <c:pt idx="7">
                  <c:v>1.4169113900000001</c:v>
                </c:pt>
                <c:pt idx="8">
                  <c:v>1.405134319999999</c:v>
                </c:pt>
                <c:pt idx="9">
                  <c:v>1.3933403499999999</c:v>
                </c:pt>
                <c:pt idx="10">
                  <c:v>1.3814909099999999</c:v>
                </c:pt>
                <c:pt idx="11">
                  <c:v>1.3696501999999999</c:v>
                </c:pt>
                <c:pt idx="12">
                  <c:v>1.3579129000000001</c:v>
                </c:pt>
                <c:pt idx="13">
                  <c:v>1.34570163</c:v>
                </c:pt>
                <c:pt idx="14">
                  <c:v>1.33384137</c:v>
                </c:pt>
                <c:pt idx="15">
                  <c:v>1.32225104</c:v>
                </c:pt>
                <c:pt idx="16">
                  <c:v>1.31034746</c:v>
                </c:pt>
                <c:pt idx="17">
                  <c:v>1.29851677</c:v>
                </c:pt>
                <c:pt idx="18">
                  <c:v>1.2864861999999999</c:v>
                </c:pt>
                <c:pt idx="19">
                  <c:v>1.27352847</c:v>
                </c:pt>
                <c:pt idx="20">
                  <c:v>1.2620880999999999</c:v>
                </c:pt>
                <c:pt idx="21">
                  <c:v>1.24975635</c:v>
                </c:pt>
                <c:pt idx="22">
                  <c:v>1.2364357500000001</c:v>
                </c:pt>
                <c:pt idx="23">
                  <c:v>1.22380574</c:v>
                </c:pt>
                <c:pt idx="24">
                  <c:v>1.2111858900000001</c:v>
                </c:pt>
                <c:pt idx="25">
                  <c:v>1.1981550599999999</c:v>
                </c:pt>
                <c:pt idx="26">
                  <c:v>1.1853371500000001</c:v>
                </c:pt>
                <c:pt idx="27">
                  <c:v>1.17167876</c:v>
                </c:pt>
                <c:pt idx="28">
                  <c:v>1.1579965800000001</c:v>
                </c:pt>
                <c:pt idx="29">
                  <c:v>1.1367904600000001</c:v>
                </c:pt>
                <c:pt idx="30">
                  <c:v>1.10748091</c:v>
                </c:pt>
                <c:pt idx="31">
                  <c:v>1.0765066000000001</c:v>
                </c:pt>
                <c:pt idx="32">
                  <c:v>1.04362266</c:v>
                </c:pt>
                <c:pt idx="33">
                  <c:v>1.00870817</c:v>
                </c:pt>
                <c:pt idx="34">
                  <c:v>0.97175957000000002</c:v>
                </c:pt>
                <c:pt idx="35">
                  <c:v>0.93209008999999998</c:v>
                </c:pt>
                <c:pt idx="36">
                  <c:v>0.88964785000000002</c:v>
                </c:pt>
                <c:pt idx="37">
                  <c:v>0.84461558999999997</c:v>
                </c:pt>
                <c:pt idx="38">
                  <c:v>0.79712863</c:v>
                </c:pt>
                <c:pt idx="39">
                  <c:v>0.74741935000000004</c:v>
                </c:pt>
                <c:pt idx="40">
                  <c:v>0.69663459999999999</c:v>
                </c:pt>
                <c:pt idx="41">
                  <c:v>0.64608483000000005</c:v>
                </c:pt>
                <c:pt idx="42">
                  <c:v>0.59929104</c:v>
                </c:pt>
              </c:numCache>
            </c:numRef>
          </c:yVal>
          <c:smooth val="1"/>
        </c:ser>
        <c:ser>
          <c:idx val="1"/>
          <c:order val="1"/>
          <c:tx>
            <c:strRef>
              <c:f>GetPublishedAltFuels!$H$2</c:f>
              <c:strCache>
                <c:ptCount val="1"/>
                <c:pt idx="0">
                  <c:v>UCO</c:v>
                </c:pt>
              </c:strCache>
            </c:strRef>
          </c:tx>
          <c:marker>
            <c:symbol val="square"/>
            <c:size val="5"/>
          </c:marker>
          <c:xVal>
            <c:numRef>
              <c:f>GetPublishedAltFuels!$F$3:$F$45</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GetPublishedAltFuels!$H$3:$H$45</c:f>
              <c:numCache>
                <c:formatCode>General</c:formatCode>
                <c:ptCount val="43"/>
                <c:pt idx="0">
                  <c:v>1.55755636</c:v>
                </c:pt>
                <c:pt idx="1">
                  <c:v>1.48907284</c:v>
                </c:pt>
                <c:pt idx="2">
                  <c:v>1.4714792800000001</c:v>
                </c:pt>
                <c:pt idx="3">
                  <c:v>1.4567786300000001</c:v>
                </c:pt>
                <c:pt idx="4">
                  <c:v>1.4416826899999999</c:v>
                </c:pt>
                <c:pt idx="5">
                  <c:v>1.4262977699999999</c:v>
                </c:pt>
                <c:pt idx="6">
                  <c:v>1.4106375600000001</c:v>
                </c:pt>
                <c:pt idx="7">
                  <c:v>1.3948159</c:v>
                </c:pt>
                <c:pt idx="8">
                  <c:v>1.3788296</c:v>
                </c:pt>
                <c:pt idx="9">
                  <c:v>1.36268246</c:v>
                </c:pt>
                <c:pt idx="10">
                  <c:v>1.3463602100000001</c:v>
                </c:pt>
                <c:pt idx="11">
                  <c:v>1.32986896</c:v>
                </c:pt>
                <c:pt idx="12">
                  <c:v>1.31313188</c:v>
                </c:pt>
                <c:pt idx="13">
                  <c:v>1.29612963</c:v>
                </c:pt>
                <c:pt idx="14">
                  <c:v>1.27882133</c:v>
                </c:pt>
                <c:pt idx="15">
                  <c:v>1.26114902</c:v>
                </c:pt>
                <c:pt idx="16">
                  <c:v>1.2430502400000001</c:v>
                </c:pt>
                <c:pt idx="17">
                  <c:v>1.22446454</c:v>
                </c:pt>
                <c:pt idx="18">
                  <c:v>1.2053304499999999</c:v>
                </c:pt>
                <c:pt idx="19">
                  <c:v>1.18556901</c:v>
                </c:pt>
                <c:pt idx="20">
                  <c:v>1.16510443</c:v>
                </c:pt>
                <c:pt idx="21">
                  <c:v>1.1438616800000001</c:v>
                </c:pt>
                <c:pt idx="22">
                  <c:v>1.1217334000000001</c:v>
                </c:pt>
                <c:pt idx="23">
                  <c:v>1.09862455</c:v>
                </c:pt>
                <c:pt idx="24">
                  <c:v>1.0744412000000001</c:v>
                </c:pt>
                <c:pt idx="25">
                  <c:v>1.0490567200000001</c:v>
                </c:pt>
                <c:pt idx="26">
                  <c:v>1.02236514</c:v>
                </c:pt>
                <c:pt idx="27">
                  <c:v>0.99423887</c:v>
                </c:pt>
                <c:pt idx="28">
                  <c:v>0.96456730999999996</c:v>
                </c:pt>
                <c:pt idx="29">
                  <c:v>0.91732930999999995</c:v>
                </c:pt>
                <c:pt idx="30">
                  <c:v>0.84837083000000002</c:v>
                </c:pt>
                <c:pt idx="31">
                  <c:v>0.77216678000000005</c:v>
                </c:pt>
                <c:pt idx="32">
                  <c:v>0.69064365999999999</c:v>
                </c:pt>
                <c:pt idx="33">
                  <c:v>0.60836537000000002</c:v>
                </c:pt>
                <c:pt idx="34">
                  <c:v>0.53437018999999997</c:v>
                </c:pt>
                <c:pt idx="35">
                  <c:v>0.47726963999999999</c:v>
                </c:pt>
                <c:pt idx="36">
                  <c:v>0.44060104999999999</c:v>
                </c:pt>
                <c:pt idx="37">
                  <c:v>0.42028448000000002</c:v>
                </c:pt>
                <c:pt idx="38">
                  <c:v>0.40958833</c:v>
                </c:pt>
                <c:pt idx="39">
                  <c:v>0.40351503999999999</c:v>
                </c:pt>
                <c:pt idx="40">
                  <c:v>0.39938600000000002</c:v>
                </c:pt>
                <c:pt idx="41">
                  <c:v>0.39600300999999999</c:v>
                </c:pt>
                <c:pt idx="42">
                  <c:v>0.39284507000000002</c:v>
                </c:pt>
              </c:numCache>
            </c:numRef>
          </c:yVal>
          <c:smooth val="1"/>
        </c:ser>
        <c:ser>
          <c:idx val="2"/>
          <c:order val="2"/>
          <c:tx>
            <c:strRef>
              <c:f>GetPublishedAltFuels!$I$2</c:f>
              <c:strCache>
                <c:ptCount val="1"/>
                <c:pt idx="0">
                  <c:v>UO2</c:v>
                </c:pt>
              </c:strCache>
            </c:strRef>
          </c:tx>
          <c:marker>
            <c:symbol val="triangle"/>
            <c:size val="5"/>
          </c:marker>
          <c:xVal>
            <c:numRef>
              <c:f>GetPublishedAltFuels!$F$3:$F$45</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GetPublishedAltFuels!$I$3:$I$45</c:f>
              <c:numCache>
                <c:formatCode>General</c:formatCode>
                <c:ptCount val="43"/>
                <c:pt idx="0">
                  <c:v>1.5419671800000001</c:v>
                </c:pt>
                <c:pt idx="1">
                  <c:v>1.47299549</c:v>
                </c:pt>
                <c:pt idx="2">
                  <c:v>1.4552499999999999</c:v>
                </c:pt>
                <c:pt idx="3">
                  <c:v>1.44042968</c:v>
                </c:pt>
                <c:pt idx="4">
                  <c:v>1.42549017</c:v>
                </c:pt>
                <c:pt idx="5">
                  <c:v>1.40892566</c:v>
                </c:pt>
                <c:pt idx="6">
                  <c:v>1.3926517199999999</c:v>
                </c:pt>
                <c:pt idx="7">
                  <c:v>1.3764830100000001</c:v>
                </c:pt>
                <c:pt idx="8">
                  <c:v>1.3600627999999999</c:v>
                </c:pt>
                <c:pt idx="9">
                  <c:v>1.34344719</c:v>
                </c:pt>
                <c:pt idx="10">
                  <c:v>1.32603896</c:v>
                </c:pt>
                <c:pt idx="11">
                  <c:v>1.30877606</c:v>
                </c:pt>
                <c:pt idx="12">
                  <c:v>1.2916950899999999</c:v>
                </c:pt>
                <c:pt idx="13">
                  <c:v>1.27417501</c:v>
                </c:pt>
                <c:pt idx="14">
                  <c:v>1.25574976</c:v>
                </c:pt>
                <c:pt idx="15">
                  <c:v>1.23668691</c:v>
                </c:pt>
                <c:pt idx="16">
                  <c:v>1.21592967</c:v>
                </c:pt>
                <c:pt idx="17">
                  <c:v>1.19607347</c:v>
                </c:pt>
                <c:pt idx="18">
                  <c:v>1.17538298</c:v>
                </c:pt>
                <c:pt idx="19">
                  <c:v>1.1541138500000001</c:v>
                </c:pt>
                <c:pt idx="20">
                  <c:v>1.13171355</c:v>
                </c:pt>
                <c:pt idx="21">
                  <c:v>1.1084658999999999</c:v>
                </c:pt>
                <c:pt idx="22">
                  <c:v>1.0844390100000001</c:v>
                </c:pt>
                <c:pt idx="23">
                  <c:v>1.0586635499999999</c:v>
                </c:pt>
                <c:pt idx="24">
                  <c:v>1.0316766100000001</c:v>
                </c:pt>
                <c:pt idx="25">
                  <c:v>1.00324579</c:v>
                </c:pt>
                <c:pt idx="26">
                  <c:v>0.97287179000000001</c:v>
                </c:pt>
                <c:pt idx="27">
                  <c:v>0.94080635999999995</c:v>
                </c:pt>
                <c:pt idx="28">
                  <c:v>0.90677366999999998</c:v>
                </c:pt>
                <c:pt idx="29">
                  <c:v>0.85263361999999998</c:v>
                </c:pt>
                <c:pt idx="30">
                  <c:v>0.77371181</c:v>
                </c:pt>
                <c:pt idx="31">
                  <c:v>0.68769378999999997</c:v>
                </c:pt>
                <c:pt idx="32">
                  <c:v>0.59966202999999996</c:v>
                </c:pt>
                <c:pt idx="33">
                  <c:v>0.52075740000000004</c:v>
                </c:pt>
                <c:pt idx="34">
                  <c:v>0.46026702000000003</c:v>
                </c:pt>
                <c:pt idx="35">
                  <c:v>0.42268401</c:v>
                </c:pt>
                <c:pt idx="36">
                  <c:v>0.40293979000000002</c:v>
                </c:pt>
                <c:pt idx="37">
                  <c:v>0.39306991000000002</c:v>
                </c:pt>
                <c:pt idx="38">
                  <c:v>0.38744722999999998</c:v>
                </c:pt>
                <c:pt idx="39">
                  <c:v>0.3834883</c:v>
                </c:pt>
                <c:pt idx="40">
                  <c:v>0.38013888000000001</c:v>
                </c:pt>
                <c:pt idx="41">
                  <c:v>0.37697607999999999</c:v>
                </c:pt>
                <c:pt idx="42">
                  <c:v>0.37378915000000001</c:v>
                </c:pt>
              </c:numCache>
            </c:numRef>
          </c:yVal>
          <c:smooth val="1"/>
        </c:ser>
        <c:ser>
          <c:idx val="3"/>
          <c:order val="3"/>
          <c:tx>
            <c:strRef>
              <c:f>GetPublishedAltFuels!$J$2</c:f>
              <c:strCache>
                <c:ptCount val="1"/>
                <c:pt idx="0">
                  <c:v>UO2 fuel pellets</c:v>
                </c:pt>
              </c:strCache>
            </c:strRef>
          </c:tx>
          <c:marker>
            <c:symbol val="x"/>
            <c:size val="5"/>
          </c:marker>
          <c:xVal>
            <c:numRef>
              <c:f>GetPublishedAltFuels!$F$3:$F$45</c:f>
              <c:numCache>
                <c:formatCode>General</c:formatCode>
                <c:ptCount val="43"/>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numCache>
            </c:numRef>
          </c:xVal>
          <c:yVal>
            <c:numRef>
              <c:f>GetPublishedAltFuels!$J$3:$J$45</c:f>
              <c:numCache>
                <c:formatCode>General</c:formatCode>
                <c:ptCount val="43"/>
                <c:pt idx="0">
                  <c:v>1.3215429299999999</c:v>
                </c:pt>
                <c:pt idx="1">
                  <c:v>1.2726026699999999</c:v>
                </c:pt>
                <c:pt idx="2">
                  <c:v>1.26034282</c:v>
                </c:pt>
                <c:pt idx="3">
                  <c:v>1.2505102800000001</c:v>
                </c:pt>
                <c:pt idx="4">
                  <c:v>1.24028004</c:v>
                </c:pt>
                <c:pt idx="5">
                  <c:v>1.22989127</c:v>
                </c:pt>
                <c:pt idx="6">
                  <c:v>1.2195154800000001</c:v>
                </c:pt>
                <c:pt idx="7">
                  <c:v>1.20929592</c:v>
                </c:pt>
                <c:pt idx="8">
                  <c:v>1.19927892</c:v>
                </c:pt>
                <c:pt idx="9">
                  <c:v>1.18957427</c:v>
                </c:pt>
                <c:pt idx="10">
                  <c:v>1.1801215</c:v>
                </c:pt>
                <c:pt idx="11">
                  <c:v>1.1709273899999999</c:v>
                </c:pt>
                <c:pt idx="12">
                  <c:v>1.16202765</c:v>
                </c:pt>
                <c:pt idx="13">
                  <c:v>1.1533807199999999</c:v>
                </c:pt>
                <c:pt idx="14">
                  <c:v>1.14497739</c:v>
                </c:pt>
                <c:pt idx="15">
                  <c:v>1.1367993599999999</c:v>
                </c:pt>
                <c:pt idx="16">
                  <c:v>1.12883041</c:v>
                </c:pt>
                <c:pt idx="17">
                  <c:v>1.12104388</c:v>
                </c:pt>
                <c:pt idx="18">
                  <c:v>1.1134382899999999</c:v>
                </c:pt>
                <c:pt idx="19">
                  <c:v>1.10599633</c:v>
                </c:pt>
                <c:pt idx="20">
                  <c:v>1.0987051400000001</c:v>
                </c:pt>
                <c:pt idx="21">
                  <c:v>1.0915571799999999</c:v>
                </c:pt>
                <c:pt idx="22">
                  <c:v>1.08451476</c:v>
                </c:pt>
                <c:pt idx="23">
                  <c:v>1.0776179100000001</c:v>
                </c:pt>
                <c:pt idx="24">
                  <c:v>1.0708765200000001</c:v>
                </c:pt>
                <c:pt idx="25">
                  <c:v>1.0642047299999999</c:v>
                </c:pt>
                <c:pt idx="26">
                  <c:v>1.0576359099999999</c:v>
                </c:pt>
                <c:pt idx="27">
                  <c:v>1.0511643399999999</c:v>
                </c:pt>
                <c:pt idx="28">
                  <c:v>1.04478673</c:v>
                </c:pt>
                <c:pt idx="29">
                  <c:v>1.03542713</c:v>
                </c:pt>
                <c:pt idx="30">
                  <c:v>1.02321522</c:v>
                </c:pt>
                <c:pt idx="31">
                  <c:v>1.01130396</c:v>
                </c:pt>
                <c:pt idx="32">
                  <c:v>0.99969213999999995</c:v>
                </c:pt>
                <c:pt idx="33">
                  <c:v>0.98837207999999999</c:v>
                </c:pt>
                <c:pt idx="34">
                  <c:v>0.97733482000000005</c:v>
                </c:pt>
                <c:pt idx="35">
                  <c:v>0.96657996000000002</c:v>
                </c:pt>
                <c:pt idx="36">
                  <c:v>0.95609354000000002</c:v>
                </c:pt>
                <c:pt idx="37">
                  <c:v>0.94589418000000003</c:v>
                </c:pt>
                <c:pt idx="38">
                  <c:v>0.93597264000000002</c:v>
                </c:pt>
                <c:pt idx="39">
                  <c:v>0.92632853999999998</c:v>
                </c:pt>
                <c:pt idx="40">
                  <c:v>0.91696361999999998</c:v>
                </c:pt>
                <c:pt idx="41">
                  <c:v>0.90787861999999997</c:v>
                </c:pt>
                <c:pt idx="42">
                  <c:v>0.89907391000000003</c:v>
                </c:pt>
              </c:numCache>
            </c:numRef>
          </c:yVal>
          <c:smooth val="1"/>
        </c:ser>
        <c:dLbls>
          <c:showLegendKey val="0"/>
          <c:showVal val="0"/>
          <c:showCatName val="0"/>
          <c:showSerName val="0"/>
          <c:showPercent val="0"/>
          <c:showBubbleSize val="0"/>
        </c:dLbls>
        <c:axId val="110148224"/>
        <c:axId val="110154496"/>
      </c:scatterChart>
      <c:valAx>
        <c:axId val="110148224"/>
        <c:scaling>
          <c:orientation val="minMax"/>
        </c:scaling>
        <c:delete val="0"/>
        <c:axPos val="b"/>
        <c:majorGridlines>
          <c:spPr>
            <a:ln>
              <a:solidFill>
                <a:schemeClr val="bg1">
                  <a:lumMod val="65000"/>
                </a:schemeClr>
              </a:solidFill>
              <a:prstDash val="sysDash"/>
            </a:ln>
          </c:spPr>
        </c:majorGridlines>
        <c:title>
          <c:tx>
            <c:rich>
              <a:bodyPr/>
              <a:lstStyle/>
              <a:p>
                <a:pPr>
                  <a:defRPr/>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EFPD</a:t>
                </a:r>
                <a:endParaRPr lang="en-US"/>
              </a:p>
            </c:rich>
          </c:tx>
          <c:layout>
            <c:manualLayout>
              <c:xMode val="edge"/>
              <c:yMode val="edge"/>
              <c:x val="0.48019531933508303"/>
              <c:y val="0.90645815106445005"/>
            </c:manualLayout>
          </c:layout>
          <c:overlay val="0"/>
        </c:title>
        <c:numFmt formatCode="General" sourceLinked="1"/>
        <c:majorTickMark val="out"/>
        <c:minorTickMark val="none"/>
        <c:tickLblPos val="nextTo"/>
        <c:crossAx val="110154496"/>
        <c:crosses val="autoZero"/>
        <c:crossBetween val="midCat"/>
      </c:valAx>
      <c:valAx>
        <c:axId val="110154496"/>
        <c:scaling>
          <c:orientation val="minMax"/>
          <c:max val="1.6"/>
          <c:min val="0.8"/>
        </c:scaling>
        <c:delete val="0"/>
        <c:axPos val="l"/>
        <c:majorGridlines>
          <c:spPr>
            <a:ln>
              <a:solidFill>
                <a:schemeClr val="bg1">
                  <a:lumMod val="65000"/>
                </a:schemeClr>
              </a:solidFill>
              <a:prstDash val="sysDash"/>
            </a:ln>
          </c:spPr>
        </c:majorGridlines>
        <c:title>
          <c:tx>
            <c:rich>
              <a:bodyPr rot="-5400000" vert="horz"/>
              <a:lstStyle/>
              <a:p>
                <a:pPr>
                  <a:defRPr/>
                </a:pPr>
                <a:r>
                  <a:rPr lang="en-US"/>
                  <a:t>Infinite Multiplication Factor</a:t>
                </a:r>
              </a:p>
            </c:rich>
          </c:tx>
          <c:layout/>
          <c:overlay val="0"/>
        </c:title>
        <c:numFmt formatCode="#,##0.0" sourceLinked="0"/>
        <c:majorTickMark val="out"/>
        <c:minorTickMark val="none"/>
        <c:tickLblPos val="nextTo"/>
        <c:crossAx val="110148224"/>
        <c:crosses val="autoZero"/>
        <c:crossBetween val="midCat"/>
      </c:valAx>
      <c:spPr>
        <a:ln>
          <a:solidFill>
            <a:sysClr val="windowText" lastClr="000000"/>
          </a:solidFill>
        </a:ln>
      </c:spPr>
    </c:plotArea>
    <c:legend>
      <c:legendPos val="r"/>
      <c:layout>
        <c:manualLayout>
          <c:xMode val="edge"/>
          <c:yMode val="edge"/>
          <c:x val="0.47867454511997798"/>
          <c:y val="2.93477601014159E-2"/>
          <c:w val="0.45475159916387697"/>
          <c:h val="0.24299348832751699"/>
        </c:manualLayout>
      </c:layout>
      <c:overlay val="0"/>
      <c:spPr>
        <a:solidFill>
          <a:schemeClr val="bg1"/>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988693999456999"/>
          <c:y val="3.27038998234922E-2"/>
          <c:w val="0.82597503810358897"/>
          <c:h val="0.86105852897420099"/>
        </c:manualLayout>
      </c:layout>
      <c:scatterChart>
        <c:scatterStyle val="smoothMarker"/>
        <c:varyColors val="0"/>
        <c:ser>
          <c:idx val="4"/>
          <c:order val="0"/>
          <c:tx>
            <c:strRef>
              <c:f>'Case 1 All'!$U$1</c:f>
              <c:strCache>
                <c:ptCount val="1"/>
                <c:pt idx="0">
                  <c:v>SiC</c:v>
                </c:pt>
              </c:strCache>
            </c:strRef>
          </c:tx>
          <c:spPr>
            <a:ln w="19050"/>
          </c:spPr>
          <c:marker>
            <c:symbol val="star"/>
            <c:size val="3"/>
            <c:spPr>
              <a:ln w="19050"/>
            </c:spPr>
          </c:marker>
          <c:xVal>
            <c:numRef>
              <c:f>'Case 1 All'!$P$2:$P$46</c:f>
              <c:numCache>
                <c:formatCode>General</c:formatCode>
                <c:ptCount val="45"/>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pt idx="43">
                  <c:v>1425</c:v>
                </c:pt>
                <c:pt idx="44">
                  <c:v>1475</c:v>
                </c:pt>
              </c:numCache>
            </c:numRef>
          </c:xVal>
          <c:yVal>
            <c:numRef>
              <c:f>'Case 1 All'!$U$2:$U$46</c:f>
              <c:numCache>
                <c:formatCode>General</c:formatCode>
                <c:ptCount val="45"/>
                <c:pt idx="0">
                  <c:v>139.37099999998819</c:v>
                </c:pt>
                <c:pt idx="1">
                  <c:v>130.0650000000125</c:v>
                </c:pt>
                <c:pt idx="2">
                  <c:v>130.9779999999927</c:v>
                </c:pt>
                <c:pt idx="3">
                  <c:v>125.79999999999821</c:v>
                </c:pt>
                <c:pt idx="4">
                  <c:v>130.9889999999925</c:v>
                </c:pt>
                <c:pt idx="5">
                  <c:v>129.435</c:v>
                </c:pt>
                <c:pt idx="6">
                  <c:v>127.5209999999971</c:v>
                </c:pt>
                <c:pt idx="7">
                  <c:v>129.75299999999919</c:v>
                </c:pt>
                <c:pt idx="8">
                  <c:v>131.41299999999131</c:v>
                </c:pt>
                <c:pt idx="9">
                  <c:v>122.6489999999858</c:v>
                </c:pt>
                <c:pt idx="10">
                  <c:v>121.4730000000053</c:v>
                </c:pt>
                <c:pt idx="11">
                  <c:v>121.99000000001629</c:v>
                </c:pt>
                <c:pt idx="12">
                  <c:v>121.9649999999906</c:v>
                </c:pt>
                <c:pt idx="13">
                  <c:v>122.7209999999923</c:v>
                </c:pt>
                <c:pt idx="14">
                  <c:v>124.75000000000681</c:v>
                </c:pt>
                <c:pt idx="15">
                  <c:v>125.2550000000019</c:v>
                </c:pt>
                <c:pt idx="16">
                  <c:v>128.5619999999987</c:v>
                </c:pt>
                <c:pt idx="17">
                  <c:v>133.19700000000711</c:v>
                </c:pt>
                <c:pt idx="18">
                  <c:v>138.65200000000581</c:v>
                </c:pt>
                <c:pt idx="19">
                  <c:v>144.731000000009</c:v>
                </c:pt>
                <c:pt idx="20">
                  <c:v>151.40099999999549</c:v>
                </c:pt>
                <c:pt idx="21">
                  <c:v>158.93300000000551</c:v>
                </c:pt>
                <c:pt idx="22">
                  <c:v>165.88300000000001</c:v>
                </c:pt>
                <c:pt idx="23">
                  <c:v>175.55599999998779</c:v>
                </c:pt>
                <c:pt idx="24">
                  <c:v>184.62699999999279</c:v>
                </c:pt>
                <c:pt idx="25">
                  <c:v>194.3919999999988</c:v>
                </c:pt>
                <c:pt idx="26">
                  <c:v>204.63200000000461</c:v>
                </c:pt>
                <c:pt idx="27">
                  <c:v>215.66199999998321</c:v>
                </c:pt>
                <c:pt idx="28">
                  <c:v>226.74000000000311</c:v>
                </c:pt>
                <c:pt idx="29">
                  <c:v>244.453</c:v>
                </c:pt>
                <c:pt idx="30">
                  <c:v>269.187999999998</c:v>
                </c:pt>
                <c:pt idx="31">
                  <c:v>294.94999999999379</c:v>
                </c:pt>
                <c:pt idx="32">
                  <c:v>321.75500000000142</c:v>
                </c:pt>
                <c:pt idx="33">
                  <c:v>349.251000000006</c:v>
                </c:pt>
                <c:pt idx="34">
                  <c:v>377.25499999999857</c:v>
                </c:pt>
                <c:pt idx="35">
                  <c:v>406.13099999999849</c:v>
                </c:pt>
                <c:pt idx="36">
                  <c:v>435.34799999999098</c:v>
                </c:pt>
                <c:pt idx="37">
                  <c:v>462.91700000000702</c:v>
                </c:pt>
                <c:pt idx="38">
                  <c:v>491.87800000000112</c:v>
                </c:pt>
                <c:pt idx="39">
                  <c:v>520.68600000000356</c:v>
                </c:pt>
                <c:pt idx="40">
                  <c:v>549.10799999999801</c:v>
                </c:pt>
                <c:pt idx="41">
                  <c:v>577.44600000000298</c:v>
                </c:pt>
                <c:pt idx="42">
                  <c:v>604.69300000000055</c:v>
                </c:pt>
                <c:pt idx="43">
                  <c:v>631.65299999999797</c:v>
                </c:pt>
                <c:pt idx="44">
                  <c:v>657.61699999999928</c:v>
                </c:pt>
              </c:numCache>
            </c:numRef>
          </c:yVal>
          <c:smooth val="1"/>
        </c:ser>
        <c:ser>
          <c:idx val="5"/>
          <c:order val="1"/>
          <c:tx>
            <c:strRef>
              <c:f>'Case 1 All'!$V$1</c:f>
              <c:strCache>
                <c:ptCount val="1"/>
                <c:pt idx="0">
                  <c:v>Zircaloy</c:v>
                </c:pt>
              </c:strCache>
            </c:strRef>
          </c:tx>
          <c:spPr>
            <a:ln w="19050"/>
          </c:spPr>
          <c:marker>
            <c:symbol val="circle"/>
            <c:size val="3"/>
            <c:spPr>
              <a:ln w="19050"/>
            </c:spPr>
          </c:marker>
          <c:xVal>
            <c:numRef>
              <c:f>'Case 1 All'!$P$2:$P$46</c:f>
              <c:numCache>
                <c:formatCode>General</c:formatCode>
                <c:ptCount val="45"/>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pt idx="43">
                  <c:v>1425</c:v>
                </c:pt>
                <c:pt idx="44">
                  <c:v>1475</c:v>
                </c:pt>
              </c:numCache>
            </c:numRef>
          </c:xVal>
          <c:yVal>
            <c:numRef>
              <c:f>'Case 1 All'!$V$2:$V$46</c:f>
              <c:numCache>
                <c:formatCode>General</c:formatCode>
                <c:ptCount val="45"/>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numCache>
            </c:numRef>
          </c:yVal>
          <c:smooth val="1"/>
        </c:ser>
        <c:ser>
          <c:idx val="0"/>
          <c:order val="2"/>
          <c:tx>
            <c:strRef>
              <c:f>'Case 1 All'!$Q$1</c:f>
              <c:strCache>
                <c:ptCount val="1"/>
                <c:pt idx="0">
                  <c:v>FeCrAl</c:v>
                </c:pt>
              </c:strCache>
            </c:strRef>
          </c:tx>
          <c:spPr>
            <a:ln w="19050"/>
          </c:spPr>
          <c:marker>
            <c:symbol val="diamond"/>
            <c:size val="3"/>
            <c:spPr>
              <a:ln w="19050"/>
            </c:spPr>
          </c:marker>
          <c:xVal>
            <c:numRef>
              <c:f>'Case 1 All'!$P$2:$P$46</c:f>
              <c:numCache>
                <c:formatCode>General</c:formatCode>
                <c:ptCount val="45"/>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pt idx="43">
                  <c:v>1425</c:v>
                </c:pt>
                <c:pt idx="44">
                  <c:v>1475</c:v>
                </c:pt>
              </c:numCache>
            </c:numRef>
          </c:xVal>
          <c:yVal>
            <c:numRef>
              <c:f>'Case 1 All'!$Q$2:$Q$46</c:f>
              <c:numCache>
                <c:formatCode>General</c:formatCode>
                <c:ptCount val="45"/>
                <c:pt idx="0">
                  <c:v>-8024.0620000000099</c:v>
                </c:pt>
                <c:pt idx="1">
                  <c:v>-7407.4009999999917</c:v>
                </c:pt>
                <c:pt idx="2">
                  <c:v>-7203.5760000000118</c:v>
                </c:pt>
                <c:pt idx="3">
                  <c:v>-7053.7980000000107</c:v>
                </c:pt>
                <c:pt idx="4">
                  <c:v>-6902.652</c:v>
                </c:pt>
                <c:pt idx="5">
                  <c:v>-6770.3019999999951</c:v>
                </c:pt>
                <c:pt idx="6">
                  <c:v>-6644.7900000000009</c:v>
                </c:pt>
                <c:pt idx="7">
                  <c:v>-6529.3400000000056</c:v>
                </c:pt>
                <c:pt idx="8">
                  <c:v>-6417.8530000000001</c:v>
                </c:pt>
                <c:pt idx="9">
                  <c:v>-6310.8579999999974</c:v>
                </c:pt>
                <c:pt idx="10">
                  <c:v>-6207.8670000000002</c:v>
                </c:pt>
                <c:pt idx="11">
                  <c:v>-6110.1439999999839</c:v>
                </c:pt>
                <c:pt idx="12">
                  <c:v>-6015.7220000000016</c:v>
                </c:pt>
                <c:pt idx="13">
                  <c:v>-5925.3730000000014</c:v>
                </c:pt>
                <c:pt idx="14">
                  <c:v>-5838.7859999999846</c:v>
                </c:pt>
                <c:pt idx="15">
                  <c:v>-5754.0919999999896</c:v>
                </c:pt>
                <c:pt idx="16">
                  <c:v>-5672.86600000001</c:v>
                </c:pt>
                <c:pt idx="17">
                  <c:v>-5594.1809999999978</c:v>
                </c:pt>
                <c:pt idx="18">
                  <c:v>-5517.986999999991</c:v>
                </c:pt>
                <c:pt idx="19">
                  <c:v>-5443.7950000000064</c:v>
                </c:pt>
                <c:pt idx="20">
                  <c:v>-5371.5680000000048</c:v>
                </c:pt>
                <c:pt idx="21">
                  <c:v>-5301.0100000000057</c:v>
                </c:pt>
                <c:pt idx="22">
                  <c:v>-5232.7390000000087</c:v>
                </c:pt>
                <c:pt idx="23">
                  <c:v>-5162.5870000000077</c:v>
                </c:pt>
                <c:pt idx="24">
                  <c:v>-5098.1350000000039</c:v>
                </c:pt>
                <c:pt idx="25">
                  <c:v>-5032.9250000000102</c:v>
                </c:pt>
                <c:pt idx="26">
                  <c:v>-4968.7599999999939</c:v>
                </c:pt>
                <c:pt idx="27">
                  <c:v>-4905.322000000001</c:v>
                </c:pt>
                <c:pt idx="28">
                  <c:v>-4842.9159999999974</c:v>
                </c:pt>
                <c:pt idx="29">
                  <c:v>-4750.9009999999962</c:v>
                </c:pt>
                <c:pt idx="30">
                  <c:v>-4630.5140000000074</c:v>
                </c:pt>
                <c:pt idx="31">
                  <c:v>-4512.6360000000032</c:v>
                </c:pt>
                <c:pt idx="32">
                  <c:v>-4396.7339999999986</c:v>
                </c:pt>
                <c:pt idx="33">
                  <c:v>-4282.5539999999937</c:v>
                </c:pt>
                <c:pt idx="34">
                  <c:v>-4170.1570000000002</c:v>
                </c:pt>
                <c:pt idx="35">
                  <c:v>-4059.2760000000012</c:v>
                </c:pt>
                <c:pt idx="36">
                  <c:v>-3949.4960000000078</c:v>
                </c:pt>
                <c:pt idx="37">
                  <c:v>-3844.28</c:v>
                </c:pt>
                <c:pt idx="38">
                  <c:v>-3737.8519999999971</c:v>
                </c:pt>
                <c:pt idx="39">
                  <c:v>-3633.3040000000042</c:v>
                </c:pt>
                <c:pt idx="40">
                  <c:v>-3530.597000000002</c:v>
                </c:pt>
                <c:pt idx="41">
                  <c:v>-3429.661000000006</c:v>
                </c:pt>
                <c:pt idx="42">
                  <c:v>-3330.765999999996</c:v>
                </c:pt>
                <c:pt idx="43">
                  <c:v>-3234.298999999995</c:v>
                </c:pt>
                <c:pt idx="44">
                  <c:v>-3139.968999999996</c:v>
                </c:pt>
              </c:numCache>
            </c:numRef>
          </c:yVal>
          <c:smooth val="1"/>
        </c:ser>
        <c:ser>
          <c:idx val="3"/>
          <c:order val="3"/>
          <c:tx>
            <c:strRef>
              <c:f>'Case 1 All'!$T$1</c:f>
              <c:strCache>
                <c:ptCount val="1"/>
                <c:pt idx="0">
                  <c:v>APMT</c:v>
                </c:pt>
              </c:strCache>
            </c:strRef>
          </c:tx>
          <c:spPr>
            <a:ln w="19050"/>
          </c:spPr>
          <c:marker>
            <c:symbol val="x"/>
            <c:size val="3"/>
            <c:spPr>
              <a:ln w="19050"/>
            </c:spPr>
          </c:marker>
          <c:xVal>
            <c:numRef>
              <c:f>'Case 1 All'!$P$2:$P$46</c:f>
              <c:numCache>
                <c:formatCode>General</c:formatCode>
                <c:ptCount val="45"/>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pt idx="43">
                  <c:v>1425</c:v>
                </c:pt>
                <c:pt idx="44">
                  <c:v>1475</c:v>
                </c:pt>
              </c:numCache>
            </c:numRef>
          </c:xVal>
          <c:yVal>
            <c:numRef>
              <c:f>'Case 1 All'!$T$2:$T$46</c:f>
              <c:numCache>
                <c:formatCode>General</c:formatCode>
                <c:ptCount val="45"/>
                <c:pt idx="0">
                  <c:v>-9576.510000000013</c:v>
                </c:pt>
                <c:pt idx="1">
                  <c:v>-8899.6789999999819</c:v>
                </c:pt>
                <c:pt idx="2">
                  <c:v>-8675.1460000000116</c:v>
                </c:pt>
                <c:pt idx="3">
                  <c:v>-8504.9010000000071</c:v>
                </c:pt>
                <c:pt idx="4">
                  <c:v>-8336.6630000000005</c:v>
                </c:pt>
                <c:pt idx="5">
                  <c:v>-8179.4799999999896</c:v>
                </c:pt>
                <c:pt idx="6">
                  <c:v>-8029.7279999999919</c:v>
                </c:pt>
                <c:pt idx="7">
                  <c:v>-7886.39</c:v>
                </c:pt>
                <c:pt idx="8">
                  <c:v>-7751.5350000000089</c:v>
                </c:pt>
                <c:pt idx="9">
                  <c:v>-7621.9650000000083</c:v>
                </c:pt>
                <c:pt idx="10">
                  <c:v>-7498.1410000000133</c:v>
                </c:pt>
                <c:pt idx="11">
                  <c:v>-7378.7369999999801</c:v>
                </c:pt>
                <c:pt idx="12">
                  <c:v>-7265.5939999999973</c:v>
                </c:pt>
                <c:pt idx="13">
                  <c:v>-7157.2540000000017</c:v>
                </c:pt>
                <c:pt idx="14">
                  <c:v>-7050.4999999999818</c:v>
                </c:pt>
                <c:pt idx="15">
                  <c:v>-6952.0489999999936</c:v>
                </c:pt>
                <c:pt idx="16">
                  <c:v>-6855.5080000000098</c:v>
                </c:pt>
                <c:pt idx="17">
                  <c:v>-6761.8640000000059</c:v>
                </c:pt>
                <c:pt idx="18">
                  <c:v>-6671.0260000000026</c:v>
                </c:pt>
                <c:pt idx="19">
                  <c:v>-6582.99</c:v>
                </c:pt>
                <c:pt idx="20">
                  <c:v>-6497.1719999999959</c:v>
                </c:pt>
                <c:pt idx="21">
                  <c:v>-6413.4359999999924</c:v>
                </c:pt>
                <c:pt idx="22">
                  <c:v>-6331.840999999994</c:v>
                </c:pt>
                <c:pt idx="23">
                  <c:v>-6250.6530000000057</c:v>
                </c:pt>
                <c:pt idx="24">
                  <c:v>-6169.9949999999944</c:v>
                </c:pt>
                <c:pt idx="25">
                  <c:v>-6093.1700000000037</c:v>
                </c:pt>
                <c:pt idx="26">
                  <c:v>-6017.6040000000003</c:v>
                </c:pt>
                <c:pt idx="27">
                  <c:v>-5943.0280000000166</c:v>
                </c:pt>
                <c:pt idx="28">
                  <c:v>-5869.7539999999826</c:v>
                </c:pt>
                <c:pt idx="29">
                  <c:v>-5761.7009999999973</c:v>
                </c:pt>
                <c:pt idx="30">
                  <c:v>-5620.8120000000081</c:v>
                </c:pt>
                <c:pt idx="31">
                  <c:v>-5482.8039999999964</c:v>
                </c:pt>
                <c:pt idx="32">
                  <c:v>-5347.2630000000017</c:v>
                </c:pt>
                <c:pt idx="33">
                  <c:v>-5214.092999999988</c:v>
                </c:pt>
                <c:pt idx="34">
                  <c:v>-5083.3910000000042</c:v>
                </c:pt>
                <c:pt idx="35">
                  <c:v>-4954.3220000000001</c:v>
                </c:pt>
                <c:pt idx="36">
                  <c:v>-4827.0890000000063</c:v>
                </c:pt>
                <c:pt idx="37">
                  <c:v>-4703.5439999999926</c:v>
                </c:pt>
                <c:pt idx="38">
                  <c:v>-4580.5439999999971</c:v>
                </c:pt>
                <c:pt idx="39">
                  <c:v>-4459.6390000000038</c:v>
                </c:pt>
                <c:pt idx="40">
                  <c:v>-4341.1270000000004</c:v>
                </c:pt>
                <c:pt idx="41">
                  <c:v>-4224.6420000000007</c:v>
                </c:pt>
                <c:pt idx="42">
                  <c:v>-4110.6220000000003</c:v>
                </c:pt>
                <c:pt idx="43">
                  <c:v>-3999.4639999999972</c:v>
                </c:pt>
                <c:pt idx="44">
                  <c:v>-3890.8440000000051</c:v>
                </c:pt>
              </c:numCache>
            </c:numRef>
          </c:yVal>
          <c:smooth val="1"/>
        </c:ser>
        <c:ser>
          <c:idx val="1"/>
          <c:order val="4"/>
          <c:tx>
            <c:strRef>
              <c:f>'Case 1 All'!$R$1</c:f>
              <c:strCache>
                <c:ptCount val="1"/>
                <c:pt idx="0">
                  <c:v>304SS</c:v>
                </c:pt>
              </c:strCache>
            </c:strRef>
          </c:tx>
          <c:spPr>
            <a:ln w="19050"/>
          </c:spPr>
          <c:marker>
            <c:symbol val="square"/>
            <c:size val="3"/>
            <c:spPr>
              <a:ln w="19050"/>
            </c:spPr>
          </c:marker>
          <c:xVal>
            <c:numRef>
              <c:f>'Case 1 All'!$P$2:$P$46</c:f>
              <c:numCache>
                <c:formatCode>General</c:formatCode>
                <c:ptCount val="45"/>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pt idx="43">
                  <c:v>1425</c:v>
                </c:pt>
                <c:pt idx="44">
                  <c:v>1475</c:v>
                </c:pt>
              </c:numCache>
            </c:numRef>
          </c:xVal>
          <c:yVal>
            <c:numRef>
              <c:f>'Case 1 All'!$R$2:$R$46</c:f>
              <c:numCache>
                <c:formatCode>General</c:formatCode>
                <c:ptCount val="45"/>
                <c:pt idx="0">
                  <c:v>-10205.266</c:v>
                </c:pt>
                <c:pt idx="1">
                  <c:v>-9447.3339999999862</c:v>
                </c:pt>
                <c:pt idx="2">
                  <c:v>-9190.1090000000131</c:v>
                </c:pt>
                <c:pt idx="3">
                  <c:v>-9002.1660000000029</c:v>
                </c:pt>
                <c:pt idx="4">
                  <c:v>-8817.5630000000056</c:v>
                </c:pt>
                <c:pt idx="5">
                  <c:v>-8650.0250000000051</c:v>
                </c:pt>
                <c:pt idx="6">
                  <c:v>-8491.1270000000095</c:v>
                </c:pt>
                <c:pt idx="7">
                  <c:v>-8339.2640000000029</c:v>
                </c:pt>
                <c:pt idx="8">
                  <c:v>-8197.4600000000028</c:v>
                </c:pt>
                <c:pt idx="9">
                  <c:v>-8059.0300000000116</c:v>
                </c:pt>
                <c:pt idx="10">
                  <c:v>-7928.2460000000174</c:v>
                </c:pt>
                <c:pt idx="11">
                  <c:v>-7803.9839999999967</c:v>
                </c:pt>
                <c:pt idx="12">
                  <c:v>-7684.1930000000057</c:v>
                </c:pt>
                <c:pt idx="13">
                  <c:v>-7569.1890000000103</c:v>
                </c:pt>
                <c:pt idx="14">
                  <c:v>-7459.6379999999799</c:v>
                </c:pt>
                <c:pt idx="15">
                  <c:v>-7352.208999999998</c:v>
                </c:pt>
                <c:pt idx="16">
                  <c:v>-7249.2919999999958</c:v>
                </c:pt>
                <c:pt idx="17">
                  <c:v>-7149.295000000011</c:v>
                </c:pt>
                <c:pt idx="18">
                  <c:v>-7052.2490000000107</c:v>
                </c:pt>
                <c:pt idx="19">
                  <c:v>-6958.0210000000034</c:v>
                </c:pt>
                <c:pt idx="20">
                  <c:v>-6866.0949999999939</c:v>
                </c:pt>
                <c:pt idx="21">
                  <c:v>-6776.2220000000098</c:v>
                </c:pt>
                <c:pt idx="22">
                  <c:v>-6687.3970000000063</c:v>
                </c:pt>
                <c:pt idx="23">
                  <c:v>-6600.9620000000004</c:v>
                </c:pt>
                <c:pt idx="24">
                  <c:v>-6516.9650000000083</c:v>
                </c:pt>
                <c:pt idx="25">
                  <c:v>-6434.1449999999913</c:v>
                </c:pt>
                <c:pt idx="26">
                  <c:v>-6352.6889999999903</c:v>
                </c:pt>
                <c:pt idx="27">
                  <c:v>-6272.2070000000194</c:v>
                </c:pt>
                <c:pt idx="28">
                  <c:v>-6192.9609999999857</c:v>
                </c:pt>
                <c:pt idx="29">
                  <c:v>-6076.4029999999966</c:v>
                </c:pt>
                <c:pt idx="30">
                  <c:v>-5923.7709999999997</c:v>
                </c:pt>
                <c:pt idx="31">
                  <c:v>-5774.3509999999997</c:v>
                </c:pt>
                <c:pt idx="32">
                  <c:v>-5627.6020000000099</c:v>
                </c:pt>
                <c:pt idx="33">
                  <c:v>-5483.4479999999876</c:v>
                </c:pt>
                <c:pt idx="34">
                  <c:v>-5341.6059999999998</c:v>
                </c:pt>
                <c:pt idx="35">
                  <c:v>-5201.7789999999904</c:v>
                </c:pt>
                <c:pt idx="36">
                  <c:v>-5063.7220000000034</c:v>
                </c:pt>
                <c:pt idx="37">
                  <c:v>-4928.3949999999968</c:v>
                </c:pt>
                <c:pt idx="38">
                  <c:v>-4797.1710000000003</c:v>
                </c:pt>
                <c:pt idx="39">
                  <c:v>-4665.9389999999967</c:v>
                </c:pt>
                <c:pt idx="40">
                  <c:v>-4537.2110000000084</c:v>
                </c:pt>
                <c:pt idx="41">
                  <c:v>-4410.9040000000005</c:v>
                </c:pt>
                <c:pt idx="42">
                  <c:v>-4287.268</c:v>
                </c:pt>
                <c:pt idx="43">
                  <c:v>-4166.7779999999884</c:v>
                </c:pt>
                <c:pt idx="44">
                  <c:v>-4049.0640000000021</c:v>
                </c:pt>
              </c:numCache>
            </c:numRef>
          </c:yVal>
          <c:smooth val="1"/>
        </c:ser>
        <c:ser>
          <c:idx val="2"/>
          <c:order val="5"/>
          <c:tx>
            <c:strRef>
              <c:f>'Case 1 All'!$S$1</c:f>
              <c:strCache>
                <c:ptCount val="1"/>
                <c:pt idx="0">
                  <c:v>310SS</c:v>
                </c:pt>
              </c:strCache>
            </c:strRef>
          </c:tx>
          <c:spPr>
            <a:ln w="19050"/>
          </c:spPr>
          <c:marker>
            <c:symbol val="triangle"/>
            <c:size val="3"/>
            <c:spPr>
              <a:ln w="19050"/>
            </c:spPr>
          </c:marker>
          <c:xVal>
            <c:numRef>
              <c:f>'Case 1 All'!$P$2:$P$46</c:f>
              <c:numCache>
                <c:formatCode>General</c:formatCode>
                <c:ptCount val="45"/>
                <c:pt idx="0">
                  <c:v>0</c:v>
                </c:pt>
                <c:pt idx="1">
                  <c:v>12.5</c:v>
                </c:pt>
                <c:pt idx="2">
                  <c:v>37.5</c:v>
                </c:pt>
                <c:pt idx="3">
                  <c:v>62.5</c:v>
                </c:pt>
                <c:pt idx="4">
                  <c:v>87.5</c:v>
                </c:pt>
                <c:pt idx="5">
                  <c:v>112.5</c:v>
                </c:pt>
                <c:pt idx="6">
                  <c:v>137.5</c:v>
                </c:pt>
                <c:pt idx="7">
                  <c:v>162.5</c:v>
                </c:pt>
                <c:pt idx="8">
                  <c:v>187.5</c:v>
                </c:pt>
                <c:pt idx="9">
                  <c:v>212.5</c:v>
                </c:pt>
                <c:pt idx="10">
                  <c:v>237.5</c:v>
                </c:pt>
                <c:pt idx="11">
                  <c:v>262.5</c:v>
                </c:pt>
                <c:pt idx="12">
                  <c:v>287.5</c:v>
                </c:pt>
                <c:pt idx="13">
                  <c:v>312.5</c:v>
                </c:pt>
                <c:pt idx="14">
                  <c:v>337.5</c:v>
                </c:pt>
                <c:pt idx="15">
                  <c:v>362.5</c:v>
                </c:pt>
                <c:pt idx="16">
                  <c:v>387.5</c:v>
                </c:pt>
                <c:pt idx="17">
                  <c:v>412.5</c:v>
                </c:pt>
                <c:pt idx="18">
                  <c:v>437.5</c:v>
                </c:pt>
                <c:pt idx="19">
                  <c:v>462.5</c:v>
                </c:pt>
                <c:pt idx="20">
                  <c:v>487.5</c:v>
                </c:pt>
                <c:pt idx="21">
                  <c:v>512.5</c:v>
                </c:pt>
                <c:pt idx="22">
                  <c:v>537.5</c:v>
                </c:pt>
                <c:pt idx="23">
                  <c:v>562.5</c:v>
                </c:pt>
                <c:pt idx="24">
                  <c:v>587.5</c:v>
                </c:pt>
                <c:pt idx="25">
                  <c:v>612.5</c:v>
                </c:pt>
                <c:pt idx="26">
                  <c:v>637.5</c:v>
                </c:pt>
                <c:pt idx="27">
                  <c:v>662.5</c:v>
                </c:pt>
                <c:pt idx="28">
                  <c:v>687.5</c:v>
                </c:pt>
                <c:pt idx="29">
                  <c:v>725</c:v>
                </c:pt>
                <c:pt idx="30">
                  <c:v>775</c:v>
                </c:pt>
                <c:pt idx="31">
                  <c:v>825</c:v>
                </c:pt>
                <c:pt idx="32">
                  <c:v>875</c:v>
                </c:pt>
                <c:pt idx="33">
                  <c:v>925</c:v>
                </c:pt>
                <c:pt idx="34">
                  <c:v>975</c:v>
                </c:pt>
                <c:pt idx="35">
                  <c:v>1025</c:v>
                </c:pt>
                <c:pt idx="36">
                  <c:v>1075</c:v>
                </c:pt>
                <c:pt idx="37">
                  <c:v>1125</c:v>
                </c:pt>
                <c:pt idx="38">
                  <c:v>1175</c:v>
                </c:pt>
                <c:pt idx="39">
                  <c:v>1225</c:v>
                </c:pt>
                <c:pt idx="40">
                  <c:v>1275</c:v>
                </c:pt>
                <c:pt idx="41">
                  <c:v>1325</c:v>
                </c:pt>
                <c:pt idx="42">
                  <c:v>1375</c:v>
                </c:pt>
                <c:pt idx="43">
                  <c:v>1425</c:v>
                </c:pt>
                <c:pt idx="44">
                  <c:v>1475</c:v>
                </c:pt>
              </c:numCache>
            </c:numRef>
          </c:xVal>
          <c:yVal>
            <c:numRef>
              <c:f>'Case 1 All'!$S$2:$S$46</c:f>
              <c:numCache>
                <c:formatCode>General</c:formatCode>
                <c:ptCount val="45"/>
                <c:pt idx="0">
                  <c:v>-11723.695000000011</c:v>
                </c:pt>
                <c:pt idx="1">
                  <c:v>-10861.251999999989</c:v>
                </c:pt>
                <c:pt idx="2">
                  <c:v>-10567.41400000001</c:v>
                </c:pt>
                <c:pt idx="3">
                  <c:v>-10351.653000000009</c:v>
                </c:pt>
                <c:pt idx="4">
                  <c:v>-10142.11200000001</c:v>
                </c:pt>
                <c:pt idx="5">
                  <c:v>-9950.0020000000022</c:v>
                </c:pt>
                <c:pt idx="6">
                  <c:v>-9767.9440000000068</c:v>
                </c:pt>
                <c:pt idx="7">
                  <c:v>-9594.2040000000161</c:v>
                </c:pt>
                <c:pt idx="8">
                  <c:v>-9431.5270000000055</c:v>
                </c:pt>
                <c:pt idx="9">
                  <c:v>-9272.2310000000089</c:v>
                </c:pt>
                <c:pt idx="10">
                  <c:v>-9122.2910000000156</c:v>
                </c:pt>
                <c:pt idx="11">
                  <c:v>-8979.3479999999854</c:v>
                </c:pt>
                <c:pt idx="12">
                  <c:v>-8841.9049999999861</c:v>
                </c:pt>
                <c:pt idx="13">
                  <c:v>-8709.9070000000011</c:v>
                </c:pt>
                <c:pt idx="14">
                  <c:v>-8583.6139999999832</c:v>
                </c:pt>
                <c:pt idx="15">
                  <c:v>-8460.4490000000023</c:v>
                </c:pt>
                <c:pt idx="16">
                  <c:v>-8342.2979999999825</c:v>
                </c:pt>
                <c:pt idx="17">
                  <c:v>-8227.4820000000109</c:v>
                </c:pt>
                <c:pt idx="18">
                  <c:v>-8116.1030000000083</c:v>
                </c:pt>
                <c:pt idx="19">
                  <c:v>-8007.867000000002</c:v>
                </c:pt>
                <c:pt idx="20">
                  <c:v>-7902.2119999999859</c:v>
                </c:pt>
                <c:pt idx="21">
                  <c:v>-7799.0500000000084</c:v>
                </c:pt>
                <c:pt idx="22">
                  <c:v>-7697.4019999999973</c:v>
                </c:pt>
                <c:pt idx="23">
                  <c:v>-7598.1530000000184</c:v>
                </c:pt>
                <c:pt idx="24">
                  <c:v>-7501.6889999999903</c:v>
                </c:pt>
                <c:pt idx="25">
                  <c:v>-7406.5540000000101</c:v>
                </c:pt>
                <c:pt idx="26">
                  <c:v>-7313.0609999999997</c:v>
                </c:pt>
                <c:pt idx="27">
                  <c:v>-7220.75900000001</c:v>
                </c:pt>
                <c:pt idx="28">
                  <c:v>-7129.8189999999931</c:v>
                </c:pt>
                <c:pt idx="29">
                  <c:v>-6995.9839999999986</c:v>
                </c:pt>
                <c:pt idx="30">
                  <c:v>-6821.0390000000061</c:v>
                </c:pt>
                <c:pt idx="31">
                  <c:v>-6649.8339999999989</c:v>
                </c:pt>
                <c:pt idx="32">
                  <c:v>-6481.7490000000034</c:v>
                </c:pt>
                <c:pt idx="33">
                  <c:v>-6316.5569999999898</c:v>
                </c:pt>
                <c:pt idx="34">
                  <c:v>-6154.26</c:v>
                </c:pt>
                <c:pt idx="35">
                  <c:v>-5994.21</c:v>
                </c:pt>
                <c:pt idx="36">
                  <c:v>-5836.395000000005</c:v>
                </c:pt>
                <c:pt idx="37">
                  <c:v>-5681.817</c:v>
                </c:pt>
                <c:pt idx="38">
                  <c:v>-5531.4699999999939</c:v>
                </c:pt>
                <c:pt idx="39">
                  <c:v>-5381.690000000006</c:v>
                </c:pt>
                <c:pt idx="40">
                  <c:v>-5234.9550000000081</c:v>
                </c:pt>
                <c:pt idx="41">
                  <c:v>-5090.925000000002</c:v>
                </c:pt>
                <c:pt idx="42">
                  <c:v>-4950.166999999994</c:v>
                </c:pt>
                <c:pt idx="43">
                  <c:v>-4812.8270000000002</c:v>
                </c:pt>
                <c:pt idx="44">
                  <c:v>-4678.7339999999913</c:v>
                </c:pt>
              </c:numCache>
            </c:numRef>
          </c:yVal>
          <c:smooth val="1"/>
        </c:ser>
        <c:dLbls>
          <c:showLegendKey val="0"/>
          <c:showVal val="0"/>
          <c:showCatName val="0"/>
          <c:showSerName val="0"/>
          <c:showPercent val="0"/>
          <c:showBubbleSize val="0"/>
        </c:dLbls>
        <c:axId val="112304896"/>
        <c:axId val="112308224"/>
      </c:scatterChart>
      <c:valAx>
        <c:axId val="112304896"/>
        <c:scaling>
          <c:orientation val="minMax"/>
          <c:max val="1500"/>
          <c:min val="0"/>
        </c:scaling>
        <c:delete val="0"/>
        <c:axPos val="b"/>
        <c:majorGridlines>
          <c:spPr>
            <a:ln>
              <a:prstDash val="sysDash"/>
            </a:ln>
          </c:spPr>
        </c:majorGridlines>
        <c:title>
          <c:tx>
            <c:rich>
              <a:bodyPr/>
              <a:lstStyle/>
              <a:p>
                <a:pPr>
                  <a:defRPr/>
                </a:pPr>
                <a:r>
                  <a:rPr lang="en-US" sz="1000" b="1" i="0" u="none" strike="noStrike" kern="1200" baseline="0">
                    <a:solidFill>
                      <a:sysClr val="windowText" lastClr="000000"/>
                    </a:solidFill>
                    <a:latin typeface="Times New Roman" panose="02020603050405020304" pitchFamily="18" charset="0"/>
                    <a:ea typeface="+mn-ea"/>
                    <a:cs typeface="Times New Roman" panose="02020603050405020304" pitchFamily="18" charset="0"/>
                  </a:rPr>
                  <a:t>EFPD</a:t>
                </a:r>
                <a:endParaRPr lang="en-US"/>
              </a:p>
            </c:rich>
          </c:tx>
          <c:layout/>
          <c:overlay val="0"/>
        </c:title>
        <c:numFmt formatCode="General" sourceLinked="1"/>
        <c:majorTickMark val="out"/>
        <c:minorTickMark val="none"/>
        <c:tickLblPos val="low"/>
        <c:crossAx val="112308224"/>
        <c:crosses val="autoZero"/>
        <c:crossBetween val="midCat"/>
        <c:majorUnit val="300"/>
      </c:valAx>
      <c:valAx>
        <c:axId val="112308224"/>
        <c:scaling>
          <c:orientation val="minMax"/>
          <c:min val="-12000"/>
        </c:scaling>
        <c:delete val="0"/>
        <c:axPos val="l"/>
        <c:majorGridlines>
          <c:spPr>
            <a:ln>
              <a:prstDash val="sysDash"/>
            </a:ln>
          </c:spPr>
        </c:majorGridlines>
        <c:title>
          <c:tx>
            <c:rich>
              <a:bodyPr rot="-5400000" vert="horz"/>
              <a:lstStyle/>
              <a:p>
                <a:pPr>
                  <a:defRPr/>
                </a:pPr>
                <a:r>
                  <a:rPr lang="en-US"/>
                  <a:t>𝛥k-infinity [pcm]</a:t>
                </a:r>
              </a:p>
            </c:rich>
          </c:tx>
          <c:layout/>
          <c:overlay val="0"/>
        </c:title>
        <c:numFmt formatCode="General" sourceLinked="1"/>
        <c:majorTickMark val="out"/>
        <c:minorTickMark val="none"/>
        <c:tickLblPos val="nextTo"/>
        <c:crossAx val="112304896"/>
        <c:crosses val="autoZero"/>
        <c:crossBetween val="midCat"/>
      </c:valAx>
      <c:spPr>
        <a:ln>
          <a:solidFill>
            <a:sysClr val="windowText" lastClr="000000"/>
          </a:solidFill>
        </a:ln>
      </c:spPr>
    </c:plotArea>
    <c:legend>
      <c:legendPos val="r"/>
      <c:layout>
        <c:manualLayout>
          <c:xMode val="edge"/>
          <c:yMode val="edge"/>
          <c:x val="0.71286453004743799"/>
          <c:y val="0.54470028464896503"/>
          <c:w val="0.17604648818056101"/>
          <c:h val="0.25489290639805001"/>
        </c:manualLayout>
      </c:layout>
      <c:overlay val="0"/>
      <c:spPr>
        <a:solidFill>
          <a:schemeClr val="bg1"/>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sz="10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6560038805185401"/>
          <c:y val="6.293608316754E-2"/>
          <c:w val="0.74406097125183301"/>
          <c:h val="0.80304800609601201"/>
        </c:manualLayout>
      </c:layout>
      <c:scatterChart>
        <c:scatterStyle val="smoothMarker"/>
        <c:varyColors val="0"/>
        <c:ser>
          <c:idx val="3"/>
          <c:order val="0"/>
          <c:tx>
            <c:v>PF=50%  BL=50 µm</c:v>
          </c:tx>
          <c:xVal>
            <c:numRef>
              <c:f>Calcs!$K$30:$L$30</c:f>
              <c:numCache>
                <c:formatCode>General</c:formatCode>
                <c:ptCount val="2"/>
                <c:pt idx="0">
                  <c:v>800</c:v>
                </c:pt>
                <c:pt idx="1">
                  <c:v>1000</c:v>
                </c:pt>
              </c:numCache>
            </c:numRef>
          </c:xVal>
          <c:yVal>
            <c:numRef>
              <c:f>Calcs!$K$13:$L$13</c:f>
              <c:numCache>
                <c:formatCode>0.000</c:formatCode>
                <c:ptCount val="2"/>
                <c:pt idx="0">
                  <c:v>-3.2666296970228402E-2</c:v>
                </c:pt>
                <c:pt idx="1">
                  <c:v>8.30013268464177E-2</c:v>
                </c:pt>
              </c:numCache>
            </c:numRef>
          </c:yVal>
          <c:smooth val="1"/>
        </c:ser>
        <c:ser>
          <c:idx val="2"/>
          <c:order val="1"/>
          <c:tx>
            <c:v>PF=45%   BL=50 µm</c:v>
          </c:tx>
          <c:xVal>
            <c:numRef>
              <c:f>Calcs!$I$30:$J$30</c:f>
              <c:numCache>
                <c:formatCode>General</c:formatCode>
                <c:ptCount val="2"/>
                <c:pt idx="0">
                  <c:v>800</c:v>
                </c:pt>
                <c:pt idx="1">
                  <c:v>1000</c:v>
                </c:pt>
              </c:numCache>
            </c:numRef>
          </c:xVal>
          <c:yVal>
            <c:numRef>
              <c:f>Calcs!$I$13:$J$13</c:f>
              <c:numCache>
                <c:formatCode>0.000</c:formatCode>
                <c:ptCount val="2"/>
                <c:pt idx="0">
                  <c:v>-0.12831989959530399</c:v>
                </c:pt>
                <c:pt idx="1">
                  <c:v>1.9909278939746099E-2</c:v>
                </c:pt>
              </c:numCache>
            </c:numRef>
          </c:yVal>
          <c:smooth val="1"/>
        </c:ser>
        <c:ser>
          <c:idx val="1"/>
          <c:order val="2"/>
          <c:tx>
            <c:v>PF=50%   BL=100 µm</c:v>
          </c:tx>
          <c:xVal>
            <c:numRef>
              <c:f>Calcs!$F$30:$H$30</c:f>
              <c:numCache>
                <c:formatCode>General</c:formatCode>
                <c:ptCount val="3"/>
                <c:pt idx="0">
                  <c:v>800</c:v>
                </c:pt>
                <c:pt idx="1">
                  <c:v>1000</c:v>
                </c:pt>
                <c:pt idx="2">
                  <c:v>1200</c:v>
                </c:pt>
              </c:numCache>
            </c:numRef>
          </c:xVal>
          <c:yVal>
            <c:numRef>
              <c:f>Calcs!$F$13:$H$13</c:f>
              <c:numCache>
                <c:formatCode>0.000</c:formatCode>
                <c:ptCount val="3"/>
                <c:pt idx="0">
                  <c:v>-0.25710765371349698</c:v>
                </c:pt>
                <c:pt idx="1">
                  <c:v>-7.1162268342769897E-2</c:v>
                </c:pt>
                <c:pt idx="2">
                  <c:v>4.5629696145278703E-2</c:v>
                </c:pt>
              </c:numCache>
            </c:numRef>
          </c:yVal>
          <c:smooth val="1"/>
        </c:ser>
        <c:ser>
          <c:idx val="0"/>
          <c:order val="3"/>
          <c:tx>
            <c:v>PF=45%   BL=100 µm</c:v>
          </c:tx>
          <c:xVal>
            <c:numRef>
              <c:f>Calcs!$C$30:$E$30</c:f>
              <c:numCache>
                <c:formatCode>General</c:formatCode>
                <c:ptCount val="3"/>
                <c:pt idx="0">
                  <c:v>800</c:v>
                </c:pt>
                <c:pt idx="1">
                  <c:v>1000</c:v>
                </c:pt>
                <c:pt idx="2">
                  <c:v>1350</c:v>
                </c:pt>
              </c:numCache>
            </c:numRef>
          </c:xVal>
          <c:yVal>
            <c:numRef>
              <c:f>Calcs!$C$13:$E$13</c:f>
              <c:numCache>
                <c:formatCode>0.000</c:formatCode>
                <c:ptCount val="3"/>
                <c:pt idx="0">
                  <c:v>-0.31849803251457098</c:v>
                </c:pt>
                <c:pt idx="1">
                  <c:v>-0.17210333608273801</c:v>
                </c:pt>
                <c:pt idx="2">
                  <c:v>3.3589516331131601E-2</c:v>
                </c:pt>
              </c:numCache>
            </c:numRef>
          </c:yVal>
          <c:smooth val="1"/>
        </c:ser>
        <c:ser>
          <c:idx val="8"/>
          <c:order val="4"/>
          <c:tx>
            <c:strRef>
              <c:f>Calcs!$H$40</c:f>
              <c:strCache>
                <c:ptCount val="1"/>
                <c:pt idx="0">
                  <c:v>3.33333E+12</c:v>
                </c:pt>
              </c:strCache>
            </c:strRef>
          </c:tx>
          <c:spPr>
            <a:ln>
              <a:solidFill>
                <a:schemeClr val="tx1">
                  <a:lumMod val="85000"/>
                  <a:lumOff val="15000"/>
                </a:schemeClr>
              </a:solidFill>
            </a:ln>
          </c:spPr>
          <c:marker>
            <c:spPr>
              <a:noFill/>
            </c:spPr>
          </c:marker>
          <c:xVal>
            <c:numRef>
              <c:f>Calcs!$K$2:$K$3</c:f>
              <c:numCache>
                <c:formatCode>General</c:formatCode>
                <c:ptCount val="2"/>
                <c:pt idx="0">
                  <c:v>0</c:v>
                </c:pt>
                <c:pt idx="1">
                  <c:v>1600</c:v>
                </c:pt>
              </c:numCache>
            </c:numRef>
          </c:xVal>
          <c:yVal>
            <c:numRef>
              <c:f>Calcs!$L$2:$L$3</c:f>
              <c:numCache>
                <c:formatCode>General</c:formatCode>
                <c:ptCount val="2"/>
                <c:pt idx="0">
                  <c:v>0</c:v>
                </c:pt>
                <c:pt idx="1">
                  <c:v>0</c:v>
                </c:pt>
              </c:numCache>
            </c:numRef>
          </c:yVal>
          <c:smooth val="1"/>
        </c:ser>
        <c:dLbls>
          <c:showLegendKey val="0"/>
          <c:showVal val="0"/>
          <c:showCatName val="0"/>
          <c:showSerName val="0"/>
          <c:showPercent val="0"/>
          <c:showBubbleSize val="0"/>
        </c:dLbls>
        <c:axId val="36186368"/>
        <c:axId val="36193024"/>
      </c:scatterChart>
      <c:valAx>
        <c:axId val="36186368"/>
        <c:scaling>
          <c:orientation val="minMax"/>
          <c:max val="1400"/>
          <c:min val="750"/>
        </c:scaling>
        <c:delete val="0"/>
        <c:axPos val="b"/>
        <c:majorGridlines>
          <c:spPr>
            <a:ln>
              <a:solidFill>
                <a:schemeClr val="bg1">
                  <a:lumMod val="65000"/>
                </a:schemeClr>
              </a:solidFill>
              <a:prstDash val="sysDash"/>
            </a:ln>
          </c:spPr>
        </c:majorGridlines>
        <c:title>
          <c:tx>
            <c:rich>
              <a:bodyPr/>
              <a:lstStyle/>
              <a:p>
                <a:pPr>
                  <a:defRPr/>
                </a:pPr>
                <a:r>
                  <a:rPr lang="en-US"/>
                  <a:t>Kernel Diamter (µm)</a:t>
                </a:r>
              </a:p>
            </c:rich>
          </c:tx>
          <c:layout/>
          <c:overlay val="0"/>
        </c:title>
        <c:numFmt formatCode="General" sourceLinked="1"/>
        <c:majorTickMark val="out"/>
        <c:minorTickMark val="none"/>
        <c:tickLblPos val="low"/>
        <c:crossAx val="36193024"/>
        <c:crosses val="autoZero"/>
        <c:crossBetween val="midCat"/>
        <c:majorUnit val="100"/>
      </c:valAx>
      <c:valAx>
        <c:axId val="36193024"/>
        <c:scaling>
          <c:orientation val="minMax"/>
        </c:scaling>
        <c:delete val="0"/>
        <c:axPos val="l"/>
        <c:majorGridlines>
          <c:spPr>
            <a:ln>
              <a:prstDash val="sysDash"/>
            </a:ln>
          </c:spPr>
        </c:majorGridlines>
        <c:title>
          <c:tx>
            <c:rich>
              <a:bodyPr rot="-5400000" vert="horz"/>
              <a:lstStyle/>
              <a:p>
                <a:pPr>
                  <a:defRPr/>
                </a:pPr>
                <a:r>
                  <a:rPr lang="en-US"/>
                  <a:t>Estimated EOC Net Core Reactivity (dk)</a:t>
                </a:r>
              </a:p>
            </c:rich>
          </c:tx>
          <c:layout/>
          <c:overlay val="0"/>
        </c:title>
        <c:numFmt formatCode="0.000" sourceLinked="1"/>
        <c:majorTickMark val="out"/>
        <c:minorTickMark val="none"/>
        <c:tickLblPos val="nextTo"/>
        <c:crossAx val="36186368"/>
        <c:crosses val="autoZero"/>
        <c:crossBetween val="midCat"/>
      </c:valAx>
      <c:spPr>
        <a:ln>
          <a:solidFill>
            <a:schemeClr val="tx1"/>
          </a:solidFill>
        </a:ln>
      </c:spPr>
    </c:plotArea>
    <c:legend>
      <c:legendPos val="r"/>
      <c:layout>
        <c:manualLayout>
          <c:xMode val="edge"/>
          <c:yMode val="edge"/>
          <c:x val="0.50533139307406405"/>
          <c:y val="0.63648661478575397"/>
          <c:w val="0.39422386151473299"/>
          <c:h val="0.172440332356355"/>
        </c:manualLayout>
      </c:layout>
      <c:overlay val="0"/>
      <c:spPr>
        <a:solidFill>
          <a:schemeClr val="bg1"/>
        </a:solidFill>
        <a:ln>
          <a:solidFill>
            <a:schemeClr val="tx1"/>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sz="10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681068712564801"/>
          <c:y val="3.7908759550153701E-2"/>
          <c:w val="0.82259068577966199"/>
          <c:h val="0.82925575139406504"/>
        </c:manualLayout>
      </c:layout>
      <c:scatterChart>
        <c:scatterStyle val="lineMarker"/>
        <c:varyColors val="0"/>
        <c:ser>
          <c:idx val="5"/>
          <c:order val="0"/>
          <c:tx>
            <c:strRef>
              <c:f>'Initial Fissile Inventory'!$P$23</c:f>
              <c:strCache>
                <c:ptCount val="1"/>
                <c:pt idx="0">
                  <c:v>PF=50%   BL=50  µm    KD=1000 µm</c:v>
                </c:pt>
              </c:strCache>
            </c:strRef>
          </c:tx>
          <c:spPr>
            <a:ln w="28575">
              <a:noFill/>
            </a:ln>
          </c:spPr>
          <c:xVal>
            <c:numRef>
              <c:f>'Initial Fissile Inventory'!$P$24</c:f>
              <c:numCache>
                <c:formatCode>General</c:formatCode>
                <c:ptCount val="1"/>
                <c:pt idx="0">
                  <c:v>125.79007922132141</c:v>
                </c:pt>
              </c:numCache>
            </c:numRef>
          </c:xVal>
          <c:yVal>
            <c:numRef>
              <c:f>'Initial Fissile Inventory'!$P$25</c:f>
              <c:numCache>
                <c:formatCode>General</c:formatCode>
                <c:ptCount val="1"/>
                <c:pt idx="0">
                  <c:v>8.30013268464177E-2</c:v>
                </c:pt>
              </c:numCache>
            </c:numRef>
          </c:yVal>
          <c:smooth val="0"/>
        </c:ser>
        <c:ser>
          <c:idx val="0"/>
          <c:order val="1"/>
          <c:tx>
            <c:strRef>
              <c:f>'Initial Fissile Inventory'!$N$23</c:f>
              <c:strCache>
                <c:ptCount val="1"/>
                <c:pt idx="0">
                  <c:v>PF=50%   BL=100 µm   KD=1200 µm</c:v>
                </c:pt>
              </c:strCache>
            </c:strRef>
          </c:tx>
          <c:spPr>
            <a:ln w="28575">
              <a:noFill/>
            </a:ln>
          </c:spPr>
          <c:xVal>
            <c:numRef>
              <c:f>'Initial Fissile Inventory'!$N$24</c:f>
              <c:numCache>
                <c:formatCode>General</c:formatCode>
                <c:ptCount val="1"/>
                <c:pt idx="0">
                  <c:v>117.5890492004288</c:v>
                </c:pt>
              </c:numCache>
            </c:numRef>
          </c:xVal>
          <c:yVal>
            <c:numRef>
              <c:f>'Initial Fissile Inventory'!$N$25</c:f>
              <c:numCache>
                <c:formatCode>General</c:formatCode>
                <c:ptCount val="1"/>
                <c:pt idx="0">
                  <c:v>4.5629696145278703E-2</c:v>
                </c:pt>
              </c:numCache>
            </c:numRef>
          </c:yVal>
          <c:smooth val="0"/>
        </c:ser>
        <c:ser>
          <c:idx val="1"/>
          <c:order val="2"/>
          <c:tx>
            <c:strRef>
              <c:f>'Initial Fissile Inventory'!$I$23</c:f>
              <c:strCache>
                <c:ptCount val="1"/>
                <c:pt idx="0">
                  <c:v>PF=45%   BL=100 µm   KD=1350 µm</c:v>
                </c:pt>
              </c:strCache>
            </c:strRef>
          </c:tx>
          <c:spPr>
            <a:ln w="28575">
              <a:noFill/>
            </a:ln>
          </c:spPr>
          <c:xVal>
            <c:numRef>
              <c:f>'Initial Fissile Inventory'!$I$24</c:f>
              <c:numCache>
                <c:formatCode>General</c:formatCode>
                <c:ptCount val="1"/>
                <c:pt idx="0">
                  <c:v>115.5293154725405</c:v>
                </c:pt>
              </c:numCache>
            </c:numRef>
          </c:xVal>
          <c:yVal>
            <c:numRef>
              <c:f>'Initial Fissile Inventory'!$I$25</c:f>
              <c:numCache>
                <c:formatCode>General</c:formatCode>
                <c:ptCount val="1"/>
                <c:pt idx="0">
                  <c:v>3.3589516331131601E-2</c:v>
                </c:pt>
              </c:numCache>
            </c:numRef>
          </c:yVal>
          <c:smooth val="0"/>
        </c:ser>
        <c:ser>
          <c:idx val="2"/>
          <c:order val="3"/>
          <c:tx>
            <c:strRef>
              <c:f>'Initial Fissile Inventory'!$K$23</c:f>
              <c:strCache>
                <c:ptCount val="1"/>
                <c:pt idx="0">
                  <c:v>PF=45%   BL=50 µm     KD=1000 µm</c:v>
                </c:pt>
              </c:strCache>
            </c:strRef>
          </c:tx>
          <c:spPr>
            <a:ln w="28575">
              <a:noFill/>
            </a:ln>
          </c:spPr>
          <c:xVal>
            <c:numRef>
              <c:f>'Initial Fissile Inventory'!$K$24</c:f>
              <c:numCache>
                <c:formatCode>General</c:formatCode>
                <c:ptCount val="1"/>
                <c:pt idx="0">
                  <c:v>113.2110712991891</c:v>
                </c:pt>
              </c:numCache>
            </c:numRef>
          </c:xVal>
          <c:yVal>
            <c:numRef>
              <c:f>'Initial Fissile Inventory'!$K$25</c:f>
              <c:numCache>
                <c:formatCode>General</c:formatCode>
                <c:ptCount val="1"/>
                <c:pt idx="0">
                  <c:v>1.9909278939746099E-2</c:v>
                </c:pt>
              </c:numCache>
            </c:numRef>
          </c:yVal>
          <c:smooth val="0"/>
        </c:ser>
        <c:ser>
          <c:idx val="3"/>
          <c:order val="4"/>
          <c:tx>
            <c:strRef>
              <c:f>'Initial Fissile Inventory'!$O$23</c:f>
              <c:strCache>
                <c:ptCount val="1"/>
                <c:pt idx="0">
                  <c:v>PF=50%   BL=50 µm     KD=800 µm</c:v>
                </c:pt>
              </c:strCache>
            </c:strRef>
          </c:tx>
          <c:spPr>
            <a:ln w="28575">
              <a:noFill/>
            </a:ln>
          </c:spPr>
          <c:xVal>
            <c:numRef>
              <c:f>'Initial Fissile Inventory'!$O$24</c:f>
              <c:numCache>
                <c:formatCode>General</c:formatCode>
                <c:ptCount val="1"/>
                <c:pt idx="0">
                  <c:v>105.43482395280751</c:v>
                </c:pt>
              </c:numCache>
            </c:numRef>
          </c:xVal>
          <c:yVal>
            <c:numRef>
              <c:f>'Initial Fissile Inventory'!$O$25</c:f>
              <c:numCache>
                <c:formatCode>General</c:formatCode>
                <c:ptCount val="1"/>
                <c:pt idx="0">
                  <c:v>-3.2666296970228402E-2</c:v>
                </c:pt>
              </c:numCache>
            </c:numRef>
          </c:yVal>
          <c:smooth val="0"/>
        </c:ser>
        <c:ser>
          <c:idx val="4"/>
          <c:order val="5"/>
          <c:tx>
            <c:strRef>
              <c:f>'Initial Fissile Inventory'!$M$23</c:f>
              <c:strCache>
                <c:ptCount val="1"/>
                <c:pt idx="0">
                  <c:v>PF=50%   BL=100 µm   KD=1000 µm</c:v>
                </c:pt>
              </c:strCache>
            </c:strRef>
          </c:tx>
          <c:spPr>
            <a:ln w="28575">
              <a:noFill/>
            </a:ln>
          </c:spPr>
          <c:xVal>
            <c:numRef>
              <c:f>'Initial Fissile Inventory'!$M$24</c:f>
              <c:numCache>
                <c:formatCode>General</c:formatCode>
                <c:ptCount val="1"/>
                <c:pt idx="0">
                  <c:v>101.04228318160941</c:v>
                </c:pt>
              </c:numCache>
            </c:numRef>
          </c:xVal>
          <c:yVal>
            <c:numRef>
              <c:f>'Initial Fissile Inventory'!$M$25</c:f>
              <c:numCache>
                <c:formatCode>General</c:formatCode>
                <c:ptCount val="1"/>
                <c:pt idx="0">
                  <c:v>-7.1162268342769897E-2</c:v>
                </c:pt>
              </c:numCache>
            </c:numRef>
          </c:yVal>
          <c:smooth val="0"/>
        </c:ser>
        <c:ser>
          <c:idx val="6"/>
          <c:order val="6"/>
          <c:tx>
            <c:strRef>
              <c:f>'Initial Fissile Inventory'!$J$23</c:f>
              <c:strCache>
                <c:ptCount val="1"/>
                <c:pt idx="0">
                  <c:v>PF=45%   BL=50 µm     KD=800 µm</c:v>
                </c:pt>
              </c:strCache>
            </c:strRef>
          </c:tx>
          <c:spPr>
            <a:ln w="28575">
              <a:noFill/>
            </a:ln>
          </c:spPr>
          <c:xVal>
            <c:numRef>
              <c:f>'Initial Fissile Inventory'!$J$24</c:f>
              <c:numCache>
                <c:formatCode>General</c:formatCode>
                <c:ptCount val="1"/>
                <c:pt idx="0">
                  <c:v>94.891341557526545</c:v>
                </c:pt>
              </c:numCache>
            </c:numRef>
          </c:xVal>
          <c:yVal>
            <c:numRef>
              <c:f>'Initial Fissile Inventory'!$J$25</c:f>
              <c:numCache>
                <c:formatCode>General</c:formatCode>
                <c:ptCount val="1"/>
                <c:pt idx="0">
                  <c:v>-0.12831989959530399</c:v>
                </c:pt>
              </c:numCache>
            </c:numRef>
          </c:yVal>
          <c:smooth val="0"/>
        </c:ser>
        <c:ser>
          <c:idx val="7"/>
          <c:order val="7"/>
          <c:tx>
            <c:strRef>
              <c:f>'Initial Fissile Inventory'!$H$23</c:f>
              <c:strCache>
                <c:ptCount val="1"/>
                <c:pt idx="0">
                  <c:v>PF=45%   BL=100 µm   KD=1000 µm</c:v>
                </c:pt>
              </c:strCache>
            </c:strRef>
          </c:tx>
          <c:spPr>
            <a:ln w="28575">
              <a:noFill/>
            </a:ln>
          </c:spPr>
          <c:xVal>
            <c:numRef>
              <c:f>'Initial Fissile Inventory'!$H$24</c:f>
              <c:numCache>
                <c:formatCode>General</c:formatCode>
                <c:ptCount val="1"/>
                <c:pt idx="0">
                  <c:v>90.9380548634484</c:v>
                </c:pt>
              </c:numCache>
            </c:numRef>
          </c:xVal>
          <c:yVal>
            <c:numRef>
              <c:f>'Initial Fissile Inventory'!$H$25</c:f>
              <c:numCache>
                <c:formatCode>General</c:formatCode>
                <c:ptCount val="1"/>
                <c:pt idx="0">
                  <c:v>-0.17210333608273801</c:v>
                </c:pt>
              </c:numCache>
            </c:numRef>
          </c:yVal>
          <c:smooth val="0"/>
        </c:ser>
        <c:ser>
          <c:idx val="8"/>
          <c:order val="8"/>
          <c:tx>
            <c:strRef>
              <c:f>'Initial Fissile Inventory'!$L$23</c:f>
              <c:strCache>
                <c:ptCount val="1"/>
                <c:pt idx="0">
                  <c:v>PF=50%   BL=100 µm   KD=800 µm</c:v>
                </c:pt>
              </c:strCache>
            </c:strRef>
          </c:tx>
          <c:spPr>
            <a:ln w="28575">
              <a:noFill/>
            </a:ln>
          </c:spPr>
          <c:xVal>
            <c:numRef>
              <c:f>'Initial Fissile Inventory'!$L$24</c:f>
              <c:numCache>
                <c:formatCode>General</c:formatCode>
                <c:ptCount val="1"/>
                <c:pt idx="0">
                  <c:v>81.575295039215803</c:v>
                </c:pt>
              </c:numCache>
            </c:numRef>
          </c:xVal>
          <c:yVal>
            <c:numRef>
              <c:f>'Initial Fissile Inventory'!$L$25</c:f>
              <c:numCache>
                <c:formatCode>General</c:formatCode>
                <c:ptCount val="1"/>
                <c:pt idx="0">
                  <c:v>-0.25710765371349698</c:v>
                </c:pt>
              </c:numCache>
            </c:numRef>
          </c:yVal>
          <c:smooth val="0"/>
        </c:ser>
        <c:ser>
          <c:idx val="9"/>
          <c:order val="9"/>
          <c:tx>
            <c:strRef>
              <c:f>'Initial Fissile Inventory'!$G$23</c:f>
              <c:strCache>
                <c:ptCount val="1"/>
                <c:pt idx="0">
                  <c:v>PF=45%   BL=100 µm   KD=800 µm</c:v>
                </c:pt>
              </c:strCache>
            </c:strRef>
          </c:tx>
          <c:spPr>
            <a:ln w="28575">
              <a:noFill/>
            </a:ln>
          </c:spPr>
          <c:xVal>
            <c:numRef>
              <c:f>'Initial Fissile Inventory'!$G$24</c:f>
              <c:numCache>
                <c:formatCode>General</c:formatCode>
                <c:ptCount val="1"/>
                <c:pt idx="0">
                  <c:v>73.417765535294222</c:v>
                </c:pt>
              </c:numCache>
            </c:numRef>
          </c:xVal>
          <c:yVal>
            <c:numRef>
              <c:f>'Initial Fissile Inventory'!$G$25</c:f>
              <c:numCache>
                <c:formatCode>General</c:formatCode>
                <c:ptCount val="1"/>
                <c:pt idx="0">
                  <c:v>-0.31849803251457098</c:v>
                </c:pt>
              </c:numCache>
            </c:numRef>
          </c:yVal>
          <c:smooth val="0"/>
        </c:ser>
        <c:ser>
          <c:idx val="10"/>
          <c:order val="10"/>
          <c:spPr>
            <a:ln w="28575">
              <a:solidFill>
                <a:sysClr val="windowText" lastClr="000000"/>
              </a:solidFill>
            </a:ln>
          </c:spPr>
          <c:marker>
            <c:symbol val="square"/>
            <c:size val="5"/>
            <c:spPr>
              <a:blipFill>
                <a:blip xmlns:r="http://schemas.openxmlformats.org/officeDocument/2006/relationships" r:embed="rId1"/>
                <a:stretch>
                  <a:fillRect/>
                </a:stretch>
              </a:blipFill>
              <a:ln w="9525">
                <a:noFill/>
              </a:ln>
            </c:spPr>
          </c:marker>
          <c:dPt>
            <c:idx val="1"/>
            <c:bubble3D val="0"/>
          </c:dPt>
          <c:xVal>
            <c:numRef>
              <c:f>'Initial Fissile Inventory'!$G$27:$G$28</c:f>
              <c:numCache>
                <c:formatCode>General</c:formatCode>
                <c:ptCount val="2"/>
                <c:pt idx="0">
                  <c:v>60</c:v>
                </c:pt>
                <c:pt idx="1">
                  <c:v>140</c:v>
                </c:pt>
              </c:numCache>
            </c:numRef>
          </c:xVal>
          <c:yVal>
            <c:numRef>
              <c:f>'Initial Fissile Inventory'!$H$27:$H$28</c:f>
              <c:numCache>
                <c:formatCode>General</c:formatCode>
                <c:ptCount val="2"/>
                <c:pt idx="0">
                  <c:v>0</c:v>
                </c:pt>
                <c:pt idx="1">
                  <c:v>0</c:v>
                </c:pt>
              </c:numCache>
            </c:numRef>
          </c:yVal>
          <c:smooth val="0"/>
        </c:ser>
        <c:dLbls>
          <c:showLegendKey val="0"/>
          <c:showVal val="0"/>
          <c:showCatName val="0"/>
          <c:showSerName val="0"/>
          <c:showPercent val="0"/>
          <c:showBubbleSize val="0"/>
        </c:dLbls>
        <c:axId val="113643904"/>
        <c:axId val="113646208"/>
      </c:scatterChart>
      <c:valAx>
        <c:axId val="113643904"/>
        <c:scaling>
          <c:orientation val="minMax"/>
          <c:max val="130"/>
          <c:min val="70"/>
        </c:scaling>
        <c:delete val="0"/>
        <c:axPos val="b"/>
        <c:majorGridlines/>
        <c:title>
          <c:tx>
            <c:rich>
              <a:bodyPr/>
              <a:lstStyle/>
              <a:p>
                <a:pPr>
                  <a:defRPr/>
                </a:pPr>
                <a:r>
                  <a:rPr lang="en-US"/>
                  <a:t>Initial Fissile Inventory (%) of Conventional Fuel</a:t>
                </a:r>
              </a:p>
            </c:rich>
          </c:tx>
          <c:layout/>
          <c:overlay val="0"/>
        </c:title>
        <c:numFmt formatCode="General" sourceLinked="1"/>
        <c:majorTickMark val="out"/>
        <c:minorTickMark val="none"/>
        <c:tickLblPos val="low"/>
        <c:crossAx val="113646208"/>
        <c:crosses val="autoZero"/>
        <c:crossBetween val="midCat"/>
        <c:majorUnit val="5"/>
      </c:valAx>
      <c:valAx>
        <c:axId val="113646208"/>
        <c:scaling>
          <c:orientation val="minMax"/>
        </c:scaling>
        <c:delete val="0"/>
        <c:axPos val="l"/>
        <c:majorGridlines/>
        <c:title>
          <c:tx>
            <c:rich>
              <a:bodyPr rot="-5400000" vert="horz"/>
              <a:lstStyle/>
              <a:p>
                <a:pPr>
                  <a:defRPr/>
                </a:pPr>
                <a:r>
                  <a:rPr lang="en-US"/>
                  <a:t>Estimated EOC Net Core Reactivity (</a:t>
                </a:r>
                <a:r>
                  <a:rPr lang="el-GR"/>
                  <a:t>Δ</a:t>
                </a:r>
                <a:r>
                  <a:rPr lang="en-US"/>
                  <a:t>k)</a:t>
                </a:r>
              </a:p>
            </c:rich>
          </c:tx>
          <c:layout/>
          <c:overlay val="0"/>
        </c:title>
        <c:numFmt formatCode="#,##0.00" sourceLinked="0"/>
        <c:majorTickMark val="out"/>
        <c:minorTickMark val="none"/>
        <c:tickLblPos val="nextTo"/>
        <c:crossAx val="113643904"/>
        <c:crosses val="autoZero"/>
        <c:crossBetween val="midCat"/>
      </c:valAx>
      <c:spPr>
        <a:ln>
          <a:solidFill>
            <a:sysClr val="windowText" lastClr="000000"/>
          </a:solidFill>
        </a:ln>
      </c:spPr>
    </c:plotArea>
    <c:plotVisOnly val="1"/>
    <c:dispBlanksAs val="gap"/>
    <c:showDLblsOverMax val="0"/>
  </c:chart>
  <c:spPr>
    <a:ln>
      <a:solidFill>
        <a:schemeClr val="bg1"/>
      </a:solidFill>
    </a:ln>
  </c:spPr>
  <c:txPr>
    <a:bodyPr/>
    <a:lstStyle/>
    <a:p>
      <a:pPr>
        <a:defRPr sz="1050">
          <a:solidFill>
            <a:sysClr val="windowText" lastClr="000000"/>
          </a:solidFill>
          <a:latin typeface="Times New Roman" panose="02020603050405020304" pitchFamily="18" charset="0"/>
          <a:cs typeface="Times New Roman" panose="02020603050405020304" pitchFamily="18" charset="0"/>
        </a:defRPr>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4798487229898"/>
          <c:y val="4.9383498098219902E-2"/>
          <c:w val="0.79190736208843604"/>
          <c:h val="0.77500622403600605"/>
        </c:manualLayout>
      </c:layout>
      <c:scatterChart>
        <c:scatterStyle val="lineMarker"/>
        <c:varyColors val="0"/>
        <c:ser>
          <c:idx val="0"/>
          <c:order val="0"/>
          <c:tx>
            <c:v>310SS</c:v>
          </c:tx>
          <c:spPr>
            <a:ln w="28575">
              <a:noFill/>
            </a:ln>
          </c:spPr>
          <c:marker>
            <c:symbol val="diamond"/>
            <c:size val="5"/>
            <c:spPr>
              <a:solidFill>
                <a:srgbClr val="FF0000"/>
              </a:solidFill>
              <a:ln>
                <a:solidFill>
                  <a:srgbClr val="FF0000"/>
                </a:solidFill>
              </a:ln>
            </c:spPr>
          </c:marker>
          <c:trendline>
            <c:spPr>
              <a:ln w="28575">
                <a:solidFill>
                  <a:srgbClr val="FF0000"/>
                </a:solidFill>
                <a:prstDash val="sysDash"/>
              </a:ln>
            </c:spPr>
            <c:trendlineType val="linear"/>
            <c:dispRSqr val="0"/>
            <c:dispEq val="0"/>
          </c:trendline>
          <c:xVal>
            <c:numRef>
              <c:f>[3]InterpolateMe2!$K$7:$K$9</c:f>
              <c:numCache>
                <c:formatCode>General</c:formatCode>
                <c:ptCount val="3"/>
                <c:pt idx="0">
                  <c:v>226.3</c:v>
                </c:pt>
                <c:pt idx="1">
                  <c:v>350</c:v>
                </c:pt>
                <c:pt idx="2">
                  <c:v>571.5</c:v>
                </c:pt>
              </c:numCache>
            </c:numRef>
          </c:xVal>
          <c:yVal>
            <c:numRef>
              <c:f>[3]InterpolateMe2!$L$7:$L$9</c:f>
              <c:numCache>
                <c:formatCode>General</c:formatCode>
                <c:ptCount val="3"/>
                <c:pt idx="0">
                  <c:v>4.9000000000000004</c:v>
                </c:pt>
                <c:pt idx="1">
                  <c:v>5.3869999999999996</c:v>
                </c:pt>
                <c:pt idx="2">
                  <c:v>6.375</c:v>
                </c:pt>
              </c:numCache>
            </c:numRef>
          </c:yVal>
          <c:smooth val="0"/>
        </c:ser>
        <c:ser>
          <c:idx val="1"/>
          <c:order val="1"/>
          <c:tx>
            <c:v>FeCrAl</c:v>
          </c:tx>
          <c:spPr>
            <a:ln w="28575">
              <a:noFill/>
            </a:ln>
          </c:spPr>
          <c:marker>
            <c:symbol val="square"/>
            <c:size val="5"/>
            <c:spPr>
              <a:solidFill>
                <a:srgbClr val="002060"/>
              </a:solidFill>
              <a:ln>
                <a:solidFill>
                  <a:srgbClr val="002060"/>
                </a:solidFill>
              </a:ln>
            </c:spPr>
          </c:marker>
          <c:trendline>
            <c:spPr>
              <a:ln w="28575">
                <a:solidFill>
                  <a:srgbClr val="002060"/>
                </a:solidFill>
                <a:prstDash val="sysDash"/>
              </a:ln>
            </c:spPr>
            <c:trendlineType val="linear"/>
            <c:dispRSqr val="0"/>
            <c:dispEq val="0"/>
          </c:trendline>
          <c:xVal>
            <c:numRef>
              <c:f>[3]InterpolateMe2!$M$7:$M$9</c:f>
              <c:numCache>
                <c:formatCode>General</c:formatCode>
                <c:ptCount val="3"/>
                <c:pt idx="0">
                  <c:v>302.2</c:v>
                </c:pt>
                <c:pt idx="1">
                  <c:v>350</c:v>
                </c:pt>
                <c:pt idx="2">
                  <c:v>571.5</c:v>
                </c:pt>
              </c:numCache>
            </c:numRef>
          </c:xVal>
          <c:yVal>
            <c:numRef>
              <c:f>[3]InterpolateMe2!$N$7:$N$9</c:f>
              <c:numCache>
                <c:formatCode>General</c:formatCode>
                <c:ptCount val="3"/>
                <c:pt idx="0">
                  <c:v>4.9000000000000004</c:v>
                </c:pt>
                <c:pt idx="1">
                  <c:v>5.0629999999999979</c:v>
                </c:pt>
                <c:pt idx="2">
                  <c:v>5.8569999999999984</c:v>
                </c:pt>
              </c:numCache>
            </c:numRef>
          </c:yVal>
          <c:smooth val="0"/>
        </c:ser>
        <c:ser>
          <c:idx val="2"/>
          <c:order val="2"/>
          <c:tx>
            <c:strRef>
              <c:f>[3]InterpolateMe2!$O$5</c:f>
              <c:strCache>
                <c:ptCount val="1"/>
                <c:pt idx="0">
                  <c:v>SiC</c:v>
                </c:pt>
              </c:strCache>
            </c:strRef>
          </c:tx>
          <c:spPr>
            <a:ln w="25400">
              <a:noFill/>
            </a:ln>
          </c:spPr>
          <c:marker>
            <c:symbol val="triangle"/>
            <c:size val="5"/>
            <c:spPr>
              <a:solidFill>
                <a:schemeClr val="accent6"/>
              </a:solidFill>
              <a:ln>
                <a:solidFill>
                  <a:schemeClr val="accent6"/>
                </a:solidFill>
              </a:ln>
            </c:spPr>
          </c:marker>
          <c:trendline>
            <c:spPr>
              <a:ln w="28575">
                <a:solidFill>
                  <a:schemeClr val="accent6"/>
                </a:solidFill>
                <a:prstDash val="sysDash"/>
              </a:ln>
            </c:spPr>
            <c:trendlineType val="linear"/>
            <c:dispRSqr val="0"/>
            <c:dispEq val="0"/>
          </c:trendline>
          <c:xVal>
            <c:numRef>
              <c:f>[3]InterpolateMe2!$O$7:$O$9</c:f>
              <c:numCache>
                <c:formatCode>General</c:formatCode>
                <c:ptCount val="3"/>
                <c:pt idx="0">
                  <c:v>606.70000000000005</c:v>
                </c:pt>
                <c:pt idx="1">
                  <c:v>571.5</c:v>
                </c:pt>
                <c:pt idx="2">
                  <c:v>889</c:v>
                </c:pt>
              </c:numCache>
            </c:numRef>
          </c:xVal>
          <c:yVal>
            <c:numRef>
              <c:f>[3]InterpolateMe2!$P$7:$P$9</c:f>
              <c:numCache>
                <c:formatCode>General</c:formatCode>
                <c:ptCount val="3"/>
                <c:pt idx="0">
                  <c:v>4.9000000000000004</c:v>
                </c:pt>
                <c:pt idx="1">
                  <c:v>4.8090000000000002</c:v>
                </c:pt>
                <c:pt idx="2">
                  <c:v>5.5</c:v>
                </c:pt>
              </c:numCache>
            </c:numRef>
          </c:yVal>
          <c:smooth val="0"/>
        </c:ser>
        <c:ser>
          <c:idx val="3"/>
          <c:order val="3"/>
          <c:tx>
            <c:v>Zircaloy</c:v>
          </c:tx>
          <c:spPr>
            <a:ln w="25400">
              <a:noFill/>
            </a:ln>
          </c:spPr>
          <c:marker>
            <c:symbol val="square"/>
            <c:size val="7"/>
            <c:spPr>
              <a:solidFill>
                <a:srgbClr val="FFFF00"/>
              </a:solidFill>
              <a:ln>
                <a:solidFill>
                  <a:schemeClr val="accent3">
                    <a:lumMod val="50000"/>
                  </a:schemeClr>
                </a:solidFill>
              </a:ln>
            </c:spPr>
          </c:marker>
          <c:dPt>
            <c:idx val="0"/>
            <c:marker>
              <c:symbol val="square"/>
              <c:size val="5"/>
            </c:marker>
            <c:bubble3D val="0"/>
          </c:dPt>
          <c:xVal>
            <c:numRef>
              <c:f>[3]InterpolateMe2!$M$12</c:f>
              <c:numCache>
                <c:formatCode>General</c:formatCode>
                <c:ptCount val="1"/>
                <c:pt idx="0">
                  <c:v>571.5</c:v>
                </c:pt>
              </c:numCache>
            </c:numRef>
          </c:xVal>
          <c:yVal>
            <c:numRef>
              <c:f>[3]InterpolateMe2!$N$12</c:f>
              <c:numCache>
                <c:formatCode>General</c:formatCode>
                <c:ptCount val="1"/>
                <c:pt idx="0">
                  <c:v>4.9000000000000004</c:v>
                </c:pt>
              </c:numCache>
            </c:numRef>
          </c:yVal>
          <c:smooth val="0"/>
        </c:ser>
        <c:dLbls>
          <c:showLegendKey val="0"/>
          <c:showVal val="0"/>
          <c:showCatName val="0"/>
          <c:showSerName val="0"/>
          <c:showPercent val="0"/>
          <c:showBubbleSize val="0"/>
        </c:dLbls>
        <c:axId val="113691648"/>
        <c:axId val="113702400"/>
      </c:scatterChart>
      <c:valAx>
        <c:axId val="113691648"/>
        <c:scaling>
          <c:orientation val="minMax"/>
          <c:max val="900"/>
          <c:min val="200"/>
        </c:scaling>
        <c:delete val="0"/>
        <c:axPos val="b"/>
        <c:majorGridlines>
          <c:spPr>
            <a:ln>
              <a:solidFill>
                <a:schemeClr val="tx1">
                  <a:lumMod val="50000"/>
                  <a:lumOff val="50000"/>
                </a:schemeClr>
              </a:solidFill>
              <a:prstDash val="solid"/>
            </a:ln>
          </c:spPr>
        </c:majorGridlines>
        <c:title>
          <c:tx>
            <c:rich>
              <a:bodyPr/>
              <a:lstStyle/>
              <a:p>
                <a:pPr>
                  <a:defRPr/>
                </a:pPr>
                <a:r>
                  <a:rPr lang="en-US"/>
                  <a:t>Cladding Thickness (</a:t>
                </a:r>
                <a:r>
                  <a:rPr lang="el-GR"/>
                  <a:t>μ</a:t>
                </a:r>
                <a:r>
                  <a:rPr lang="en-US"/>
                  <a:t>m)</a:t>
                </a:r>
              </a:p>
            </c:rich>
          </c:tx>
          <c:layout/>
          <c:overlay val="0"/>
        </c:title>
        <c:numFmt formatCode="General" sourceLinked="1"/>
        <c:majorTickMark val="out"/>
        <c:minorTickMark val="none"/>
        <c:tickLblPos val="low"/>
        <c:spPr>
          <a:ln>
            <a:solidFill>
              <a:sysClr val="windowText" lastClr="000000"/>
            </a:solidFill>
          </a:ln>
        </c:spPr>
        <c:crossAx val="113702400"/>
        <c:crossesAt val="4.9000000000000004"/>
        <c:crossBetween val="midCat"/>
        <c:majorUnit val="100"/>
      </c:valAx>
      <c:valAx>
        <c:axId val="113702400"/>
        <c:scaling>
          <c:orientation val="minMax"/>
          <c:max val="6.4"/>
          <c:min val="4.8"/>
        </c:scaling>
        <c:delete val="0"/>
        <c:axPos val="l"/>
        <c:majorGridlines>
          <c:spPr>
            <a:ln>
              <a:solidFill>
                <a:schemeClr val="tx1">
                  <a:lumMod val="50000"/>
                  <a:lumOff val="50000"/>
                </a:schemeClr>
              </a:solidFill>
              <a:prstDash val="solid"/>
            </a:ln>
          </c:spPr>
        </c:majorGridlines>
        <c:minorGridlines>
          <c:spPr>
            <a:ln>
              <a:prstDash val="dash"/>
            </a:ln>
          </c:spPr>
        </c:minorGridlines>
        <c:title>
          <c:tx>
            <c:rich>
              <a:bodyPr rot="-5400000" vert="horz"/>
              <a:lstStyle/>
              <a:p>
                <a:pPr>
                  <a:defRPr/>
                </a:pPr>
                <a:r>
                  <a:rPr lang="en-US"/>
                  <a:t>Uranium Enrichment</a:t>
                </a:r>
              </a:p>
            </c:rich>
          </c:tx>
          <c:layout>
            <c:manualLayout>
              <c:xMode val="edge"/>
              <c:yMode val="edge"/>
              <c:x val="9.4828305579533999E-3"/>
              <c:y val="0.17438136037697699"/>
            </c:manualLayout>
          </c:layout>
          <c:overlay val="0"/>
        </c:title>
        <c:numFmt formatCode="#,##0.0" sourceLinked="0"/>
        <c:majorTickMark val="out"/>
        <c:minorTickMark val="none"/>
        <c:tickLblPos val="low"/>
        <c:spPr>
          <a:ln>
            <a:solidFill>
              <a:sysClr val="windowText" lastClr="000000"/>
            </a:solidFill>
          </a:ln>
        </c:spPr>
        <c:crossAx val="113691648"/>
        <c:crossesAt val="571.5"/>
        <c:crossBetween val="midCat"/>
        <c:majorUnit val="0.4"/>
      </c:valAx>
      <c:spPr>
        <a:ln>
          <a:solidFill>
            <a:sysClr val="windowText" lastClr="000000"/>
          </a:solidFill>
        </a:ln>
      </c:spPr>
    </c:plotArea>
    <c:legend>
      <c:legendPos val="r"/>
      <c:legendEntry>
        <c:idx val="4"/>
        <c:delete val="1"/>
      </c:legendEntry>
      <c:legendEntry>
        <c:idx val="5"/>
        <c:delete val="1"/>
      </c:legendEntry>
      <c:legendEntry>
        <c:idx val="6"/>
        <c:delete val="1"/>
      </c:legendEntry>
      <c:layout>
        <c:manualLayout>
          <c:xMode val="edge"/>
          <c:yMode val="edge"/>
          <c:x val="0.66735060212670105"/>
          <c:y val="2.64784095663931E-2"/>
          <c:w val="0.262825932027826"/>
          <c:h val="0.23739986366143601"/>
        </c:manualLayout>
      </c:layout>
      <c:overlay val="0"/>
      <c:spPr>
        <a:solidFill>
          <a:schemeClr val="bg1"/>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sz="1100"/>
              <a:t>(a)</a:t>
            </a:r>
          </a:p>
        </c:rich>
      </c:tx>
      <c:layout>
        <c:manualLayout>
          <c:xMode val="edge"/>
          <c:yMode val="edge"/>
          <c:x val="1.4770270445436E-3"/>
          <c:y val="3.89878449659812E-3"/>
        </c:manualLayout>
      </c:layout>
      <c:overlay val="1"/>
    </c:title>
    <c:autoTitleDeleted val="0"/>
    <c:plotArea>
      <c:layout>
        <c:manualLayout>
          <c:layoutTarget val="inner"/>
          <c:xMode val="edge"/>
          <c:yMode val="edge"/>
          <c:x val="0.124316407564439"/>
          <c:y val="0.146888009621195"/>
          <c:w val="0.83161316373914795"/>
          <c:h val="0.64954489520629499"/>
        </c:manualLayout>
      </c:layout>
      <c:scatterChart>
        <c:scatterStyle val="smoothMarker"/>
        <c:varyColors val="0"/>
        <c:ser>
          <c:idx val="0"/>
          <c:order val="0"/>
          <c:tx>
            <c:strRef>
              <c:f>Normalized!$B$2</c:f>
              <c:strCache>
                <c:ptCount val="1"/>
                <c:pt idx="0">
                  <c:v>FCM</c:v>
                </c:pt>
              </c:strCache>
            </c:strRef>
          </c:tx>
          <c:marker>
            <c:symbol val="none"/>
          </c:marker>
          <c:xVal>
            <c:numRef>
              <c:f>Normalized!$A$3:$A$240</c:f>
              <c:numCache>
                <c:formatCode>0.00E+00</c:formatCode>
                <c:ptCount val="238"/>
                <c:pt idx="0">
                  <c:v>20000000</c:v>
                </c:pt>
                <c:pt idx="1">
                  <c:v>17333000</c:v>
                </c:pt>
                <c:pt idx="2">
                  <c:v>15683000</c:v>
                </c:pt>
                <c:pt idx="3">
                  <c:v>14550000</c:v>
                </c:pt>
                <c:pt idx="4">
                  <c:v>13840000</c:v>
                </c:pt>
                <c:pt idx="5">
                  <c:v>12840000</c:v>
                </c:pt>
                <c:pt idx="6">
                  <c:v>10000000</c:v>
                </c:pt>
                <c:pt idx="7">
                  <c:v>8187300</c:v>
                </c:pt>
                <c:pt idx="8">
                  <c:v>6434000</c:v>
                </c:pt>
                <c:pt idx="9">
                  <c:v>4800000</c:v>
                </c:pt>
                <c:pt idx="10">
                  <c:v>4304000</c:v>
                </c:pt>
                <c:pt idx="11">
                  <c:v>3000000</c:v>
                </c:pt>
                <c:pt idx="12">
                  <c:v>2479000</c:v>
                </c:pt>
                <c:pt idx="13">
                  <c:v>2354000</c:v>
                </c:pt>
                <c:pt idx="14">
                  <c:v>1850000</c:v>
                </c:pt>
                <c:pt idx="15">
                  <c:v>1500000</c:v>
                </c:pt>
                <c:pt idx="16">
                  <c:v>1400000</c:v>
                </c:pt>
                <c:pt idx="17">
                  <c:v>1356000</c:v>
                </c:pt>
                <c:pt idx="18">
                  <c:v>1317000</c:v>
                </c:pt>
                <c:pt idx="19">
                  <c:v>1250000</c:v>
                </c:pt>
                <c:pt idx="20">
                  <c:v>1200000</c:v>
                </c:pt>
                <c:pt idx="21">
                  <c:v>1100000</c:v>
                </c:pt>
                <c:pt idx="22">
                  <c:v>1010000</c:v>
                </c:pt>
                <c:pt idx="23">
                  <c:v>920000</c:v>
                </c:pt>
                <c:pt idx="24">
                  <c:v>900000</c:v>
                </c:pt>
                <c:pt idx="25">
                  <c:v>875000</c:v>
                </c:pt>
                <c:pt idx="26">
                  <c:v>861100</c:v>
                </c:pt>
                <c:pt idx="27">
                  <c:v>820000</c:v>
                </c:pt>
                <c:pt idx="28">
                  <c:v>750000</c:v>
                </c:pt>
                <c:pt idx="29">
                  <c:v>679000</c:v>
                </c:pt>
                <c:pt idx="30">
                  <c:v>670000</c:v>
                </c:pt>
                <c:pt idx="31">
                  <c:v>600000</c:v>
                </c:pt>
                <c:pt idx="32">
                  <c:v>573000</c:v>
                </c:pt>
                <c:pt idx="33">
                  <c:v>550000</c:v>
                </c:pt>
                <c:pt idx="34">
                  <c:v>499520</c:v>
                </c:pt>
                <c:pt idx="35">
                  <c:v>470000</c:v>
                </c:pt>
                <c:pt idx="36">
                  <c:v>440000</c:v>
                </c:pt>
                <c:pt idx="37">
                  <c:v>420000</c:v>
                </c:pt>
                <c:pt idx="38">
                  <c:v>400000</c:v>
                </c:pt>
                <c:pt idx="39">
                  <c:v>330000</c:v>
                </c:pt>
                <c:pt idx="40">
                  <c:v>270000</c:v>
                </c:pt>
                <c:pt idx="41">
                  <c:v>200000</c:v>
                </c:pt>
                <c:pt idx="42">
                  <c:v>150000</c:v>
                </c:pt>
                <c:pt idx="43">
                  <c:v>128300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8030</c:v>
                </c:pt>
                <c:pt idx="59">
                  <c:v>6000</c:v>
                </c:pt>
                <c:pt idx="60">
                  <c:v>3900</c:v>
                </c:pt>
                <c:pt idx="61">
                  <c:v>3740</c:v>
                </c:pt>
                <c:pt idx="62">
                  <c:v>3000</c:v>
                </c:pt>
                <c:pt idx="63">
                  <c:v>2580</c:v>
                </c:pt>
                <c:pt idx="64">
                  <c:v>2290</c:v>
                </c:pt>
                <c:pt idx="65">
                  <c:v>2200</c:v>
                </c:pt>
                <c:pt idx="66">
                  <c:v>1800</c:v>
                </c:pt>
                <c:pt idx="67">
                  <c:v>1550</c:v>
                </c:pt>
                <c:pt idx="68">
                  <c:v>1500</c:v>
                </c:pt>
                <c:pt idx="69">
                  <c:v>1150</c:v>
                </c:pt>
                <c:pt idx="70">
                  <c:v>950</c:v>
                </c:pt>
                <c:pt idx="71">
                  <c:v>683</c:v>
                </c:pt>
                <c:pt idx="72">
                  <c:v>670</c:v>
                </c:pt>
                <c:pt idx="73">
                  <c:v>550</c:v>
                </c:pt>
                <c:pt idx="74">
                  <c:v>305</c:v>
                </c:pt>
                <c:pt idx="75">
                  <c:v>285</c:v>
                </c:pt>
                <c:pt idx="76">
                  <c:v>240</c:v>
                </c:pt>
                <c:pt idx="77">
                  <c:v>210</c:v>
                </c:pt>
                <c:pt idx="78">
                  <c:v>207.5</c:v>
                </c:pt>
                <c:pt idx="79">
                  <c:v>192.5</c:v>
                </c:pt>
                <c:pt idx="80">
                  <c:v>186</c:v>
                </c:pt>
                <c:pt idx="81">
                  <c:v>122</c:v>
                </c:pt>
                <c:pt idx="82">
                  <c:v>119</c:v>
                </c:pt>
                <c:pt idx="83">
                  <c:v>115</c:v>
                </c:pt>
                <c:pt idx="84">
                  <c:v>108</c:v>
                </c:pt>
                <c:pt idx="85">
                  <c:v>100</c:v>
                </c:pt>
                <c:pt idx="86">
                  <c:v>90</c:v>
                </c:pt>
                <c:pt idx="87">
                  <c:v>82</c:v>
                </c:pt>
                <c:pt idx="88">
                  <c:v>80</c:v>
                </c:pt>
                <c:pt idx="89">
                  <c:v>76</c:v>
                </c:pt>
                <c:pt idx="90">
                  <c:v>72</c:v>
                </c:pt>
                <c:pt idx="91">
                  <c:v>67.5</c:v>
                </c:pt>
                <c:pt idx="92">
                  <c:v>65</c:v>
                </c:pt>
                <c:pt idx="93">
                  <c:v>61</c:v>
                </c:pt>
                <c:pt idx="94">
                  <c:v>59</c:v>
                </c:pt>
                <c:pt idx="95">
                  <c:v>53.4</c:v>
                </c:pt>
                <c:pt idx="96">
                  <c:v>52</c:v>
                </c:pt>
                <c:pt idx="97">
                  <c:v>50.6</c:v>
                </c:pt>
                <c:pt idx="98">
                  <c:v>49.2</c:v>
                </c:pt>
                <c:pt idx="99">
                  <c:v>48.3</c:v>
                </c:pt>
                <c:pt idx="100">
                  <c:v>47</c:v>
                </c:pt>
                <c:pt idx="101">
                  <c:v>45.2</c:v>
                </c:pt>
                <c:pt idx="102">
                  <c:v>44</c:v>
                </c:pt>
                <c:pt idx="103">
                  <c:v>42.4</c:v>
                </c:pt>
                <c:pt idx="104">
                  <c:v>41</c:v>
                </c:pt>
                <c:pt idx="105">
                  <c:v>39.6</c:v>
                </c:pt>
                <c:pt idx="106">
                  <c:v>39.1</c:v>
                </c:pt>
                <c:pt idx="107">
                  <c:v>38</c:v>
                </c:pt>
                <c:pt idx="108">
                  <c:v>37</c:v>
                </c:pt>
                <c:pt idx="109">
                  <c:v>35.5</c:v>
                </c:pt>
                <c:pt idx="110">
                  <c:v>34.6</c:v>
                </c:pt>
                <c:pt idx="111">
                  <c:v>33.75</c:v>
                </c:pt>
                <c:pt idx="112">
                  <c:v>33.25</c:v>
                </c:pt>
                <c:pt idx="113">
                  <c:v>31.75</c:v>
                </c:pt>
                <c:pt idx="114">
                  <c:v>31.25</c:v>
                </c:pt>
                <c:pt idx="115">
                  <c:v>30</c:v>
                </c:pt>
                <c:pt idx="116">
                  <c:v>27.5</c:v>
                </c:pt>
                <c:pt idx="117">
                  <c:v>25</c:v>
                </c:pt>
                <c:pt idx="118">
                  <c:v>22.5</c:v>
                </c:pt>
                <c:pt idx="119">
                  <c:v>21</c:v>
                </c:pt>
                <c:pt idx="120">
                  <c:v>20</c:v>
                </c:pt>
                <c:pt idx="121">
                  <c:v>19</c:v>
                </c:pt>
                <c:pt idx="122">
                  <c:v>18.5</c:v>
                </c:pt>
                <c:pt idx="123">
                  <c:v>17</c:v>
                </c:pt>
                <c:pt idx="124">
                  <c:v>16</c:v>
                </c:pt>
                <c:pt idx="125">
                  <c:v>15.0999</c:v>
                </c:pt>
                <c:pt idx="126">
                  <c:v>14.4</c:v>
                </c:pt>
                <c:pt idx="127">
                  <c:v>13.75</c:v>
                </c:pt>
                <c:pt idx="128">
                  <c:v>12.9</c:v>
                </c:pt>
                <c:pt idx="129">
                  <c:v>11.9</c:v>
                </c:pt>
                <c:pt idx="130">
                  <c:v>11.5</c:v>
                </c:pt>
                <c:pt idx="131">
                  <c:v>10</c:v>
                </c:pt>
                <c:pt idx="132">
                  <c:v>9.09999</c:v>
                </c:pt>
                <c:pt idx="133">
                  <c:v>8.09999</c:v>
                </c:pt>
                <c:pt idx="134">
                  <c:v>7.1499999999999986</c:v>
                </c:pt>
                <c:pt idx="135">
                  <c:v>7</c:v>
                </c:pt>
                <c:pt idx="136">
                  <c:v>6.75</c:v>
                </c:pt>
                <c:pt idx="137">
                  <c:v>6.5</c:v>
                </c:pt>
                <c:pt idx="138">
                  <c:v>6.25</c:v>
                </c:pt>
                <c:pt idx="139">
                  <c:v>6</c:v>
                </c:pt>
                <c:pt idx="140">
                  <c:v>5.4</c:v>
                </c:pt>
                <c:pt idx="141">
                  <c:v>5</c:v>
                </c:pt>
                <c:pt idx="142">
                  <c:v>4.75</c:v>
                </c:pt>
                <c:pt idx="143">
                  <c:v>4</c:v>
                </c:pt>
                <c:pt idx="144">
                  <c:v>3.73</c:v>
                </c:pt>
                <c:pt idx="145">
                  <c:v>3.5</c:v>
                </c:pt>
                <c:pt idx="146">
                  <c:v>3.15</c:v>
                </c:pt>
                <c:pt idx="147">
                  <c:v>3.0499900000000002</c:v>
                </c:pt>
                <c:pt idx="148">
                  <c:v>3</c:v>
                </c:pt>
                <c:pt idx="149">
                  <c:v>2.9699900000000001</c:v>
                </c:pt>
                <c:pt idx="150">
                  <c:v>2.87</c:v>
                </c:pt>
                <c:pt idx="151">
                  <c:v>2.77</c:v>
                </c:pt>
                <c:pt idx="152">
                  <c:v>2.6699899999999999</c:v>
                </c:pt>
                <c:pt idx="153">
                  <c:v>2.57</c:v>
                </c:pt>
                <c:pt idx="154">
                  <c:v>2.4699900000000001</c:v>
                </c:pt>
                <c:pt idx="155">
                  <c:v>2.3799899999999981</c:v>
                </c:pt>
                <c:pt idx="156">
                  <c:v>2.2999900000000002</c:v>
                </c:pt>
                <c:pt idx="157">
                  <c:v>2.2099899999999999</c:v>
                </c:pt>
                <c:pt idx="158">
                  <c:v>2.12</c:v>
                </c:pt>
                <c:pt idx="159">
                  <c:v>2</c:v>
                </c:pt>
                <c:pt idx="160">
                  <c:v>1.94</c:v>
                </c:pt>
                <c:pt idx="161">
                  <c:v>1.86</c:v>
                </c:pt>
                <c:pt idx="162">
                  <c:v>1.77</c:v>
                </c:pt>
                <c:pt idx="163">
                  <c:v>1.6799900000000001</c:v>
                </c:pt>
                <c:pt idx="164">
                  <c:v>1.58999</c:v>
                </c:pt>
                <c:pt idx="165">
                  <c:v>1.5</c:v>
                </c:pt>
                <c:pt idx="166">
                  <c:v>1.45</c:v>
                </c:pt>
                <c:pt idx="167">
                  <c:v>1.4</c:v>
                </c:pt>
                <c:pt idx="168">
                  <c:v>1.34999</c:v>
                </c:pt>
                <c:pt idx="169">
                  <c:v>1.29999</c:v>
                </c:pt>
                <c:pt idx="170">
                  <c:v>1.25</c:v>
                </c:pt>
                <c:pt idx="171">
                  <c:v>1.22499</c:v>
                </c:pt>
                <c:pt idx="172">
                  <c:v>1.2</c:v>
                </c:pt>
                <c:pt idx="173">
                  <c:v>1.17499</c:v>
                </c:pt>
                <c:pt idx="174">
                  <c:v>1.1499999999999999</c:v>
                </c:pt>
                <c:pt idx="175">
                  <c:v>1.1399900000000001</c:v>
                </c:pt>
                <c:pt idx="176">
                  <c:v>1.12999</c:v>
                </c:pt>
                <c:pt idx="177">
                  <c:v>1.1200000000000001</c:v>
                </c:pt>
                <c:pt idx="178">
                  <c:v>1.1100000000000001</c:v>
                </c:pt>
                <c:pt idx="179">
                  <c:v>1.09999</c:v>
                </c:pt>
                <c:pt idx="180">
                  <c:v>1.08999</c:v>
                </c:pt>
                <c:pt idx="181">
                  <c:v>1.08</c:v>
                </c:pt>
                <c:pt idx="182">
                  <c:v>1.07</c:v>
                </c:pt>
                <c:pt idx="183">
                  <c:v>1.05999</c:v>
                </c:pt>
                <c:pt idx="184">
                  <c:v>1.04999</c:v>
                </c:pt>
                <c:pt idx="185">
                  <c:v>1.04</c:v>
                </c:pt>
                <c:pt idx="186">
                  <c:v>1.03</c:v>
                </c:pt>
                <c:pt idx="187">
                  <c:v>1.02</c:v>
                </c:pt>
                <c:pt idx="188">
                  <c:v>1.0099899999999999</c:v>
                </c:pt>
                <c:pt idx="189">
                  <c:v>1</c:v>
                </c:pt>
                <c:pt idx="190">
                  <c:v>0.97499999999999998</c:v>
                </c:pt>
                <c:pt idx="191">
                  <c:v>0.95</c:v>
                </c:pt>
                <c:pt idx="192">
                  <c:v>0.92500000000000004</c:v>
                </c:pt>
                <c:pt idx="193">
                  <c:v>0.9</c:v>
                </c:pt>
                <c:pt idx="194">
                  <c:v>0.85</c:v>
                </c:pt>
                <c:pt idx="195">
                  <c:v>0.8</c:v>
                </c:pt>
                <c:pt idx="196">
                  <c:v>0.75</c:v>
                </c:pt>
                <c:pt idx="197">
                  <c:v>0.7</c:v>
                </c:pt>
                <c:pt idx="198">
                  <c:v>0.65</c:v>
                </c:pt>
                <c:pt idx="199">
                  <c:v>0.625</c:v>
                </c:pt>
                <c:pt idx="200">
                  <c:v>0.6</c:v>
                </c:pt>
                <c:pt idx="201">
                  <c:v>0.55000000000000004</c:v>
                </c:pt>
                <c:pt idx="202">
                  <c:v>0.5</c:v>
                </c:pt>
                <c:pt idx="203">
                  <c:v>0.45</c:v>
                </c:pt>
                <c:pt idx="204">
                  <c:v>0.4</c:v>
                </c:pt>
                <c:pt idx="205">
                  <c:v>0.375</c:v>
                </c:pt>
                <c:pt idx="206">
                  <c:v>0.35</c:v>
                </c:pt>
                <c:pt idx="207">
                  <c:v>0.32500000000000001</c:v>
                </c:pt>
                <c:pt idx="208">
                  <c:v>0.3</c:v>
                </c:pt>
                <c:pt idx="209">
                  <c:v>0.27500000000000002</c:v>
                </c:pt>
                <c:pt idx="210">
                  <c:v>0.25</c:v>
                </c:pt>
                <c:pt idx="211">
                  <c:v>0.22500000000000001</c:v>
                </c:pt>
                <c:pt idx="212">
                  <c:v>0.2</c:v>
                </c:pt>
                <c:pt idx="213">
                  <c:v>0.17499999999999999</c:v>
                </c:pt>
                <c:pt idx="214">
                  <c:v>0.15</c:v>
                </c:pt>
                <c:pt idx="215">
                  <c:v>0.125</c:v>
                </c:pt>
                <c:pt idx="216">
                  <c:v>0.1</c:v>
                </c:pt>
                <c:pt idx="217">
                  <c:v>0.09</c:v>
                </c:pt>
                <c:pt idx="218">
                  <c:v>0.08</c:v>
                </c:pt>
                <c:pt idx="219">
                  <c:v>7.0000000000000007E-2</c:v>
                </c:pt>
                <c:pt idx="220">
                  <c:v>0.06</c:v>
                </c:pt>
                <c:pt idx="221">
                  <c:v>0.05</c:v>
                </c:pt>
                <c:pt idx="222">
                  <c:v>0.04</c:v>
                </c:pt>
                <c:pt idx="223">
                  <c:v>0.03</c:v>
                </c:pt>
                <c:pt idx="224">
                  <c:v>2.53E-2</c:v>
                </c:pt>
                <c:pt idx="225">
                  <c:v>0.01</c:v>
                </c:pt>
                <c:pt idx="226">
                  <c:v>7.4999999999999997E-3</c:v>
                </c:pt>
                <c:pt idx="227">
                  <c:v>5.0000000000000001E-3</c:v>
                </c:pt>
                <c:pt idx="228">
                  <c:v>4.0000000000000001E-3</c:v>
                </c:pt>
                <c:pt idx="229">
                  <c:v>3.0000000000000001E-3</c:v>
                </c:pt>
                <c:pt idx="230">
                  <c:v>2.5000000000000001E-3</c:v>
                </c:pt>
                <c:pt idx="231">
                  <c:v>2E-3</c:v>
                </c:pt>
                <c:pt idx="232">
                  <c:v>1.5E-3</c:v>
                </c:pt>
                <c:pt idx="233">
                  <c:v>1.1999999999999999E-3</c:v>
                </c:pt>
                <c:pt idx="234">
                  <c:v>1E-3</c:v>
                </c:pt>
                <c:pt idx="235">
                  <c:v>7.5000000000000002E-4</c:v>
                </c:pt>
                <c:pt idx="236">
                  <c:v>5.0000000000000001E-4</c:v>
                </c:pt>
                <c:pt idx="237">
                  <c:v>1E-4</c:v>
                </c:pt>
              </c:numCache>
            </c:numRef>
          </c:xVal>
          <c:yVal>
            <c:numRef>
              <c:f>'Flux per Lethargy'!$B$3:$B$240</c:f>
              <c:numCache>
                <c:formatCode>0.00E+00</c:formatCode>
                <c:ptCount val="238"/>
                <c:pt idx="0">
                  <c:v>1.0619008702856099E-8</c:v>
                </c:pt>
                <c:pt idx="1">
                  <c:v>2.69198769158749E-5</c:v>
                </c:pt>
                <c:pt idx="2">
                  <c:v>8.0205707057230306E-5</c:v>
                </c:pt>
                <c:pt idx="3">
                  <c:v>1.4917241264900201E-4</c:v>
                </c:pt>
                <c:pt idx="4">
                  <c:v>2.7575945041728901E-4</c:v>
                </c:pt>
                <c:pt idx="5">
                  <c:v>1.2624888830532299E-3</c:v>
                </c:pt>
                <c:pt idx="6">
                  <c:v>4.6623118905372504E-3</c:v>
                </c:pt>
                <c:pt idx="7">
                  <c:v>1.4672783669189299E-2</c:v>
                </c:pt>
                <c:pt idx="8">
                  <c:v>3.7919486910033801E-2</c:v>
                </c:pt>
                <c:pt idx="9">
                  <c:v>5.9459891702836103E-2</c:v>
                </c:pt>
                <c:pt idx="10">
                  <c:v>8.7887339238035794E-2</c:v>
                </c:pt>
                <c:pt idx="11">
                  <c:v>0.13392610636892499</c:v>
                </c:pt>
                <c:pt idx="12">
                  <c:v>0.161481114702617</c:v>
                </c:pt>
                <c:pt idx="13">
                  <c:v>0.159501677308794</c:v>
                </c:pt>
                <c:pt idx="14">
                  <c:v>0.173315750135108</c:v>
                </c:pt>
                <c:pt idx="15">
                  <c:v>0.18332244135770501</c:v>
                </c:pt>
                <c:pt idx="16">
                  <c:v>0.18316305889950901</c:v>
                </c:pt>
                <c:pt idx="17">
                  <c:v>0.168686459879442</c:v>
                </c:pt>
                <c:pt idx="18">
                  <c:v>0.174368985435983</c:v>
                </c:pt>
                <c:pt idx="19">
                  <c:v>0.17599147909882701</c:v>
                </c:pt>
                <c:pt idx="20">
                  <c:v>0.179309133586082</c:v>
                </c:pt>
                <c:pt idx="21">
                  <c:v>0.156044962920804</c:v>
                </c:pt>
                <c:pt idx="22">
                  <c:v>0.14771340965351701</c:v>
                </c:pt>
                <c:pt idx="23">
                  <c:v>0.15763765738444499</c:v>
                </c:pt>
                <c:pt idx="24">
                  <c:v>0.16856235168802799</c:v>
                </c:pt>
                <c:pt idx="25">
                  <c:v>0.16770184603097299</c:v>
                </c:pt>
                <c:pt idx="26">
                  <c:v>0.16291459973915601</c:v>
                </c:pt>
                <c:pt idx="27">
                  <c:v>0.17513689182581599</c:v>
                </c:pt>
                <c:pt idx="28">
                  <c:v>0.165520898727889</c:v>
                </c:pt>
                <c:pt idx="29">
                  <c:v>0.16136307585790199</c:v>
                </c:pt>
                <c:pt idx="30">
                  <c:v>0.156082114060655</c:v>
                </c:pt>
                <c:pt idx="31">
                  <c:v>0.146532048564147</c:v>
                </c:pt>
                <c:pt idx="32">
                  <c:v>0.13620058476633501</c:v>
                </c:pt>
                <c:pt idx="33">
                  <c:v>0.13962528062612301</c:v>
                </c:pt>
                <c:pt idx="34">
                  <c:v>0.13602808524144899</c:v>
                </c:pt>
                <c:pt idx="35">
                  <c:v>0.11824169896018</c:v>
                </c:pt>
                <c:pt idx="36">
                  <c:v>0.107381242224241</c:v>
                </c:pt>
                <c:pt idx="37">
                  <c:v>0.115279467328327</c:v>
                </c:pt>
                <c:pt idx="38">
                  <c:v>0.116283144319594</c:v>
                </c:pt>
                <c:pt idx="39">
                  <c:v>0.107658820447339</c:v>
                </c:pt>
                <c:pt idx="40">
                  <c:v>8.90807590161109E-2</c:v>
                </c:pt>
                <c:pt idx="41">
                  <c:v>9.1416853632452805E-2</c:v>
                </c:pt>
                <c:pt idx="42">
                  <c:v>8.0228787743199498E-2</c:v>
                </c:pt>
                <c:pt idx="43">
                  <c:v>7.1400563851253901E-2</c:v>
                </c:pt>
                <c:pt idx="44">
                  <c:v>6.5364607787333107E-2</c:v>
                </c:pt>
                <c:pt idx="45">
                  <c:v>6.4405170003563397E-2</c:v>
                </c:pt>
                <c:pt idx="46">
                  <c:v>6.1985773082163E-2</c:v>
                </c:pt>
                <c:pt idx="47">
                  <c:v>6.0867355231580399E-2</c:v>
                </c:pt>
                <c:pt idx="48">
                  <c:v>5.8269280666830403E-2</c:v>
                </c:pt>
                <c:pt idx="49">
                  <c:v>5.4810660255156303E-2</c:v>
                </c:pt>
                <c:pt idx="50">
                  <c:v>6.1067317735886702E-2</c:v>
                </c:pt>
                <c:pt idx="51">
                  <c:v>5.4871696215578102E-2</c:v>
                </c:pt>
                <c:pt idx="52">
                  <c:v>5.1683668918123697E-2</c:v>
                </c:pt>
                <c:pt idx="53">
                  <c:v>4.8770134284278399E-2</c:v>
                </c:pt>
                <c:pt idx="54">
                  <c:v>4.65402872670614E-2</c:v>
                </c:pt>
                <c:pt idx="55">
                  <c:v>4.5921463782249601E-2</c:v>
                </c:pt>
                <c:pt idx="56">
                  <c:v>4.4469499076703098E-2</c:v>
                </c:pt>
                <c:pt idx="57">
                  <c:v>4.3085747624129901E-2</c:v>
                </c:pt>
                <c:pt idx="58">
                  <c:v>4.2670655555473003E-2</c:v>
                </c:pt>
                <c:pt idx="59">
                  <c:v>4.2124967602978701E-2</c:v>
                </c:pt>
                <c:pt idx="60">
                  <c:v>4.0378611568773697E-2</c:v>
                </c:pt>
                <c:pt idx="61">
                  <c:v>4.1469407291024003E-2</c:v>
                </c:pt>
                <c:pt idx="62">
                  <c:v>3.9694815162408997E-2</c:v>
                </c:pt>
                <c:pt idx="63">
                  <c:v>4.1697148169554797E-2</c:v>
                </c:pt>
                <c:pt idx="64">
                  <c:v>3.8235050217557798E-2</c:v>
                </c:pt>
                <c:pt idx="65">
                  <c:v>4.0498838646513803E-2</c:v>
                </c:pt>
                <c:pt idx="66">
                  <c:v>3.9731782876428701E-2</c:v>
                </c:pt>
                <c:pt idx="67">
                  <c:v>3.6719479736036301E-2</c:v>
                </c:pt>
                <c:pt idx="68">
                  <c:v>4.0189645370984801E-2</c:v>
                </c:pt>
                <c:pt idx="69">
                  <c:v>3.91272870986627E-2</c:v>
                </c:pt>
                <c:pt idx="70">
                  <c:v>3.89581283762854E-2</c:v>
                </c:pt>
                <c:pt idx="71">
                  <c:v>3.5741830135867E-2</c:v>
                </c:pt>
                <c:pt idx="72">
                  <c:v>3.8484831873376799E-2</c:v>
                </c:pt>
                <c:pt idx="73">
                  <c:v>3.8556279980789102E-2</c:v>
                </c:pt>
                <c:pt idx="74">
                  <c:v>3.36547385088347E-2</c:v>
                </c:pt>
                <c:pt idx="75">
                  <c:v>3.6903242351125701E-2</c:v>
                </c:pt>
                <c:pt idx="76">
                  <c:v>3.5487422570474401E-2</c:v>
                </c:pt>
                <c:pt idx="77">
                  <c:v>2.3292643124815202E-2</c:v>
                </c:pt>
                <c:pt idx="78">
                  <c:v>3.6745047297760999E-2</c:v>
                </c:pt>
                <c:pt idx="79">
                  <c:v>3.4431732827806198E-2</c:v>
                </c:pt>
                <c:pt idx="80">
                  <c:v>3.56592631761046E-2</c:v>
                </c:pt>
                <c:pt idx="81">
                  <c:v>3.4924848802385201E-2</c:v>
                </c:pt>
                <c:pt idx="82">
                  <c:v>3.03173644467267E-2</c:v>
                </c:pt>
                <c:pt idx="83">
                  <c:v>3.4894355816556498E-2</c:v>
                </c:pt>
                <c:pt idx="84">
                  <c:v>3.23579358328289E-2</c:v>
                </c:pt>
                <c:pt idx="85">
                  <c:v>3.3906952113360797E-2</c:v>
                </c:pt>
                <c:pt idx="86">
                  <c:v>3.3725863603034797E-2</c:v>
                </c:pt>
                <c:pt idx="87">
                  <c:v>3.04485172196821E-2</c:v>
                </c:pt>
                <c:pt idx="88">
                  <c:v>3.4021551308876699E-2</c:v>
                </c:pt>
                <c:pt idx="89">
                  <c:v>3.3274170121751198E-2</c:v>
                </c:pt>
                <c:pt idx="90">
                  <c:v>3.3365600387319602E-2</c:v>
                </c:pt>
                <c:pt idx="91">
                  <c:v>2.5926641019493199E-2</c:v>
                </c:pt>
                <c:pt idx="92">
                  <c:v>3.3549793408477802E-2</c:v>
                </c:pt>
                <c:pt idx="93">
                  <c:v>3.2974621816660103E-2</c:v>
                </c:pt>
                <c:pt idx="94">
                  <c:v>3.1330141642535898E-2</c:v>
                </c:pt>
                <c:pt idx="95">
                  <c:v>3.1990501268284198E-2</c:v>
                </c:pt>
                <c:pt idx="96">
                  <c:v>3.0140440930324901E-2</c:v>
                </c:pt>
                <c:pt idx="97">
                  <c:v>3.1457995648374398E-2</c:v>
                </c:pt>
                <c:pt idx="98">
                  <c:v>3.14728050504424E-2</c:v>
                </c:pt>
                <c:pt idx="99">
                  <c:v>3.1535157324753101E-2</c:v>
                </c:pt>
                <c:pt idx="100">
                  <c:v>3.22159737204483E-2</c:v>
                </c:pt>
                <c:pt idx="101">
                  <c:v>3.1643289979901498E-2</c:v>
                </c:pt>
                <c:pt idx="102">
                  <c:v>3.18975445271431E-2</c:v>
                </c:pt>
                <c:pt idx="103">
                  <c:v>3.09205288274325E-2</c:v>
                </c:pt>
                <c:pt idx="104">
                  <c:v>3.1674339373165702E-2</c:v>
                </c:pt>
                <c:pt idx="105">
                  <c:v>2.8013841877534199E-2</c:v>
                </c:pt>
                <c:pt idx="106">
                  <c:v>3.10841208174885E-2</c:v>
                </c:pt>
                <c:pt idx="107">
                  <c:v>2.5402528277816298E-2</c:v>
                </c:pt>
                <c:pt idx="108">
                  <c:v>2.1914927734366801E-2</c:v>
                </c:pt>
                <c:pt idx="109">
                  <c:v>2.4520750354650501E-2</c:v>
                </c:pt>
                <c:pt idx="110">
                  <c:v>2.71838739508048E-2</c:v>
                </c:pt>
                <c:pt idx="111">
                  <c:v>2.65690370978699E-2</c:v>
                </c:pt>
                <c:pt idx="112">
                  <c:v>2.8993186461393101E-2</c:v>
                </c:pt>
                <c:pt idx="113">
                  <c:v>3.0326028369280798E-2</c:v>
                </c:pt>
                <c:pt idx="114">
                  <c:v>2.9864505317435099E-2</c:v>
                </c:pt>
                <c:pt idx="115">
                  <c:v>3.0163868882021699E-2</c:v>
                </c:pt>
                <c:pt idx="116">
                  <c:v>2.9843236575533099E-2</c:v>
                </c:pt>
                <c:pt idx="117">
                  <c:v>2.8788145090605399E-2</c:v>
                </c:pt>
                <c:pt idx="118">
                  <c:v>2.60462300335726E-2</c:v>
                </c:pt>
                <c:pt idx="119">
                  <c:v>1.8769041299511902E-2</c:v>
                </c:pt>
                <c:pt idx="120">
                  <c:v>2.3515500887630301E-2</c:v>
                </c:pt>
                <c:pt idx="121">
                  <c:v>2.7002621798311099E-2</c:v>
                </c:pt>
                <c:pt idx="122">
                  <c:v>2.7806084222375599E-2</c:v>
                </c:pt>
                <c:pt idx="123">
                  <c:v>2.7213057095817301E-2</c:v>
                </c:pt>
                <c:pt idx="124">
                  <c:v>2.76026637363069E-2</c:v>
                </c:pt>
                <c:pt idx="125">
                  <c:v>2.8126577676539099E-2</c:v>
                </c:pt>
                <c:pt idx="126">
                  <c:v>2.7305030536047499E-2</c:v>
                </c:pt>
                <c:pt idx="127">
                  <c:v>2.82296805160487E-2</c:v>
                </c:pt>
                <c:pt idx="128">
                  <c:v>2.5073530876366001E-2</c:v>
                </c:pt>
                <c:pt idx="129">
                  <c:v>2.39090099539832E-2</c:v>
                </c:pt>
                <c:pt idx="130">
                  <c:v>2.76405850872441E-2</c:v>
                </c:pt>
                <c:pt idx="131">
                  <c:v>2.6717026709400401E-2</c:v>
                </c:pt>
                <c:pt idx="132">
                  <c:v>2.3465815466483901E-2</c:v>
                </c:pt>
                <c:pt idx="133">
                  <c:v>2.6588366454074999E-2</c:v>
                </c:pt>
                <c:pt idx="134">
                  <c:v>2.27312236339277E-2</c:v>
                </c:pt>
                <c:pt idx="135">
                  <c:v>1.5366378946443E-2</c:v>
                </c:pt>
                <c:pt idx="136">
                  <c:v>6.47926154822661E-3</c:v>
                </c:pt>
                <c:pt idx="137">
                  <c:v>1.6346813649016901E-2</c:v>
                </c:pt>
                <c:pt idx="138">
                  <c:v>2.1753314279768801E-2</c:v>
                </c:pt>
                <c:pt idx="139">
                  <c:v>2.3433947360412301E-2</c:v>
                </c:pt>
                <c:pt idx="140">
                  <c:v>2.39207333954762E-2</c:v>
                </c:pt>
                <c:pt idx="141">
                  <c:v>2.27675621098638E-2</c:v>
                </c:pt>
                <c:pt idx="142">
                  <c:v>2.4945208961521401E-2</c:v>
                </c:pt>
                <c:pt idx="143">
                  <c:v>2.5115181014071699E-2</c:v>
                </c:pt>
                <c:pt idx="144">
                  <c:v>2.3455933995076599E-2</c:v>
                </c:pt>
                <c:pt idx="145">
                  <c:v>2.4299486243848801E-2</c:v>
                </c:pt>
                <c:pt idx="146">
                  <c:v>2.38027081645838E-2</c:v>
                </c:pt>
                <c:pt idx="147">
                  <c:v>2.4124847184192E-2</c:v>
                </c:pt>
                <c:pt idx="148">
                  <c:v>2.8379991816999201E-2</c:v>
                </c:pt>
                <c:pt idx="149">
                  <c:v>2.6244790081442902E-2</c:v>
                </c:pt>
                <c:pt idx="150">
                  <c:v>2.6116041982159902E-2</c:v>
                </c:pt>
                <c:pt idx="151">
                  <c:v>2.63644977971676E-2</c:v>
                </c:pt>
                <c:pt idx="152">
                  <c:v>2.62799125488253E-2</c:v>
                </c:pt>
                <c:pt idx="153">
                  <c:v>2.6186906583935798E-2</c:v>
                </c:pt>
                <c:pt idx="154">
                  <c:v>2.5986489202165699E-2</c:v>
                </c:pt>
                <c:pt idx="155">
                  <c:v>2.5784404947633101E-2</c:v>
                </c:pt>
                <c:pt idx="156">
                  <c:v>2.5670324997791E-2</c:v>
                </c:pt>
                <c:pt idx="157">
                  <c:v>2.53011473728692E-2</c:v>
                </c:pt>
                <c:pt idx="158">
                  <c:v>2.4631081083688999E-2</c:v>
                </c:pt>
                <c:pt idx="159">
                  <c:v>2.51042085345143E-2</c:v>
                </c:pt>
                <c:pt idx="160">
                  <c:v>2.5639591336036101E-2</c:v>
                </c:pt>
                <c:pt idx="161">
                  <c:v>2.57559006446407E-2</c:v>
                </c:pt>
                <c:pt idx="162">
                  <c:v>2.5863558532501701E-2</c:v>
                </c:pt>
                <c:pt idx="163">
                  <c:v>2.6059141929229399E-2</c:v>
                </c:pt>
                <c:pt idx="164">
                  <c:v>2.6012554900782098E-2</c:v>
                </c:pt>
                <c:pt idx="165">
                  <c:v>2.6010585644744399E-2</c:v>
                </c:pt>
                <c:pt idx="166">
                  <c:v>2.61143015749975E-2</c:v>
                </c:pt>
                <c:pt idx="167">
                  <c:v>2.61546874142299E-2</c:v>
                </c:pt>
                <c:pt idx="168">
                  <c:v>2.5869364892314499E-2</c:v>
                </c:pt>
                <c:pt idx="169">
                  <c:v>2.55543048880978E-2</c:v>
                </c:pt>
                <c:pt idx="170">
                  <c:v>2.5171860590497998E-2</c:v>
                </c:pt>
                <c:pt idx="171">
                  <c:v>2.4854674576094901E-2</c:v>
                </c:pt>
                <c:pt idx="172">
                  <c:v>2.4489133292221799E-2</c:v>
                </c:pt>
                <c:pt idx="173">
                  <c:v>2.40359350903038E-2</c:v>
                </c:pt>
                <c:pt idx="174">
                  <c:v>2.3732001861789299E-2</c:v>
                </c:pt>
                <c:pt idx="175">
                  <c:v>2.3605479403916801E-2</c:v>
                </c:pt>
                <c:pt idx="176">
                  <c:v>2.3520972610032199E-2</c:v>
                </c:pt>
                <c:pt idx="177">
                  <c:v>2.3487630985670999E-2</c:v>
                </c:pt>
                <c:pt idx="178">
                  <c:v>2.3500767466166E-2</c:v>
                </c:pt>
                <c:pt idx="179">
                  <c:v>2.3549037958229699E-2</c:v>
                </c:pt>
                <c:pt idx="180">
                  <c:v>2.3618249932097799E-2</c:v>
                </c:pt>
                <c:pt idx="181">
                  <c:v>2.3703020150339999E-2</c:v>
                </c:pt>
                <c:pt idx="182">
                  <c:v>2.3803173185767499E-2</c:v>
                </c:pt>
                <c:pt idx="183">
                  <c:v>2.3918526416455699E-2</c:v>
                </c:pt>
                <c:pt idx="184">
                  <c:v>2.40568431131136E-2</c:v>
                </c:pt>
                <c:pt idx="185">
                  <c:v>2.4213866951540298E-2</c:v>
                </c:pt>
                <c:pt idx="186">
                  <c:v>2.4377294213491899E-2</c:v>
                </c:pt>
                <c:pt idx="187">
                  <c:v>2.45365509533533E-2</c:v>
                </c:pt>
                <c:pt idx="188">
                  <c:v>2.46757372487281E-2</c:v>
                </c:pt>
                <c:pt idx="189">
                  <c:v>2.4784976287775502E-2</c:v>
                </c:pt>
                <c:pt idx="190">
                  <c:v>2.4748830460435401E-2</c:v>
                </c:pt>
                <c:pt idx="191">
                  <c:v>2.4693937542926599E-2</c:v>
                </c:pt>
                <c:pt idx="192">
                  <c:v>2.4748410442510499E-2</c:v>
                </c:pt>
                <c:pt idx="193">
                  <c:v>2.5131474230206799E-2</c:v>
                </c:pt>
                <c:pt idx="194">
                  <c:v>2.5318487492044201E-2</c:v>
                </c:pt>
                <c:pt idx="195">
                  <c:v>2.5136770218253598E-2</c:v>
                </c:pt>
                <c:pt idx="196">
                  <c:v>2.57451163475052E-2</c:v>
                </c:pt>
                <c:pt idx="197">
                  <c:v>2.5372816782558202E-2</c:v>
                </c:pt>
                <c:pt idx="198">
                  <c:v>2.5627882915237502E-2</c:v>
                </c:pt>
                <c:pt idx="199">
                  <c:v>2.6147125442385899E-2</c:v>
                </c:pt>
                <c:pt idx="200">
                  <c:v>2.5569106235726301E-2</c:v>
                </c:pt>
                <c:pt idx="201">
                  <c:v>2.61660033670153E-2</c:v>
                </c:pt>
                <c:pt idx="202">
                  <c:v>2.5588151212939399E-2</c:v>
                </c:pt>
                <c:pt idx="203">
                  <c:v>2.5883151195581398E-2</c:v>
                </c:pt>
                <c:pt idx="204">
                  <c:v>2.5791866925548301E-2</c:v>
                </c:pt>
                <c:pt idx="205">
                  <c:v>2.5915773897967499E-2</c:v>
                </c:pt>
                <c:pt idx="206">
                  <c:v>2.5092200448520799E-2</c:v>
                </c:pt>
                <c:pt idx="207">
                  <c:v>2.62465404003181E-2</c:v>
                </c:pt>
                <c:pt idx="208">
                  <c:v>2.57611392171356E-2</c:v>
                </c:pt>
                <c:pt idx="209">
                  <c:v>2.7503407682177801E-2</c:v>
                </c:pt>
                <c:pt idx="210">
                  <c:v>2.8550121830979699E-2</c:v>
                </c:pt>
                <c:pt idx="211">
                  <c:v>2.9543106253624898E-2</c:v>
                </c:pt>
                <c:pt idx="212">
                  <c:v>3.1248933531128498E-2</c:v>
                </c:pt>
                <c:pt idx="213">
                  <c:v>3.16952292486316E-2</c:v>
                </c:pt>
                <c:pt idx="214">
                  <c:v>3.0998326579393502E-2</c:v>
                </c:pt>
                <c:pt idx="215">
                  <c:v>2.9173041262651501E-2</c:v>
                </c:pt>
                <c:pt idx="216">
                  <c:v>2.65279270011851E-2</c:v>
                </c:pt>
                <c:pt idx="217">
                  <c:v>2.4473776275536301E-2</c:v>
                </c:pt>
                <c:pt idx="218">
                  <c:v>2.1699119894744701E-2</c:v>
                </c:pt>
                <c:pt idx="219">
                  <c:v>1.8655583255637698E-2</c:v>
                </c:pt>
                <c:pt idx="220">
                  <c:v>1.53095035780197E-2</c:v>
                </c:pt>
                <c:pt idx="221">
                  <c:v>1.16630813234458E-2</c:v>
                </c:pt>
                <c:pt idx="222">
                  <c:v>8.0244927120087708E-3</c:v>
                </c:pt>
                <c:pt idx="223">
                  <c:v>5.4590515265909899E-3</c:v>
                </c:pt>
                <c:pt idx="224">
                  <c:v>2.4665701105376098E-3</c:v>
                </c:pt>
                <c:pt idx="225">
                  <c:v>6.5802022577700098E-4</c:v>
                </c:pt>
                <c:pt idx="226">
                  <c:v>3.3422582444788101E-4</c:v>
                </c:pt>
                <c:pt idx="227">
                  <c:v>1.71035875431409E-4</c:v>
                </c:pt>
                <c:pt idx="228">
                  <c:v>1.01908463410684E-4</c:v>
                </c:pt>
                <c:pt idx="229">
                  <c:v>6.1836969138135E-5</c:v>
                </c:pt>
                <c:pt idx="230">
                  <c:v>4.0762356376509602E-5</c:v>
                </c:pt>
                <c:pt idx="231">
                  <c:v>2.4280778600550601E-5</c:v>
                </c:pt>
                <c:pt idx="232">
                  <c:v>1.4228087553875E-5</c:v>
                </c:pt>
                <c:pt idx="233">
                  <c:v>9.1936966938741697E-6</c:v>
                </c:pt>
                <c:pt idx="234">
                  <c:v>5.7735721517282497E-6</c:v>
                </c:pt>
                <c:pt idx="235">
                  <c:v>2.8976442832393599E-6</c:v>
                </c:pt>
                <c:pt idx="236">
                  <c:v>6.5421911970848305E-7</c:v>
                </c:pt>
                <c:pt idx="237">
                  <c:v>1.9290987489280399E-8</c:v>
                </c:pt>
              </c:numCache>
            </c:numRef>
          </c:yVal>
          <c:smooth val="1"/>
        </c:ser>
        <c:ser>
          <c:idx val="1"/>
          <c:order val="1"/>
          <c:tx>
            <c:strRef>
              <c:f>Normalized!$C$2</c:f>
              <c:strCache>
                <c:ptCount val="1"/>
                <c:pt idx="0">
                  <c:v>UO2</c:v>
                </c:pt>
              </c:strCache>
            </c:strRef>
          </c:tx>
          <c:marker>
            <c:symbol val="none"/>
          </c:marker>
          <c:xVal>
            <c:numRef>
              <c:f>Normalized!$A$3:$A$240</c:f>
              <c:numCache>
                <c:formatCode>0.00E+00</c:formatCode>
                <c:ptCount val="238"/>
                <c:pt idx="0">
                  <c:v>20000000</c:v>
                </c:pt>
                <c:pt idx="1">
                  <c:v>17333000</c:v>
                </c:pt>
                <c:pt idx="2">
                  <c:v>15683000</c:v>
                </c:pt>
                <c:pt idx="3">
                  <c:v>14550000</c:v>
                </c:pt>
                <c:pt idx="4">
                  <c:v>13840000</c:v>
                </c:pt>
                <c:pt idx="5">
                  <c:v>12840000</c:v>
                </c:pt>
                <c:pt idx="6">
                  <c:v>10000000</c:v>
                </c:pt>
                <c:pt idx="7">
                  <c:v>8187300</c:v>
                </c:pt>
                <c:pt idx="8">
                  <c:v>6434000</c:v>
                </c:pt>
                <c:pt idx="9">
                  <c:v>4800000</c:v>
                </c:pt>
                <c:pt idx="10">
                  <c:v>4304000</c:v>
                </c:pt>
                <c:pt idx="11">
                  <c:v>3000000</c:v>
                </c:pt>
                <c:pt idx="12">
                  <c:v>2479000</c:v>
                </c:pt>
                <c:pt idx="13">
                  <c:v>2354000</c:v>
                </c:pt>
                <c:pt idx="14">
                  <c:v>1850000</c:v>
                </c:pt>
                <c:pt idx="15">
                  <c:v>1500000</c:v>
                </c:pt>
                <c:pt idx="16">
                  <c:v>1400000</c:v>
                </c:pt>
                <c:pt idx="17">
                  <c:v>1356000</c:v>
                </c:pt>
                <c:pt idx="18">
                  <c:v>1317000</c:v>
                </c:pt>
                <c:pt idx="19">
                  <c:v>1250000</c:v>
                </c:pt>
                <c:pt idx="20">
                  <c:v>1200000</c:v>
                </c:pt>
                <c:pt idx="21">
                  <c:v>1100000</c:v>
                </c:pt>
                <c:pt idx="22">
                  <c:v>1010000</c:v>
                </c:pt>
                <c:pt idx="23">
                  <c:v>920000</c:v>
                </c:pt>
                <c:pt idx="24">
                  <c:v>900000</c:v>
                </c:pt>
                <c:pt idx="25">
                  <c:v>875000</c:v>
                </c:pt>
                <c:pt idx="26">
                  <c:v>861100</c:v>
                </c:pt>
                <c:pt idx="27">
                  <c:v>820000</c:v>
                </c:pt>
                <c:pt idx="28">
                  <c:v>750000</c:v>
                </c:pt>
                <c:pt idx="29">
                  <c:v>679000</c:v>
                </c:pt>
                <c:pt idx="30">
                  <c:v>670000</c:v>
                </c:pt>
                <c:pt idx="31">
                  <c:v>600000</c:v>
                </c:pt>
                <c:pt idx="32">
                  <c:v>573000</c:v>
                </c:pt>
                <c:pt idx="33">
                  <c:v>550000</c:v>
                </c:pt>
                <c:pt idx="34">
                  <c:v>499520</c:v>
                </c:pt>
                <c:pt idx="35">
                  <c:v>470000</c:v>
                </c:pt>
                <c:pt idx="36">
                  <c:v>440000</c:v>
                </c:pt>
                <c:pt idx="37">
                  <c:v>420000</c:v>
                </c:pt>
                <c:pt idx="38">
                  <c:v>400000</c:v>
                </c:pt>
                <c:pt idx="39">
                  <c:v>330000</c:v>
                </c:pt>
                <c:pt idx="40">
                  <c:v>270000</c:v>
                </c:pt>
                <c:pt idx="41">
                  <c:v>200000</c:v>
                </c:pt>
                <c:pt idx="42">
                  <c:v>150000</c:v>
                </c:pt>
                <c:pt idx="43">
                  <c:v>128300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8030</c:v>
                </c:pt>
                <c:pt idx="59">
                  <c:v>6000</c:v>
                </c:pt>
                <c:pt idx="60">
                  <c:v>3900</c:v>
                </c:pt>
                <c:pt idx="61">
                  <c:v>3740</c:v>
                </c:pt>
                <c:pt idx="62">
                  <c:v>3000</c:v>
                </c:pt>
                <c:pt idx="63">
                  <c:v>2580</c:v>
                </c:pt>
                <c:pt idx="64">
                  <c:v>2290</c:v>
                </c:pt>
                <c:pt idx="65">
                  <c:v>2200</c:v>
                </c:pt>
                <c:pt idx="66">
                  <c:v>1800</c:v>
                </c:pt>
                <c:pt idx="67">
                  <c:v>1550</c:v>
                </c:pt>
                <c:pt idx="68">
                  <c:v>1500</c:v>
                </c:pt>
                <c:pt idx="69">
                  <c:v>1150</c:v>
                </c:pt>
                <c:pt idx="70">
                  <c:v>950</c:v>
                </c:pt>
                <c:pt idx="71">
                  <c:v>683</c:v>
                </c:pt>
                <c:pt idx="72">
                  <c:v>670</c:v>
                </c:pt>
                <c:pt idx="73">
                  <c:v>550</c:v>
                </c:pt>
                <c:pt idx="74">
                  <c:v>305</c:v>
                </c:pt>
                <c:pt idx="75">
                  <c:v>285</c:v>
                </c:pt>
                <c:pt idx="76">
                  <c:v>240</c:v>
                </c:pt>
                <c:pt idx="77">
                  <c:v>210</c:v>
                </c:pt>
                <c:pt idx="78">
                  <c:v>207.5</c:v>
                </c:pt>
                <c:pt idx="79">
                  <c:v>192.5</c:v>
                </c:pt>
                <c:pt idx="80">
                  <c:v>186</c:v>
                </c:pt>
                <c:pt idx="81">
                  <c:v>122</c:v>
                </c:pt>
                <c:pt idx="82">
                  <c:v>119</c:v>
                </c:pt>
                <c:pt idx="83">
                  <c:v>115</c:v>
                </c:pt>
                <c:pt idx="84">
                  <c:v>108</c:v>
                </c:pt>
                <c:pt idx="85">
                  <c:v>100</c:v>
                </c:pt>
                <c:pt idx="86">
                  <c:v>90</c:v>
                </c:pt>
                <c:pt idx="87">
                  <c:v>82</c:v>
                </c:pt>
                <c:pt idx="88">
                  <c:v>80</c:v>
                </c:pt>
                <c:pt idx="89">
                  <c:v>76</c:v>
                </c:pt>
                <c:pt idx="90">
                  <c:v>72</c:v>
                </c:pt>
                <c:pt idx="91">
                  <c:v>67.5</c:v>
                </c:pt>
                <c:pt idx="92">
                  <c:v>65</c:v>
                </c:pt>
                <c:pt idx="93">
                  <c:v>61</c:v>
                </c:pt>
                <c:pt idx="94">
                  <c:v>59</c:v>
                </c:pt>
                <c:pt idx="95">
                  <c:v>53.4</c:v>
                </c:pt>
                <c:pt idx="96">
                  <c:v>52</c:v>
                </c:pt>
                <c:pt idx="97">
                  <c:v>50.6</c:v>
                </c:pt>
                <c:pt idx="98">
                  <c:v>49.2</c:v>
                </c:pt>
                <c:pt idx="99">
                  <c:v>48.3</c:v>
                </c:pt>
                <c:pt idx="100">
                  <c:v>47</c:v>
                </c:pt>
                <c:pt idx="101">
                  <c:v>45.2</c:v>
                </c:pt>
                <c:pt idx="102">
                  <c:v>44</c:v>
                </c:pt>
                <c:pt idx="103">
                  <c:v>42.4</c:v>
                </c:pt>
                <c:pt idx="104">
                  <c:v>41</c:v>
                </c:pt>
                <c:pt idx="105">
                  <c:v>39.6</c:v>
                </c:pt>
                <c:pt idx="106">
                  <c:v>39.1</c:v>
                </c:pt>
                <c:pt idx="107">
                  <c:v>38</c:v>
                </c:pt>
                <c:pt idx="108">
                  <c:v>37</c:v>
                </c:pt>
                <c:pt idx="109">
                  <c:v>35.5</c:v>
                </c:pt>
                <c:pt idx="110">
                  <c:v>34.6</c:v>
                </c:pt>
                <c:pt idx="111">
                  <c:v>33.75</c:v>
                </c:pt>
                <c:pt idx="112">
                  <c:v>33.25</c:v>
                </c:pt>
                <c:pt idx="113">
                  <c:v>31.75</c:v>
                </c:pt>
                <c:pt idx="114">
                  <c:v>31.25</c:v>
                </c:pt>
                <c:pt idx="115">
                  <c:v>30</c:v>
                </c:pt>
                <c:pt idx="116">
                  <c:v>27.5</c:v>
                </c:pt>
                <c:pt idx="117">
                  <c:v>25</c:v>
                </c:pt>
                <c:pt idx="118">
                  <c:v>22.5</c:v>
                </c:pt>
                <c:pt idx="119">
                  <c:v>21</c:v>
                </c:pt>
                <c:pt idx="120">
                  <c:v>20</c:v>
                </c:pt>
                <c:pt idx="121">
                  <c:v>19</c:v>
                </c:pt>
                <c:pt idx="122">
                  <c:v>18.5</c:v>
                </c:pt>
                <c:pt idx="123">
                  <c:v>17</c:v>
                </c:pt>
                <c:pt idx="124">
                  <c:v>16</c:v>
                </c:pt>
                <c:pt idx="125">
                  <c:v>15.0999</c:v>
                </c:pt>
                <c:pt idx="126">
                  <c:v>14.4</c:v>
                </c:pt>
                <c:pt idx="127">
                  <c:v>13.75</c:v>
                </c:pt>
                <c:pt idx="128">
                  <c:v>12.9</c:v>
                </c:pt>
                <c:pt idx="129">
                  <c:v>11.9</c:v>
                </c:pt>
                <c:pt idx="130">
                  <c:v>11.5</c:v>
                </c:pt>
                <c:pt idx="131">
                  <c:v>10</c:v>
                </c:pt>
                <c:pt idx="132">
                  <c:v>9.09999</c:v>
                </c:pt>
                <c:pt idx="133">
                  <c:v>8.09999</c:v>
                </c:pt>
                <c:pt idx="134">
                  <c:v>7.1499999999999986</c:v>
                </c:pt>
                <c:pt idx="135">
                  <c:v>7</c:v>
                </c:pt>
                <c:pt idx="136">
                  <c:v>6.75</c:v>
                </c:pt>
                <c:pt idx="137">
                  <c:v>6.5</c:v>
                </c:pt>
                <c:pt idx="138">
                  <c:v>6.25</c:v>
                </c:pt>
                <c:pt idx="139">
                  <c:v>6</c:v>
                </c:pt>
                <c:pt idx="140">
                  <c:v>5.4</c:v>
                </c:pt>
                <c:pt idx="141">
                  <c:v>5</c:v>
                </c:pt>
                <c:pt idx="142">
                  <c:v>4.75</c:v>
                </c:pt>
                <c:pt idx="143">
                  <c:v>4</c:v>
                </c:pt>
                <c:pt idx="144">
                  <c:v>3.73</c:v>
                </c:pt>
                <c:pt idx="145">
                  <c:v>3.5</c:v>
                </c:pt>
                <c:pt idx="146">
                  <c:v>3.15</c:v>
                </c:pt>
                <c:pt idx="147">
                  <c:v>3.0499900000000002</c:v>
                </c:pt>
                <c:pt idx="148">
                  <c:v>3</c:v>
                </c:pt>
                <c:pt idx="149">
                  <c:v>2.9699900000000001</c:v>
                </c:pt>
                <c:pt idx="150">
                  <c:v>2.87</c:v>
                </c:pt>
                <c:pt idx="151">
                  <c:v>2.77</c:v>
                </c:pt>
                <c:pt idx="152">
                  <c:v>2.6699899999999999</c:v>
                </c:pt>
                <c:pt idx="153">
                  <c:v>2.57</c:v>
                </c:pt>
                <c:pt idx="154">
                  <c:v>2.4699900000000001</c:v>
                </c:pt>
                <c:pt idx="155">
                  <c:v>2.3799899999999981</c:v>
                </c:pt>
                <c:pt idx="156">
                  <c:v>2.2999900000000002</c:v>
                </c:pt>
                <c:pt idx="157">
                  <c:v>2.2099899999999999</c:v>
                </c:pt>
                <c:pt idx="158">
                  <c:v>2.12</c:v>
                </c:pt>
                <c:pt idx="159">
                  <c:v>2</c:v>
                </c:pt>
                <c:pt idx="160">
                  <c:v>1.94</c:v>
                </c:pt>
                <c:pt idx="161">
                  <c:v>1.86</c:v>
                </c:pt>
                <c:pt idx="162">
                  <c:v>1.77</c:v>
                </c:pt>
                <c:pt idx="163">
                  <c:v>1.6799900000000001</c:v>
                </c:pt>
                <c:pt idx="164">
                  <c:v>1.58999</c:v>
                </c:pt>
                <c:pt idx="165">
                  <c:v>1.5</c:v>
                </c:pt>
                <c:pt idx="166">
                  <c:v>1.45</c:v>
                </c:pt>
                <c:pt idx="167">
                  <c:v>1.4</c:v>
                </c:pt>
                <c:pt idx="168">
                  <c:v>1.34999</c:v>
                </c:pt>
                <c:pt idx="169">
                  <c:v>1.29999</c:v>
                </c:pt>
                <c:pt idx="170">
                  <c:v>1.25</c:v>
                </c:pt>
                <c:pt idx="171">
                  <c:v>1.22499</c:v>
                </c:pt>
                <c:pt idx="172">
                  <c:v>1.2</c:v>
                </c:pt>
                <c:pt idx="173">
                  <c:v>1.17499</c:v>
                </c:pt>
                <c:pt idx="174">
                  <c:v>1.1499999999999999</c:v>
                </c:pt>
                <c:pt idx="175">
                  <c:v>1.1399900000000001</c:v>
                </c:pt>
                <c:pt idx="176">
                  <c:v>1.12999</c:v>
                </c:pt>
                <c:pt idx="177">
                  <c:v>1.1200000000000001</c:v>
                </c:pt>
                <c:pt idx="178">
                  <c:v>1.1100000000000001</c:v>
                </c:pt>
                <c:pt idx="179">
                  <c:v>1.09999</c:v>
                </c:pt>
                <c:pt idx="180">
                  <c:v>1.08999</c:v>
                </c:pt>
                <c:pt idx="181">
                  <c:v>1.08</c:v>
                </c:pt>
                <c:pt idx="182">
                  <c:v>1.07</c:v>
                </c:pt>
                <c:pt idx="183">
                  <c:v>1.05999</c:v>
                </c:pt>
                <c:pt idx="184">
                  <c:v>1.04999</c:v>
                </c:pt>
                <c:pt idx="185">
                  <c:v>1.04</c:v>
                </c:pt>
                <c:pt idx="186">
                  <c:v>1.03</c:v>
                </c:pt>
                <c:pt idx="187">
                  <c:v>1.02</c:v>
                </c:pt>
                <c:pt idx="188">
                  <c:v>1.0099899999999999</c:v>
                </c:pt>
                <c:pt idx="189">
                  <c:v>1</c:v>
                </c:pt>
                <c:pt idx="190">
                  <c:v>0.97499999999999998</c:v>
                </c:pt>
                <c:pt idx="191">
                  <c:v>0.95</c:v>
                </c:pt>
                <c:pt idx="192">
                  <c:v>0.92500000000000004</c:v>
                </c:pt>
                <c:pt idx="193">
                  <c:v>0.9</c:v>
                </c:pt>
                <c:pt idx="194">
                  <c:v>0.85</c:v>
                </c:pt>
                <c:pt idx="195">
                  <c:v>0.8</c:v>
                </c:pt>
                <c:pt idx="196">
                  <c:v>0.75</c:v>
                </c:pt>
                <c:pt idx="197">
                  <c:v>0.7</c:v>
                </c:pt>
                <c:pt idx="198">
                  <c:v>0.65</c:v>
                </c:pt>
                <c:pt idx="199">
                  <c:v>0.625</c:v>
                </c:pt>
                <c:pt idx="200">
                  <c:v>0.6</c:v>
                </c:pt>
                <c:pt idx="201">
                  <c:v>0.55000000000000004</c:v>
                </c:pt>
                <c:pt idx="202">
                  <c:v>0.5</c:v>
                </c:pt>
                <c:pt idx="203">
                  <c:v>0.45</c:v>
                </c:pt>
                <c:pt idx="204">
                  <c:v>0.4</c:v>
                </c:pt>
                <c:pt idx="205">
                  <c:v>0.375</c:v>
                </c:pt>
                <c:pt idx="206">
                  <c:v>0.35</c:v>
                </c:pt>
                <c:pt idx="207">
                  <c:v>0.32500000000000001</c:v>
                </c:pt>
                <c:pt idx="208">
                  <c:v>0.3</c:v>
                </c:pt>
                <c:pt idx="209">
                  <c:v>0.27500000000000002</c:v>
                </c:pt>
                <c:pt idx="210">
                  <c:v>0.25</c:v>
                </c:pt>
                <c:pt idx="211">
                  <c:v>0.22500000000000001</c:v>
                </c:pt>
                <c:pt idx="212">
                  <c:v>0.2</c:v>
                </c:pt>
                <c:pt idx="213">
                  <c:v>0.17499999999999999</c:v>
                </c:pt>
                <c:pt idx="214">
                  <c:v>0.15</c:v>
                </c:pt>
                <c:pt idx="215">
                  <c:v>0.125</c:v>
                </c:pt>
                <c:pt idx="216">
                  <c:v>0.1</c:v>
                </c:pt>
                <c:pt idx="217">
                  <c:v>0.09</c:v>
                </c:pt>
                <c:pt idx="218">
                  <c:v>0.08</c:v>
                </c:pt>
                <c:pt idx="219">
                  <c:v>7.0000000000000007E-2</c:v>
                </c:pt>
                <c:pt idx="220">
                  <c:v>0.06</c:v>
                </c:pt>
                <c:pt idx="221">
                  <c:v>0.05</c:v>
                </c:pt>
                <c:pt idx="222">
                  <c:v>0.04</c:v>
                </c:pt>
                <c:pt idx="223">
                  <c:v>0.03</c:v>
                </c:pt>
                <c:pt idx="224">
                  <c:v>2.53E-2</c:v>
                </c:pt>
                <c:pt idx="225">
                  <c:v>0.01</c:v>
                </c:pt>
                <c:pt idx="226">
                  <c:v>7.4999999999999997E-3</c:v>
                </c:pt>
                <c:pt idx="227">
                  <c:v>5.0000000000000001E-3</c:v>
                </c:pt>
                <c:pt idx="228">
                  <c:v>4.0000000000000001E-3</c:v>
                </c:pt>
                <c:pt idx="229">
                  <c:v>3.0000000000000001E-3</c:v>
                </c:pt>
                <c:pt idx="230">
                  <c:v>2.5000000000000001E-3</c:v>
                </c:pt>
                <c:pt idx="231">
                  <c:v>2E-3</c:v>
                </c:pt>
                <c:pt idx="232">
                  <c:v>1.5E-3</c:v>
                </c:pt>
                <c:pt idx="233">
                  <c:v>1.1999999999999999E-3</c:v>
                </c:pt>
                <c:pt idx="234">
                  <c:v>1E-3</c:v>
                </c:pt>
                <c:pt idx="235">
                  <c:v>7.5000000000000002E-4</c:v>
                </c:pt>
                <c:pt idx="236">
                  <c:v>5.0000000000000001E-4</c:v>
                </c:pt>
                <c:pt idx="237">
                  <c:v>1E-4</c:v>
                </c:pt>
              </c:numCache>
            </c:numRef>
          </c:xVal>
          <c:yVal>
            <c:numRef>
              <c:f>'Flux per Lethargy'!$C$3:$C$240</c:f>
              <c:numCache>
                <c:formatCode>0.00E+00</c:formatCode>
                <c:ptCount val="238"/>
                <c:pt idx="0">
                  <c:v>1.1916328834273901E-8</c:v>
                </c:pt>
                <c:pt idx="1">
                  <c:v>3.5572617516112203E-5</c:v>
                </c:pt>
                <c:pt idx="2">
                  <c:v>1.01895458332854E-4</c:v>
                </c:pt>
                <c:pt idx="3">
                  <c:v>1.9183321859105401E-4</c:v>
                </c:pt>
                <c:pt idx="4">
                  <c:v>3.5474818875125898E-4</c:v>
                </c:pt>
                <c:pt idx="5">
                  <c:v>1.5918593918651501E-3</c:v>
                </c:pt>
                <c:pt idx="6">
                  <c:v>5.95914808511251E-3</c:v>
                </c:pt>
                <c:pt idx="7">
                  <c:v>1.8885313192102401E-2</c:v>
                </c:pt>
                <c:pt idx="8">
                  <c:v>4.6932935951863597E-2</c:v>
                </c:pt>
                <c:pt idx="9">
                  <c:v>6.9398320830079005E-2</c:v>
                </c:pt>
                <c:pt idx="10">
                  <c:v>0.101164556144466</c:v>
                </c:pt>
                <c:pt idx="11">
                  <c:v>0.15204595718769001</c:v>
                </c:pt>
                <c:pt idx="12">
                  <c:v>0.17143735507164601</c:v>
                </c:pt>
                <c:pt idx="13">
                  <c:v>0.14931808312349201</c:v>
                </c:pt>
                <c:pt idx="14">
                  <c:v>0.15520336708035201</c:v>
                </c:pt>
                <c:pt idx="15">
                  <c:v>0.162372343008686</c:v>
                </c:pt>
                <c:pt idx="16">
                  <c:v>0.157362568634038</c:v>
                </c:pt>
                <c:pt idx="17">
                  <c:v>0.13370431165250701</c:v>
                </c:pt>
                <c:pt idx="18">
                  <c:v>0.14713512040306001</c:v>
                </c:pt>
                <c:pt idx="19">
                  <c:v>0.16522031963074499</c:v>
                </c:pt>
                <c:pt idx="20">
                  <c:v>0.15232645744898801</c:v>
                </c:pt>
                <c:pt idx="21">
                  <c:v>0.122279553459386</c:v>
                </c:pt>
                <c:pt idx="22">
                  <c:v>0.12410533069776</c:v>
                </c:pt>
                <c:pt idx="23">
                  <c:v>0.142208884512323</c:v>
                </c:pt>
                <c:pt idx="24">
                  <c:v>0.150516088852299</c:v>
                </c:pt>
                <c:pt idx="25">
                  <c:v>0.15892581056089</c:v>
                </c:pt>
                <c:pt idx="26">
                  <c:v>0.176945710715326</c:v>
                </c:pt>
                <c:pt idx="27">
                  <c:v>0.190867444892696</c:v>
                </c:pt>
                <c:pt idx="28">
                  <c:v>0.16922071049474899</c:v>
                </c:pt>
                <c:pt idx="29">
                  <c:v>0.163688706872017</c:v>
                </c:pt>
                <c:pt idx="30">
                  <c:v>0.157369460108926</c:v>
                </c:pt>
                <c:pt idx="31">
                  <c:v>0.150520980916034</c:v>
                </c:pt>
                <c:pt idx="32">
                  <c:v>0.14681922914228199</c:v>
                </c:pt>
                <c:pt idx="33">
                  <c:v>0.13958303861771701</c:v>
                </c:pt>
                <c:pt idx="34">
                  <c:v>0.12570073144485</c:v>
                </c:pt>
                <c:pt idx="35">
                  <c:v>9.5376355567100293E-2</c:v>
                </c:pt>
                <c:pt idx="36">
                  <c:v>8.1389239457755905E-2</c:v>
                </c:pt>
                <c:pt idx="37">
                  <c:v>9.8543284909502205E-2</c:v>
                </c:pt>
                <c:pt idx="38">
                  <c:v>0.112722144964731</c:v>
                </c:pt>
                <c:pt idx="39">
                  <c:v>0.11294456130455099</c:v>
                </c:pt>
                <c:pt idx="40">
                  <c:v>9.5434527845458306E-2</c:v>
                </c:pt>
                <c:pt idx="41">
                  <c:v>8.19934264471886E-2</c:v>
                </c:pt>
                <c:pt idx="42">
                  <c:v>7.3626077416425295E-2</c:v>
                </c:pt>
                <c:pt idx="43">
                  <c:v>6.7409111365472493E-2</c:v>
                </c:pt>
                <c:pt idx="44">
                  <c:v>6.2201813534793898E-2</c:v>
                </c:pt>
                <c:pt idx="45">
                  <c:v>6.0988898383697497E-2</c:v>
                </c:pt>
                <c:pt idx="46">
                  <c:v>5.8788696262627699E-2</c:v>
                </c:pt>
                <c:pt idx="47">
                  <c:v>5.7786363917951097E-2</c:v>
                </c:pt>
                <c:pt idx="48">
                  <c:v>5.5736720010280197E-2</c:v>
                </c:pt>
                <c:pt idx="49">
                  <c:v>5.3259320843274602E-2</c:v>
                </c:pt>
                <c:pt idx="50">
                  <c:v>5.2206409727935103E-2</c:v>
                </c:pt>
                <c:pt idx="51">
                  <c:v>5.0612637175297397E-2</c:v>
                </c:pt>
                <c:pt idx="52">
                  <c:v>4.8602945771074102E-2</c:v>
                </c:pt>
                <c:pt idx="53">
                  <c:v>4.5724965030922597E-2</c:v>
                </c:pt>
                <c:pt idx="54">
                  <c:v>4.3656322360132699E-2</c:v>
                </c:pt>
                <c:pt idx="55">
                  <c:v>4.28286003024375E-2</c:v>
                </c:pt>
                <c:pt idx="56">
                  <c:v>4.1404094311058799E-2</c:v>
                </c:pt>
                <c:pt idx="57">
                  <c:v>4.0061378010056797E-2</c:v>
                </c:pt>
                <c:pt idx="58">
                  <c:v>3.97558463430236E-2</c:v>
                </c:pt>
                <c:pt idx="59">
                  <c:v>3.90870691157559E-2</c:v>
                </c:pt>
                <c:pt idx="60">
                  <c:v>3.78003369597604E-2</c:v>
                </c:pt>
                <c:pt idx="61">
                  <c:v>3.83861569759908E-2</c:v>
                </c:pt>
                <c:pt idx="62">
                  <c:v>3.6509758082625798E-2</c:v>
                </c:pt>
                <c:pt idx="63">
                  <c:v>3.8959964549829598E-2</c:v>
                </c:pt>
                <c:pt idx="64">
                  <c:v>3.5879699421586302E-2</c:v>
                </c:pt>
                <c:pt idx="65">
                  <c:v>3.74987236299077E-2</c:v>
                </c:pt>
                <c:pt idx="66">
                  <c:v>3.68888570161044E-2</c:v>
                </c:pt>
                <c:pt idx="67">
                  <c:v>3.4450927648686E-2</c:v>
                </c:pt>
                <c:pt idx="68">
                  <c:v>3.7004200306195598E-2</c:v>
                </c:pt>
                <c:pt idx="69">
                  <c:v>3.6031362215821802E-2</c:v>
                </c:pt>
                <c:pt idx="70">
                  <c:v>3.5823643080624197E-2</c:v>
                </c:pt>
                <c:pt idx="71">
                  <c:v>3.3312717921679003E-2</c:v>
                </c:pt>
                <c:pt idx="72">
                  <c:v>3.5407088757547299E-2</c:v>
                </c:pt>
                <c:pt idx="73">
                  <c:v>3.5583873506522798E-2</c:v>
                </c:pt>
                <c:pt idx="74">
                  <c:v>3.1273269597809801E-2</c:v>
                </c:pt>
                <c:pt idx="75">
                  <c:v>3.4113311571362201E-2</c:v>
                </c:pt>
                <c:pt idx="76">
                  <c:v>3.2746412691725103E-2</c:v>
                </c:pt>
                <c:pt idx="77">
                  <c:v>1.50347139915478E-2</c:v>
                </c:pt>
                <c:pt idx="78">
                  <c:v>3.4108710827875199E-2</c:v>
                </c:pt>
                <c:pt idx="79">
                  <c:v>3.1797559660605601E-2</c:v>
                </c:pt>
                <c:pt idx="80">
                  <c:v>3.3341974104123498E-2</c:v>
                </c:pt>
                <c:pt idx="81">
                  <c:v>3.2551452467150299E-2</c:v>
                </c:pt>
                <c:pt idx="82">
                  <c:v>2.5755743282728599E-2</c:v>
                </c:pt>
                <c:pt idx="83">
                  <c:v>3.2533673492992E-2</c:v>
                </c:pt>
                <c:pt idx="84">
                  <c:v>2.8803731143152E-2</c:v>
                </c:pt>
                <c:pt idx="85">
                  <c:v>3.1769001887211698E-2</c:v>
                </c:pt>
                <c:pt idx="86">
                  <c:v>3.1739215325587003E-2</c:v>
                </c:pt>
                <c:pt idx="87">
                  <c:v>2.4012367231794E-2</c:v>
                </c:pt>
                <c:pt idx="88">
                  <c:v>3.1787743863311402E-2</c:v>
                </c:pt>
                <c:pt idx="89">
                  <c:v>3.15486067283385E-2</c:v>
                </c:pt>
                <c:pt idx="90">
                  <c:v>3.10743917072565E-2</c:v>
                </c:pt>
                <c:pt idx="91">
                  <c:v>1.95227870072734E-2</c:v>
                </c:pt>
                <c:pt idx="92">
                  <c:v>3.1267452343296302E-2</c:v>
                </c:pt>
                <c:pt idx="93">
                  <c:v>3.1162549322620799E-2</c:v>
                </c:pt>
                <c:pt idx="94">
                  <c:v>2.99230853374431E-2</c:v>
                </c:pt>
                <c:pt idx="95">
                  <c:v>3.0562046173762E-2</c:v>
                </c:pt>
                <c:pt idx="96">
                  <c:v>2.9219585968309598E-2</c:v>
                </c:pt>
                <c:pt idx="97">
                  <c:v>3.03413048186565E-2</c:v>
                </c:pt>
                <c:pt idx="98">
                  <c:v>3.03999557034569E-2</c:v>
                </c:pt>
                <c:pt idx="99">
                  <c:v>3.04088025113812E-2</c:v>
                </c:pt>
                <c:pt idx="100">
                  <c:v>3.08414996152266E-2</c:v>
                </c:pt>
                <c:pt idx="101">
                  <c:v>3.03976827830446E-2</c:v>
                </c:pt>
                <c:pt idx="102">
                  <c:v>3.0531122769551E-2</c:v>
                </c:pt>
                <c:pt idx="103">
                  <c:v>2.96624338020007E-2</c:v>
                </c:pt>
                <c:pt idx="104">
                  <c:v>2.9912002149317499E-2</c:v>
                </c:pt>
                <c:pt idx="105">
                  <c:v>2.68446498382564E-2</c:v>
                </c:pt>
                <c:pt idx="106">
                  <c:v>2.7428932238996302E-2</c:v>
                </c:pt>
                <c:pt idx="107">
                  <c:v>1.79982551150078E-2</c:v>
                </c:pt>
                <c:pt idx="108">
                  <c:v>1.5734321122976801E-2</c:v>
                </c:pt>
                <c:pt idx="109">
                  <c:v>2.3274282733670999E-2</c:v>
                </c:pt>
                <c:pt idx="110">
                  <c:v>2.5841923309257199E-2</c:v>
                </c:pt>
                <c:pt idx="111">
                  <c:v>2.56820348715424E-2</c:v>
                </c:pt>
                <c:pt idx="112">
                  <c:v>2.7761095976068201E-2</c:v>
                </c:pt>
                <c:pt idx="113">
                  <c:v>2.8838886027318499E-2</c:v>
                </c:pt>
                <c:pt idx="114">
                  <c:v>2.8578317993009399E-2</c:v>
                </c:pt>
                <c:pt idx="115">
                  <c:v>2.9035901615838699E-2</c:v>
                </c:pt>
                <c:pt idx="116">
                  <c:v>2.9033570867112099E-2</c:v>
                </c:pt>
                <c:pt idx="117">
                  <c:v>2.7749980427918701E-2</c:v>
                </c:pt>
                <c:pt idx="118">
                  <c:v>2.1635857696555301E-2</c:v>
                </c:pt>
                <c:pt idx="119">
                  <c:v>1.3497602106655999E-2</c:v>
                </c:pt>
                <c:pt idx="120">
                  <c:v>2.2017678446847901E-2</c:v>
                </c:pt>
                <c:pt idx="121">
                  <c:v>2.5813985203165999E-2</c:v>
                </c:pt>
                <c:pt idx="122">
                  <c:v>2.6743100401657401E-2</c:v>
                </c:pt>
                <c:pt idx="123">
                  <c:v>2.6514381264684899E-2</c:v>
                </c:pt>
                <c:pt idx="124">
                  <c:v>2.7158702366812601E-2</c:v>
                </c:pt>
                <c:pt idx="125">
                  <c:v>2.7675528107721399E-2</c:v>
                </c:pt>
                <c:pt idx="126">
                  <c:v>2.6910918844494799E-2</c:v>
                </c:pt>
                <c:pt idx="127">
                  <c:v>2.7594441944159699E-2</c:v>
                </c:pt>
                <c:pt idx="128">
                  <c:v>2.4977911143359701E-2</c:v>
                </c:pt>
                <c:pt idx="129">
                  <c:v>2.4184897166737902E-2</c:v>
                </c:pt>
                <c:pt idx="130">
                  <c:v>2.7052176867613999E-2</c:v>
                </c:pt>
                <c:pt idx="131">
                  <c:v>2.63891282470919E-2</c:v>
                </c:pt>
                <c:pt idx="132">
                  <c:v>2.3569142978695602E-2</c:v>
                </c:pt>
                <c:pt idx="133">
                  <c:v>2.5023282834303801E-2</c:v>
                </c:pt>
                <c:pt idx="134">
                  <c:v>1.8644415563100501E-2</c:v>
                </c:pt>
                <c:pt idx="135">
                  <c:v>9.26987490017879E-3</c:v>
                </c:pt>
                <c:pt idx="136">
                  <c:v>4.7029514841486902E-3</c:v>
                </c:pt>
                <c:pt idx="137">
                  <c:v>1.22386610953064E-2</c:v>
                </c:pt>
                <c:pt idx="138">
                  <c:v>1.93842358443671E-2</c:v>
                </c:pt>
                <c:pt idx="139">
                  <c:v>2.2173556441726801E-2</c:v>
                </c:pt>
                <c:pt idx="140">
                  <c:v>2.3454746663518999E-2</c:v>
                </c:pt>
                <c:pt idx="141">
                  <c:v>2.2983893029912401E-2</c:v>
                </c:pt>
                <c:pt idx="142">
                  <c:v>2.4495955606346698E-2</c:v>
                </c:pt>
                <c:pt idx="143">
                  <c:v>2.4598325278619399E-2</c:v>
                </c:pt>
                <c:pt idx="144">
                  <c:v>2.3282411908269601E-2</c:v>
                </c:pt>
                <c:pt idx="145">
                  <c:v>2.39519117443323E-2</c:v>
                </c:pt>
                <c:pt idx="146">
                  <c:v>2.3550034845304501E-2</c:v>
                </c:pt>
                <c:pt idx="147">
                  <c:v>2.3805985737836599E-2</c:v>
                </c:pt>
                <c:pt idx="148">
                  <c:v>2.7771558913378399E-2</c:v>
                </c:pt>
                <c:pt idx="149">
                  <c:v>2.5168080403772702E-2</c:v>
                </c:pt>
                <c:pt idx="150">
                  <c:v>2.5317677799041399E-2</c:v>
                </c:pt>
                <c:pt idx="151">
                  <c:v>2.5640159575132399E-2</c:v>
                </c:pt>
                <c:pt idx="152">
                  <c:v>2.56466498330922E-2</c:v>
                </c:pt>
                <c:pt idx="153">
                  <c:v>2.54650035791627E-2</c:v>
                </c:pt>
                <c:pt idx="154">
                  <c:v>2.5177851361830799E-2</c:v>
                </c:pt>
                <c:pt idx="155">
                  <c:v>2.4961512179495299E-2</c:v>
                </c:pt>
                <c:pt idx="156">
                  <c:v>2.5148753905097299E-2</c:v>
                </c:pt>
                <c:pt idx="157">
                  <c:v>2.51418623502359E-2</c:v>
                </c:pt>
                <c:pt idx="158">
                  <c:v>2.4686860379180501E-2</c:v>
                </c:pt>
                <c:pt idx="159">
                  <c:v>2.5017725420999799E-2</c:v>
                </c:pt>
                <c:pt idx="160">
                  <c:v>2.5420754689947998E-2</c:v>
                </c:pt>
                <c:pt idx="161">
                  <c:v>2.5480101012914699E-2</c:v>
                </c:pt>
                <c:pt idx="162">
                  <c:v>2.5554142567697401E-2</c:v>
                </c:pt>
                <c:pt idx="163">
                  <c:v>2.57455643066422E-2</c:v>
                </c:pt>
                <c:pt idx="164">
                  <c:v>2.56897285972373E-2</c:v>
                </c:pt>
                <c:pt idx="165">
                  <c:v>2.56879695878738E-2</c:v>
                </c:pt>
                <c:pt idx="166">
                  <c:v>2.5820978569808299E-2</c:v>
                </c:pt>
                <c:pt idx="167">
                  <c:v>2.5905909919850301E-2</c:v>
                </c:pt>
                <c:pt idx="168">
                  <c:v>2.5653024834496E-2</c:v>
                </c:pt>
                <c:pt idx="169">
                  <c:v>2.5410659408088E-2</c:v>
                </c:pt>
                <c:pt idx="170">
                  <c:v>2.5138881729222601E-2</c:v>
                </c:pt>
                <c:pt idx="171">
                  <c:v>2.4953923946780102E-2</c:v>
                </c:pt>
                <c:pt idx="172">
                  <c:v>2.4737932061644399E-2</c:v>
                </c:pt>
                <c:pt idx="173">
                  <c:v>2.4403581559404499E-2</c:v>
                </c:pt>
                <c:pt idx="174">
                  <c:v>2.4146863082958402E-2</c:v>
                </c:pt>
                <c:pt idx="175">
                  <c:v>2.4035385135566498E-2</c:v>
                </c:pt>
                <c:pt idx="176">
                  <c:v>2.3958523428455201E-2</c:v>
                </c:pt>
                <c:pt idx="177">
                  <c:v>2.3927064610881801E-2</c:v>
                </c:pt>
                <c:pt idx="178">
                  <c:v>2.3938981225816999E-2</c:v>
                </c:pt>
                <c:pt idx="179">
                  <c:v>2.3982464471336701E-2</c:v>
                </c:pt>
                <c:pt idx="180">
                  <c:v>2.4044913211915799E-2</c:v>
                </c:pt>
                <c:pt idx="181">
                  <c:v>2.4121790478276901E-2</c:v>
                </c:pt>
                <c:pt idx="182">
                  <c:v>2.4213838673685699E-2</c:v>
                </c:pt>
                <c:pt idx="183">
                  <c:v>2.43234942471308E-2</c:v>
                </c:pt>
                <c:pt idx="184">
                  <c:v>2.4461807384844901E-2</c:v>
                </c:pt>
                <c:pt idx="185">
                  <c:v>2.4623608148866601E-2</c:v>
                </c:pt>
                <c:pt idx="186">
                  <c:v>2.4794674330285701E-2</c:v>
                </c:pt>
                <c:pt idx="187">
                  <c:v>2.4963709778563201E-2</c:v>
                </c:pt>
                <c:pt idx="188">
                  <c:v>2.5113506080401801E-2</c:v>
                </c:pt>
                <c:pt idx="189">
                  <c:v>2.5225752479153599E-2</c:v>
                </c:pt>
                <c:pt idx="190">
                  <c:v>2.51696012483539E-2</c:v>
                </c:pt>
                <c:pt idx="191">
                  <c:v>2.5094662289236298E-2</c:v>
                </c:pt>
                <c:pt idx="192">
                  <c:v>2.51494960428893E-2</c:v>
                </c:pt>
                <c:pt idx="193">
                  <c:v>2.5598059008941101E-2</c:v>
                </c:pt>
                <c:pt idx="194">
                  <c:v>2.5826203846638699E-2</c:v>
                </c:pt>
                <c:pt idx="195">
                  <c:v>2.5642190291616601E-2</c:v>
                </c:pt>
                <c:pt idx="196">
                  <c:v>2.63966624874005E-2</c:v>
                </c:pt>
                <c:pt idx="197">
                  <c:v>2.6019987834588799E-2</c:v>
                </c:pt>
                <c:pt idx="198">
                  <c:v>2.6382098902676301E-2</c:v>
                </c:pt>
                <c:pt idx="199">
                  <c:v>2.7061476395055999E-2</c:v>
                </c:pt>
                <c:pt idx="200">
                  <c:v>2.65041211896479E-2</c:v>
                </c:pt>
                <c:pt idx="201">
                  <c:v>2.7453946767845301E-2</c:v>
                </c:pt>
                <c:pt idx="202">
                  <c:v>2.7145503051956999E-2</c:v>
                </c:pt>
                <c:pt idx="203">
                  <c:v>2.8110819397590501E-2</c:v>
                </c:pt>
                <c:pt idx="204">
                  <c:v>2.86857808036192E-2</c:v>
                </c:pt>
                <c:pt idx="205">
                  <c:v>2.9499436761936702E-2</c:v>
                </c:pt>
                <c:pt idx="206">
                  <c:v>2.91693373072388E-2</c:v>
                </c:pt>
                <c:pt idx="207">
                  <c:v>3.1644279098891198E-2</c:v>
                </c:pt>
                <c:pt idx="208">
                  <c:v>3.1878707863730101E-2</c:v>
                </c:pt>
                <c:pt idx="209">
                  <c:v>3.5413503343064701E-2</c:v>
                </c:pt>
                <c:pt idx="210">
                  <c:v>3.8069354635149599E-2</c:v>
                </c:pt>
                <c:pt idx="211">
                  <c:v>4.0781124101835702E-2</c:v>
                </c:pt>
                <c:pt idx="212">
                  <c:v>4.51111924848729E-2</c:v>
                </c:pt>
                <c:pt idx="213">
                  <c:v>4.77248841347803E-2</c:v>
                </c:pt>
                <c:pt idx="214">
                  <c:v>4.86370134331362E-2</c:v>
                </c:pt>
                <c:pt idx="215">
                  <c:v>4.7827232781090197E-2</c:v>
                </c:pt>
                <c:pt idx="216">
                  <c:v>4.4809065376281897E-2</c:v>
                </c:pt>
                <c:pt idx="217">
                  <c:v>4.2012727135592599E-2</c:v>
                </c:pt>
                <c:pt idx="218">
                  <c:v>3.78330042771374E-2</c:v>
                </c:pt>
                <c:pt idx="219">
                  <c:v>3.3058002106059102E-2</c:v>
                </c:pt>
                <c:pt idx="220">
                  <c:v>2.75639076495806E-2</c:v>
                </c:pt>
                <c:pt idx="221">
                  <c:v>2.1325600138636502E-2</c:v>
                </c:pt>
                <c:pt idx="222">
                  <c:v>1.4910281963243999E-2</c:v>
                </c:pt>
                <c:pt idx="223">
                  <c:v>1.02456585627044E-2</c:v>
                </c:pt>
                <c:pt idx="224">
                  <c:v>4.7062614676609297E-3</c:v>
                </c:pt>
                <c:pt idx="225">
                  <c:v>1.2687915013228201E-3</c:v>
                </c:pt>
                <c:pt idx="226">
                  <c:v>6.4266525872154403E-4</c:v>
                </c:pt>
                <c:pt idx="227">
                  <c:v>3.2660047442860098E-4</c:v>
                </c:pt>
                <c:pt idx="228">
                  <c:v>1.9339867957361999E-4</c:v>
                </c:pt>
                <c:pt idx="229">
                  <c:v>1.16497465698678E-4</c:v>
                </c:pt>
                <c:pt idx="230">
                  <c:v>7.6270352408456204E-5</c:v>
                </c:pt>
                <c:pt idx="231">
                  <c:v>4.4794807491074303E-5</c:v>
                </c:pt>
                <c:pt idx="232">
                  <c:v>2.5822430689197601E-5</c:v>
                </c:pt>
                <c:pt idx="233">
                  <c:v>1.6727191633216099E-5</c:v>
                </c:pt>
                <c:pt idx="234">
                  <c:v>1.0316240273641401E-5</c:v>
                </c:pt>
                <c:pt idx="235">
                  <c:v>5.08082587217341E-6</c:v>
                </c:pt>
                <c:pt idx="236">
                  <c:v>1.1067631571060401E-6</c:v>
                </c:pt>
                <c:pt idx="237">
                  <c:v>2.91895958085718E-8</c:v>
                </c:pt>
              </c:numCache>
            </c:numRef>
          </c:yVal>
          <c:smooth val="1"/>
        </c:ser>
        <c:dLbls>
          <c:showLegendKey val="0"/>
          <c:showVal val="0"/>
          <c:showCatName val="0"/>
          <c:showSerName val="0"/>
          <c:showPercent val="0"/>
          <c:showBubbleSize val="0"/>
        </c:dLbls>
        <c:axId val="110050688"/>
        <c:axId val="110097920"/>
      </c:scatterChart>
      <c:valAx>
        <c:axId val="110050688"/>
        <c:scaling>
          <c:logBase val="10"/>
          <c:orientation val="minMax"/>
          <c:min val="0.01"/>
        </c:scaling>
        <c:delete val="0"/>
        <c:axPos val="b"/>
        <c:majorGridlines>
          <c:spPr>
            <a:ln>
              <a:prstDash val="sysDash"/>
            </a:ln>
          </c:spPr>
        </c:majorGridlines>
        <c:title>
          <c:tx>
            <c:rich>
              <a:bodyPr/>
              <a:lstStyle/>
              <a:p>
                <a:pPr>
                  <a:defRPr/>
                </a:pPr>
                <a:r>
                  <a:rPr lang="en-US"/>
                  <a:t>Neutron Energy (eV)</a:t>
                </a:r>
              </a:p>
            </c:rich>
          </c:tx>
          <c:layout/>
          <c:overlay val="0"/>
        </c:title>
        <c:numFmt formatCode="0.E+00" sourceLinked="0"/>
        <c:majorTickMark val="out"/>
        <c:minorTickMark val="none"/>
        <c:tickLblPos val="nextTo"/>
        <c:crossAx val="110097920"/>
        <c:crosses val="autoZero"/>
        <c:crossBetween val="midCat"/>
        <c:majorUnit val="100"/>
      </c:valAx>
      <c:valAx>
        <c:axId val="110097920"/>
        <c:scaling>
          <c:orientation val="minMax"/>
          <c:max val="0.2"/>
          <c:min val="0"/>
        </c:scaling>
        <c:delete val="0"/>
        <c:axPos val="l"/>
        <c:majorGridlines>
          <c:spPr>
            <a:ln>
              <a:prstDash val="sysDash"/>
            </a:ln>
          </c:spPr>
        </c:majorGridlines>
        <c:title>
          <c:tx>
            <c:rich>
              <a:bodyPr rot="-5400000" vert="horz"/>
              <a:lstStyle/>
              <a:p>
                <a:pPr>
                  <a:defRPr/>
                </a:pPr>
                <a:r>
                  <a:rPr lang="en-US"/>
                  <a:t>Normalized Neutron Flux per unit Lethargy</a:t>
                </a:r>
              </a:p>
            </c:rich>
          </c:tx>
          <c:layout/>
          <c:overlay val="0"/>
        </c:title>
        <c:numFmt formatCode="#,##0.00" sourceLinked="0"/>
        <c:majorTickMark val="out"/>
        <c:minorTickMark val="none"/>
        <c:tickLblPos val="nextTo"/>
        <c:crossAx val="110050688"/>
        <c:crossesAt val="1E-4"/>
        <c:crossBetween val="midCat"/>
      </c:valAx>
      <c:spPr>
        <a:ln>
          <a:solidFill>
            <a:schemeClr val="tx1"/>
          </a:solidFill>
        </a:ln>
      </c:spPr>
    </c:plotArea>
    <c:legend>
      <c:legendPos val="r"/>
      <c:layout>
        <c:manualLayout>
          <c:xMode val="edge"/>
          <c:yMode val="edge"/>
          <c:x val="0.183997240729524"/>
          <c:y val="0.21219054476943899"/>
          <c:w val="0.15024850259102199"/>
          <c:h val="0.19657222615416101"/>
        </c:manualLayout>
      </c:layout>
      <c:overlay val="0"/>
      <c:spPr>
        <a:solidFill>
          <a:schemeClr val="bg1"/>
        </a:solidFill>
        <a:ln>
          <a:solidFill>
            <a:schemeClr val="tx1"/>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ctr" rtl="0">
              <a:defRPr/>
            </a:pPr>
            <a:r>
              <a:rPr lang="en-US" sz="1200"/>
              <a:t>(b)</a:t>
            </a:r>
          </a:p>
          <a:p>
            <a:pPr algn="ctr" rtl="0">
              <a:defRPr/>
            </a:pPr>
            <a:endParaRPr lang="en-US"/>
          </a:p>
        </c:rich>
      </c:tx>
      <c:layout>
        <c:manualLayout>
          <c:xMode val="edge"/>
          <c:yMode val="edge"/>
          <c:x val="5.7741084599779405E-4"/>
          <c:y val="3.84293127018115E-3"/>
        </c:manualLayout>
      </c:layout>
      <c:overlay val="1"/>
    </c:title>
    <c:autoTitleDeleted val="0"/>
    <c:plotArea>
      <c:layout>
        <c:manualLayout>
          <c:layoutTarget val="inner"/>
          <c:xMode val="edge"/>
          <c:yMode val="edge"/>
          <c:x val="0.12729608318190999"/>
          <c:y val="0.14510921056713799"/>
          <c:w val="0.83039622451039796"/>
          <c:h val="0.65284459231021796"/>
        </c:manualLayout>
      </c:layout>
      <c:scatterChart>
        <c:scatterStyle val="smoothMarker"/>
        <c:varyColors val="0"/>
        <c:ser>
          <c:idx val="0"/>
          <c:order val="0"/>
          <c:tx>
            <c:strRef>
              <c:f>Normalized!$F$2</c:f>
              <c:strCache>
                <c:ptCount val="1"/>
                <c:pt idx="0">
                  <c:v>FCM</c:v>
                </c:pt>
              </c:strCache>
            </c:strRef>
          </c:tx>
          <c:marker>
            <c:symbol val="none"/>
          </c:marker>
          <c:xVal>
            <c:numRef>
              <c:f>Normalized!$E$3:$E$240</c:f>
              <c:numCache>
                <c:formatCode>0.00E+00</c:formatCode>
                <c:ptCount val="238"/>
                <c:pt idx="0">
                  <c:v>20000000</c:v>
                </c:pt>
                <c:pt idx="1">
                  <c:v>17333000</c:v>
                </c:pt>
                <c:pt idx="2">
                  <c:v>15683000</c:v>
                </c:pt>
                <c:pt idx="3">
                  <c:v>14550000</c:v>
                </c:pt>
                <c:pt idx="4">
                  <c:v>13840000</c:v>
                </c:pt>
                <c:pt idx="5">
                  <c:v>12840000</c:v>
                </c:pt>
                <c:pt idx="6">
                  <c:v>10000000</c:v>
                </c:pt>
                <c:pt idx="7">
                  <c:v>8187300</c:v>
                </c:pt>
                <c:pt idx="8">
                  <c:v>6434000</c:v>
                </c:pt>
                <c:pt idx="9">
                  <c:v>4800000</c:v>
                </c:pt>
                <c:pt idx="10">
                  <c:v>4304000</c:v>
                </c:pt>
                <c:pt idx="11">
                  <c:v>3000000</c:v>
                </c:pt>
                <c:pt idx="12">
                  <c:v>2479000</c:v>
                </c:pt>
                <c:pt idx="13">
                  <c:v>2354000</c:v>
                </c:pt>
                <c:pt idx="14">
                  <c:v>1850000</c:v>
                </c:pt>
                <c:pt idx="15">
                  <c:v>1500000</c:v>
                </c:pt>
                <c:pt idx="16">
                  <c:v>1400000</c:v>
                </c:pt>
                <c:pt idx="17">
                  <c:v>1356000</c:v>
                </c:pt>
                <c:pt idx="18">
                  <c:v>1317000</c:v>
                </c:pt>
                <c:pt idx="19">
                  <c:v>1250000</c:v>
                </c:pt>
                <c:pt idx="20">
                  <c:v>1200000</c:v>
                </c:pt>
                <c:pt idx="21">
                  <c:v>1100000</c:v>
                </c:pt>
                <c:pt idx="22">
                  <c:v>1010000</c:v>
                </c:pt>
                <c:pt idx="23">
                  <c:v>920000</c:v>
                </c:pt>
                <c:pt idx="24">
                  <c:v>900000</c:v>
                </c:pt>
                <c:pt idx="25">
                  <c:v>875000</c:v>
                </c:pt>
                <c:pt idx="26">
                  <c:v>861100</c:v>
                </c:pt>
                <c:pt idx="27">
                  <c:v>820000</c:v>
                </c:pt>
                <c:pt idx="28">
                  <c:v>750000</c:v>
                </c:pt>
                <c:pt idx="29">
                  <c:v>679000</c:v>
                </c:pt>
                <c:pt idx="30">
                  <c:v>670000</c:v>
                </c:pt>
                <c:pt idx="31">
                  <c:v>600000</c:v>
                </c:pt>
                <c:pt idx="32">
                  <c:v>573000</c:v>
                </c:pt>
                <c:pt idx="33">
                  <c:v>550000</c:v>
                </c:pt>
                <c:pt idx="34">
                  <c:v>499520</c:v>
                </c:pt>
                <c:pt idx="35">
                  <c:v>470000</c:v>
                </c:pt>
                <c:pt idx="36">
                  <c:v>440000</c:v>
                </c:pt>
                <c:pt idx="37">
                  <c:v>420000</c:v>
                </c:pt>
                <c:pt idx="38">
                  <c:v>400000</c:v>
                </c:pt>
                <c:pt idx="39">
                  <c:v>330000</c:v>
                </c:pt>
                <c:pt idx="40">
                  <c:v>270000</c:v>
                </c:pt>
                <c:pt idx="41">
                  <c:v>200000</c:v>
                </c:pt>
                <c:pt idx="42">
                  <c:v>150000</c:v>
                </c:pt>
                <c:pt idx="43">
                  <c:v>128300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8030</c:v>
                </c:pt>
                <c:pt idx="59">
                  <c:v>6000</c:v>
                </c:pt>
                <c:pt idx="60">
                  <c:v>3900</c:v>
                </c:pt>
                <c:pt idx="61">
                  <c:v>3740</c:v>
                </c:pt>
                <c:pt idx="62">
                  <c:v>3000</c:v>
                </c:pt>
                <c:pt idx="63">
                  <c:v>2580</c:v>
                </c:pt>
                <c:pt idx="64">
                  <c:v>2290</c:v>
                </c:pt>
                <c:pt idx="65">
                  <c:v>2200</c:v>
                </c:pt>
                <c:pt idx="66">
                  <c:v>1800</c:v>
                </c:pt>
                <c:pt idx="67">
                  <c:v>1550</c:v>
                </c:pt>
                <c:pt idx="68">
                  <c:v>1500</c:v>
                </c:pt>
                <c:pt idx="69">
                  <c:v>1150</c:v>
                </c:pt>
                <c:pt idx="70">
                  <c:v>950</c:v>
                </c:pt>
                <c:pt idx="71">
                  <c:v>683</c:v>
                </c:pt>
                <c:pt idx="72">
                  <c:v>670</c:v>
                </c:pt>
                <c:pt idx="73">
                  <c:v>550</c:v>
                </c:pt>
                <c:pt idx="74">
                  <c:v>305</c:v>
                </c:pt>
                <c:pt idx="75">
                  <c:v>285</c:v>
                </c:pt>
                <c:pt idx="76">
                  <c:v>240</c:v>
                </c:pt>
                <c:pt idx="77">
                  <c:v>210</c:v>
                </c:pt>
                <c:pt idx="78">
                  <c:v>207.5</c:v>
                </c:pt>
                <c:pt idx="79">
                  <c:v>192.5</c:v>
                </c:pt>
                <c:pt idx="80">
                  <c:v>186</c:v>
                </c:pt>
                <c:pt idx="81">
                  <c:v>122</c:v>
                </c:pt>
                <c:pt idx="82">
                  <c:v>119</c:v>
                </c:pt>
                <c:pt idx="83">
                  <c:v>115</c:v>
                </c:pt>
                <c:pt idx="84">
                  <c:v>108</c:v>
                </c:pt>
                <c:pt idx="85">
                  <c:v>100</c:v>
                </c:pt>
                <c:pt idx="86">
                  <c:v>90</c:v>
                </c:pt>
                <c:pt idx="87">
                  <c:v>82</c:v>
                </c:pt>
                <c:pt idx="88">
                  <c:v>80</c:v>
                </c:pt>
                <c:pt idx="89">
                  <c:v>76</c:v>
                </c:pt>
                <c:pt idx="90">
                  <c:v>72</c:v>
                </c:pt>
                <c:pt idx="91">
                  <c:v>67.5</c:v>
                </c:pt>
                <c:pt idx="92">
                  <c:v>65</c:v>
                </c:pt>
                <c:pt idx="93">
                  <c:v>61</c:v>
                </c:pt>
                <c:pt idx="94">
                  <c:v>59</c:v>
                </c:pt>
                <c:pt idx="95">
                  <c:v>53.4</c:v>
                </c:pt>
                <c:pt idx="96">
                  <c:v>52</c:v>
                </c:pt>
                <c:pt idx="97">
                  <c:v>50.6</c:v>
                </c:pt>
                <c:pt idx="98">
                  <c:v>49.2</c:v>
                </c:pt>
                <c:pt idx="99">
                  <c:v>48.3</c:v>
                </c:pt>
                <c:pt idx="100">
                  <c:v>47</c:v>
                </c:pt>
                <c:pt idx="101">
                  <c:v>45.2</c:v>
                </c:pt>
                <c:pt idx="102">
                  <c:v>44</c:v>
                </c:pt>
                <c:pt idx="103">
                  <c:v>42.4</c:v>
                </c:pt>
                <c:pt idx="104">
                  <c:v>41</c:v>
                </c:pt>
                <c:pt idx="105">
                  <c:v>39.6</c:v>
                </c:pt>
                <c:pt idx="106">
                  <c:v>39.1</c:v>
                </c:pt>
                <c:pt idx="107">
                  <c:v>38</c:v>
                </c:pt>
                <c:pt idx="108">
                  <c:v>37</c:v>
                </c:pt>
                <c:pt idx="109">
                  <c:v>35.5</c:v>
                </c:pt>
                <c:pt idx="110">
                  <c:v>34.6</c:v>
                </c:pt>
                <c:pt idx="111">
                  <c:v>33.75</c:v>
                </c:pt>
                <c:pt idx="112">
                  <c:v>33.25</c:v>
                </c:pt>
                <c:pt idx="113">
                  <c:v>31.75</c:v>
                </c:pt>
                <c:pt idx="114">
                  <c:v>31.25</c:v>
                </c:pt>
                <c:pt idx="115">
                  <c:v>30</c:v>
                </c:pt>
                <c:pt idx="116">
                  <c:v>27.5</c:v>
                </c:pt>
                <c:pt idx="117">
                  <c:v>25</c:v>
                </c:pt>
                <c:pt idx="118">
                  <c:v>22.5</c:v>
                </c:pt>
                <c:pt idx="119">
                  <c:v>21</c:v>
                </c:pt>
                <c:pt idx="120">
                  <c:v>20</c:v>
                </c:pt>
                <c:pt idx="121">
                  <c:v>19</c:v>
                </c:pt>
                <c:pt idx="122">
                  <c:v>18.5</c:v>
                </c:pt>
                <c:pt idx="123">
                  <c:v>17</c:v>
                </c:pt>
                <c:pt idx="124">
                  <c:v>16</c:v>
                </c:pt>
                <c:pt idx="125">
                  <c:v>15.0999</c:v>
                </c:pt>
                <c:pt idx="126">
                  <c:v>14.4</c:v>
                </c:pt>
                <c:pt idx="127">
                  <c:v>13.75</c:v>
                </c:pt>
                <c:pt idx="128">
                  <c:v>12.9</c:v>
                </c:pt>
                <c:pt idx="129">
                  <c:v>11.9</c:v>
                </c:pt>
                <c:pt idx="130">
                  <c:v>11.5</c:v>
                </c:pt>
                <c:pt idx="131">
                  <c:v>10</c:v>
                </c:pt>
                <c:pt idx="132">
                  <c:v>9.09999</c:v>
                </c:pt>
                <c:pt idx="133">
                  <c:v>8.09999</c:v>
                </c:pt>
                <c:pt idx="134">
                  <c:v>7.1499999999999986</c:v>
                </c:pt>
                <c:pt idx="135">
                  <c:v>7</c:v>
                </c:pt>
                <c:pt idx="136">
                  <c:v>6.75</c:v>
                </c:pt>
                <c:pt idx="137">
                  <c:v>6.5</c:v>
                </c:pt>
                <c:pt idx="138">
                  <c:v>6.25</c:v>
                </c:pt>
                <c:pt idx="139">
                  <c:v>6</c:v>
                </c:pt>
                <c:pt idx="140">
                  <c:v>5.4</c:v>
                </c:pt>
                <c:pt idx="141">
                  <c:v>5</c:v>
                </c:pt>
                <c:pt idx="142">
                  <c:v>4.75</c:v>
                </c:pt>
                <c:pt idx="143">
                  <c:v>4</c:v>
                </c:pt>
                <c:pt idx="144">
                  <c:v>3.73</c:v>
                </c:pt>
                <c:pt idx="145">
                  <c:v>3.5</c:v>
                </c:pt>
                <c:pt idx="146">
                  <c:v>3.15</c:v>
                </c:pt>
                <c:pt idx="147">
                  <c:v>3.0499900000000002</c:v>
                </c:pt>
                <c:pt idx="148">
                  <c:v>3</c:v>
                </c:pt>
                <c:pt idx="149">
                  <c:v>2.9699900000000001</c:v>
                </c:pt>
                <c:pt idx="150">
                  <c:v>2.87</c:v>
                </c:pt>
                <c:pt idx="151">
                  <c:v>2.77</c:v>
                </c:pt>
                <c:pt idx="152">
                  <c:v>2.6699899999999999</c:v>
                </c:pt>
                <c:pt idx="153">
                  <c:v>2.57</c:v>
                </c:pt>
                <c:pt idx="154">
                  <c:v>2.4699900000000001</c:v>
                </c:pt>
                <c:pt idx="155">
                  <c:v>2.3799899999999981</c:v>
                </c:pt>
                <c:pt idx="156">
                  <c:v>2.2999900000000002</c:v>
                </c:pt>
                <c:pt idx="157">
                  <c:v>2.2099899999999999</c:v>
                </c:pt>
                <c:pt idx="158">
                  <c:v>2.12</c:v>
                </c:pt>
                <c:pt idx="159">
                  <c:v>2</c:v>
                </c:pt>
                <c:pt idx="160">
                  <c:v>1.94</c:v>
                </c:pt>
                <c:pt idx="161">
                  <c:v>1.86</c:v>
                </c:pt>
                <c:pt idx="162">
                  <c:v>1.77</c:v>
                </c:pt>
                <c:pt idx="163">
                  <c:v>1.6799900000000001</c:v>
                </c:pt>
                <c:pt idx="164">
                  <c:v>1.58999</c:v>
                </c:pt>
                <c:pt idx="165">
                  <c:v>1.5</c:v>
                </c:pt>
                <c:pt idx="166">
                  <c:v>1.45</c:v>
                </c:pt>
                <c:pt idx="167">
                  <c:v>1.4</c:v>
                </c:pt>
                <c:pt idx="168">
                  <c:v>1.34999</c:v>
                </c:pt>
                <c:pt idx="169">
                  <c:v>1.29999</c:v>
                </c:pt>
                <c:pt idx="170">
                  <c:v>1.25</c:v>
                </c:pt>
                <c:pt idx="171">
                  <c:v>1.22499</c:v>
                </c:pt>
                <c:pt idx="172">
                  <c:v>1.2</c:v>
                </c:pt>
                <c:pt idx="173">
                  <c:v>1.17499</c:v>
                </c:pt>
                <c:pt idx="174">
                  <c:v>1.1499999999999999</c:v>
                </c:pt>
                <c:pt idx="175">
                  <c:v>1.1399900000000001</c:v>
                </c:pt>
                <c:pt idx="176">
                  <c:v>1.12999</c:v>
                </c:pt>
                <c:pt idx="177">
                  <c:v>1.1200000000000001</c:v>
                </c:pt>
                <c:pt idx="178">
                  <c:v>1.1100000000000001</c:v>
                </c:pt>
                <c:pt idx="179">
                  <c:v>1.09999</c:v>
                </c:pt>
                <c:pt idx="180">
                  <c:v>1.08999</c:v>
                </c:pt>
                <c:pt idx="181">
                  <c:v>1.08</c:v>
                </c:pt>
                <c:pt idx="182">
                  <c:v>1.07</c:v>
                </c:pt>
                <c:pt idx="183">
                  <c:v>1.05999</c:v>
                </c:pt>
                <c:pt idx="184">
                  <c:v>1.04999</c:v>
                </c:pt>
                <c:pt idx="185">
                  <c:v>1.04</c:v>
                </c:pt>
                <c:pt idx="186">
                  <c:v>1.03</c:v>
                </c:pt>
                <c:pt idx="187">
                  <c:v>1.02</c:v>
                </c:pt>
                <c:pt idx="188">
                  <c:v>1.0099899999999999</c:v>
                </c:pt>
                <c:pt idx="189">
                  <c:v>1</c:v>
                </c:pt>
                <c:pt idx="190">
                  <c:v>0.97499999999999998</c:v>
                </c:pt>
                <c:pt idx="191">
                  <c:v>0.95</c:v>
                </c:pt>
                <c:pt idx="192">
                  <c:v>0.92500000000000004</c:v>
                </c:pt>
                <c:pt idx="193">
                  <c:v>0.9</c:v>
                </c:pt>
                <c:pt idx="194">
                  <c:v>0.85</c:v>
                </c:pt>
                <c:pt idx="195">
                  <c:v>0.8</c:v>
                </c:pt>
                <c:pt idx="196">
                  <c:v>0.75</c:v>
                </c:pt>
                <c:pt idx="197">
                  <c:v>0.7</c:v>
                </c:pt>
                <c:pt idx="198">
                  <c:v>0.65</c:v>
                </c:pt>
                <c:pt idx="199">
                  <c:v>0.625</c:v>
                </c:pt>
                <c:pt idx="200">
                  <c:v>0.6</c:v>
                </c:pt>
                <c:pt idx="201">
                  <c:v>0.55000000000000004</c:v>
                </c:pt>
                <c:pt idx="202">
                  <c:v>0.5</c:v>
                </c:pt>
                <c:pt idx="203">
                  <c:v>0.45</c:v>
                </c:pt>
                <c:pt idx="204">
                  <c:v>0.4</c:v>
                </c:pt>
                <c:pt idx="205">
                  <c:v>0.375</c:v>
                </c:pt>
                <c:pt idx="206">
                  <c:v>0.35</c:v>
                </c:pt>
                <c:pt idx="207">
                  <c:v>0.32500000000000001</c:v>
                </c:pt>
                <c:pt idx="208">
                  <c:v>0.3</c:v>
                </c:pt>
                <c:pt idx="209">
                  <c:v>0.27500000000000002</c:v>
                </c:pt>
                <c:pt idx="210">
                  <c:v>0.25</c:v>
                </c:pt>
                <c:pt idx="211">
                  <c:v>0.22500000000000001</c:v>
                </c:pt>
                <c:pt idx="212">
                  <c:v>0.2</c:v>
                </c:pt>
                <c:pt idx="213">
                  <c:v>0.17499999999999999</c:v>
                </c:pt>
                <c:pt idx="214">
                  <c:v>0.15</c:v>
                </c:pt>
                <c:pt idx="215">
                  <c:v>0.125</c:v>
                </c:pt>
                <c:pt idx="216">
                  <c:v>0.1</c:v>
                </c:pt>
                <c:pt idx="217">
                  <c:v>0.09</c:v>
                </c:pt>
                <c:pt idx="218">
                  <c:v>0.08</c:v>
                </c:pt>
                <c:pt idx="219">
                  <c:v>7.0000000000000007E-2</c:v>
                </c:pt>
                <c:pt idx="220">
                  <c:v>0.06</c:v>
                </c:pt>
                <c:pt idx="221">
                  <c:v>0.05</c:v>
                </c:pt>
                <c:pt idx="222">
                  <c:v>0.04</c:v>
                </c:pt>
                <c:pt idx="223">
                  <c:v>0.03</c:v>
                </c:pt>
                <c:pt idx="224">
                  <c:v>2.53E-2</c:v>
                </c:pt>
                <c:pt idx="225">
                  <c:v>0.01</c:v>
                </c:pt>
                <c:pt idx="226">
                  <c:v>7.4999999999999997E-3</c:v>
                </c:pt>
                <c:pt idx="227">
                  <c:v>5.0000000000000001E-3</c:v>
                </c:pt>
                <c:pt idx="228">
                  <c:v>4.0000000000000001E-3</c:v>
                </c:pt>
                <c:pt idx="229">
                  <c:v>3.0000000000000001E-3</c:v>
                </c:pt>
                <c:pt idx="230">
                  <c:v>2.5000000000000001E-3</c:v>
                </c:pt>
                <c:pt idx="231">
                  <c:v>2E-3</c:v>
                </c:pt>
                <c:pt idx="232">
                  <c:v>1.5E-3</c:v>
                </c:pt>
                <c:pt idx="233">
                  <c:v>1.1999999999999999E-3</c:v>
                </c:pt>
                <c:pt idx="234">
                  <c:v>1E-3</c:v>
                </c:pt>
                <c:pt idx="235">
                  <c:v>7.5000000000000002E-4</c:v>
                </c:pt>
                <c:pt idx="236">
                  <c:v>5.0000000000000001E-4</c:v>
                </c:pt>
                <c:pt idx="237">
                  <c:v>1E-4</c:v>
                </c:pt>
              </c:numCache>
            </c:numRef>
          </c:xVal>
          <c:yVal>
            <c:numRef>
              <c:f>'Flux per Lethargy'!$F$3:$F$240</c:f>
              <c:numCache>
                <c:formatCode>0.00E+00</c:formatCode>
                <c:ptCount val="238"/>
                <c:pt idx="0">
                  <c:v>1.31133123752207E-6</c:v>
                </c:pt>
                <c:pt idx="1">
                  <c:v>3.30163647565891E-5</c:v>
                </c:pt>
                <c:pt idx="2">
                  <c:v>9.1816067120299E-5</c:v>
                </c:pt>
                <c:pt idx="3">
                  <c:v>1.6823572386711399E-4</c:v>
                </c:pt>
                <c:pt idx="4">
                  <c:v>3.0633676774928297E-4</c:v>
                </c:pt>
                <c:pt idx="5">
                  <c:v>1.3549230372599801E-3</c:v>
                </c:pt>
                <c:pt idx="6">
                  <c:v>4.8870352848253496E-3</c:v>
                </c:pt>
                <c:pt idx="7">
                  <c:v>1.50471031521217E-2</c:v>
                </c:pt>
                <c:pt idx="8">
                  <c:v>3.8256875194504603E-2</c:v>
                </c:pt>
                <c:pt idx="9">
                  <c:v>5.9608333259608202E-2</c:v>
                </c:pt>
                <c:pt idx="10">
                  <c:v>8.7351642054351197E-2</c:v>
                </c:pt>
                <c:pt idx="11">
                  <c:v>0.13247175436752601</c:v>
                </c:pt>
                <c:pt idx="12">
                  <c:v>0.159531101765129</c:v>
                </c:pt>
                <c:pt idx="13">
                  <c:v>0.15733935968828799</c:v>
                </c:pt>
                <c:pt idx="14">
                  <c:v>0.170905349631047</c:v>
                </c:pt>
                <c:pt idx="15">
                  <c:v>0.180776394298684</c:v>
                </c:pt>
                <c:pt idx="16">
                  <c:v>0.18063624344580201</c:v>
                </c:pt>
                <c:pt idx="17">
                  <c:v>0.16637835916180699</c:v>
                </c:pt>
                <c:pt idx="18">
                  <c:v>0.17198624456678799</c:v>
                </c:pt>
                <c:pt idx="19">
                  <c:v>0.173595606934316</c:v>
                </c:pt>
                <c:pt idx="20">
                  <c:v>0.17686945937786899</c:v>
                </c:pt>
                <c:pt idx="21">
                  <c:v>0.15391141900331501</c:v>
                </c:pt>
                <c:pt idx="22">
                  <c:v>0.14567202738378501</c:v>
                </c:pt>
                <c:pt idx="23">
                  <c:v>0.155459007017137</c:v>
                </c:pt>
                <c:pt idx="24">
                  <c:v>0.16622492318143001</c:v>
                </c:pt>
                <c:pt idx="25">
                  <c:v>0.165404184894267</c:v>
                </c:pt>
                <c:pt idx="26">
                  <c:v>0.16069729541993999</c:v>
                </c:pt>
                <c:pt idx="27">
                  <c:v>0.172774023975132</c:v>
                </c:pt>
                <c:pt idx="28">
                  <c:v>0.16325631028128601</c:v>
                </c:pt>
                <c:pt idx="29">
                  <c:v>0.159165945555306</c:v>
                </c:pt>
                <c:pt idx="30">
                  <c:v>0.153940592164342</c:v>
                </c:pt>
                <c:pt idx="31">
                  <c:v>0.144521288377326</c:v>
                </c:pt>
                <c:pt idx="32">
                  <c:v>0.13434412505660401</c:v>
                </c:pt>
                <c:pt idx="33">
                  <c:v>0.137679957652421</c:v>
                </c:pt>
                <c:pt idx="34">
                  <c:v>0.134138799764738</c:v>
                </c:pt>
                <c:pt idx="35">
                  <c:v>0.11660876408544101</c:v>
                </c:pt>
                <c:pt idx="36">
                  <c:v>0.10588982397647501</c:v>
                </c:pt>
                <c:pt idx="37">
                  <c:v>0.113674901450243</c:v>
                </c:pt>
                <c:pt idx="38">
                  <c:v>0.114696361362979</c:v>
                </c:pt>
                <c:pt idx="39">
                  <c:v>0.106224773721072</c:v>
                </c:pt>
                <c:pt idx="40">
                  <c:v>8.7925380105057196E-2</c:v>
                </c:pt>
                <c:pt idx="41">
                  <c:v>9.0282999296066799E-2</c:v>
                </c:pt>
                <c:pt idx="42">
                  <c:v>7.9256728914503097E-2</c:v>
                </c:pt>
                <c:pt idx="43">
                  <c:v>7.0558621491419699E-2</c:v>
                </c:pt>
                <c:pt idx="44">
                  <c:v>6.46057225570775E-2</c:v>
                </c:pt>
                <c:pt idx="45">
                  <c:v>6.3698159767606399E-2</c:v>
                </c:pt>
                <c:pt idx="46">
                  <c:v>6.1287832101737001E-2</c:v>
                </c:pt>
                <c:pt idx="47">
                  <c:v>6.0195486915430002E-2</c:v>
                </c:pt>
                <c:pt idx="48">
                  <c:v>5.7631754485123997E-2</c:v>
                </c:pt>
                <c:pt idx="49">
                  <c:v>5.4254530459219401E-2</c:v>
                </c:pt>
                <c:pt idx="50">
                  <c:v>6.0374286170944702E-2</c:v>
                </c:pt>
                <c:pt idx="51">
                  <c:v>5.4285387486790897E-2</c:v>
                </c:pt>
                <c:pt idx="52">
                  <c:v>5.1161792718223499E-2</c:v>
                </c:pt>
                <c:pt idx="53">
                  <c:v>4.8305419973597899E-2</c:v>
                </c:pt>
                <c:pt idx="54">
                  <c:v>4.6116750264346203E-2</c:v>
                </c:pt>
                <c:pt idx="55">
                  <c:v>4.5533540674685E-2</c:v>
                </c:pt>
                <c:pt idx="56">
                  <c:v>4.41222086111627E-2</c:v>
                </c:pt>
                <c:pt idx="57">
                  <c:v>4.2775791045375502E-2</c:v>
                </c:pt>
                <c:pt idx="58">
                  <c:v>4.2386188951724399E-2</c:v>
                </c:pt>
                <c:pt idx="59">
                  <c:v>4.1888343550038801E-2</c:v>
                </c:pt>
                <c:pt idx="60">
                  <c:v>4.0118934800298503E-2</c:v>
                </c:pt>
                <c:pt idx="61">
                  <c:v>4.1302414393000399E-2</c:v>
                </c:pt>
                <c:pt idx="62">
                  <c:v>3.9539590794356802E-2</c:v>
                </c:pt>
                <c:pt idx="63">
                  <c:v>4.1621616135841297E-2</c:v>
                </c:pt>
                <c:pt idx="64">
                  <c:v>3.81812292579852E-2</c:v>
                </c:pt>
                <c:pt idx="65">
                  <c:v>4.0444990679089E-2</c:v>
                </c:pt>
                <c:pt idx="66">
                  <c:v>3.9713348780091702E-2</c:v>
                </c:pt>
                <c:pt idx="67">
                  <c:v>3.6560950219211498E-2</c:v>
                </c:pt>
                <c:pt idx="68">
                  <c:v>4.0090767434425099E-2</c:v>
                </c:pt>
                <c:pt idx="69">
                  <c:v>3.9393125014403202E-2</c:v>
                </c:pt>
                <c:pt idx="70">
                  <c:v>3.9181108825785099E-2</c:v>
                </c:pt>
                <c:pt idx="71">
                  <c:v>3.5996856704986403E-2</c:v>
                </c:pt>
                <c:pt idx="72">
                  <c:v>3.87819825288351E-2</c:v>
                </c:pt>
                <c:pt idx="73">
                  <c:v>3.8909113327744001E-2</c:v>
                </c:pt>
                <c:pt idx="74">
                  <c:v>3.3701178494128903E-2</c:v>
                </c:pt>
                <c:pt idx="75">
                  <c:v>3.76832261480907E-2</c:v>
                </c:pt>
                <c:pt idx="76">
                  <c:v>3.6157456387509897E-2</c:v>
                </c:pt>
                <c:pt idx="77">
                  <c:v>2.4336268695874901E-2</c:v>
                </c:pt>
                <c:pt idx="78">
                  <c:v>3.7349712489024502E-2</c:v>
                </c:pt>
                <c:pt idx="79">
                  <c:v>3.3835510866438101E-2</c:v>
                </c:pt>
                <c:pt idx="80">
                  <c:v>3.6589016635514698E-2</c:v>
                </c:pt>
                <c:pt idx="81">
                  <c:v>3.53175228573668E-2</c:v>
                </c:pt>
                <c:pt idx="82">
                  <c:v>3.1472545713302998E-2</c:v>
                </c:pt>
                <c:pt idx="83">
                  <c:v>3.5324091182239899E-2</c:v>
                </c:pt>
                <c:pt idx="84">
                  <c:v>3.3405276557456801E-2</c:v>
                </c:pt>
                <c:pt idx="85">
                  <c:v>3.4915278649483801E-2</c:v>
                </c:pt>
                <c:pt idx="86">
                  <c:v>3.4501767226517897E-2</c:v>
                </c:pt>
                <c:pt idx="87">
                  <c:v>3.1430893681264803E-2</c:v>
                </c:pt>
                <c:pt idx="88">
                  <c:v>3.4963876609715103E-2</c:v>
                </c:pt>
                <c:pt idx="89">
                  <c:v>3.4104026224985498E-2</c:v>
                </c:pt>
                <c:pt idx="90">
                  <c:v>3.4121976101207999E-2</c:v>
                </c:pt>
                <c:pt idx="91">
                  <c:v>2.6082318239608899E-2</c:v>
                </c:pt>
                <c:pt idx="92">
                  <c:v>3.4459183344730998E-2</c:v>
                </c:pt>
                <c:pt idx="93">
                  <c:v>3.3840945357844203E-2</c:v>
                </c:pt>
                <c:pt idx="94">
                  <c:v>3.3034264227585798E-2</c:v>
                </c:pt>
                <c:pt idx="95">
                  <c:v>3.3156691449834998E-2</c:v>
                </c:pt>
                <c:pt idx="96">
                  <c:v>3.2686695518808102E-2</c:v>
                </c:pt>
                <c:pt idx="97">
                  <c:v>3.3059443932543099E-2</c:v>
                </c:pt>
                <c:pt idx="98">
                  <c:v>3.3214571877602399E-2</c:v>
                </c:pt>
                <c:pt idx="99">
                  <c:v>3.2655046887091102E-2</c:v>
                </c:pt>
                <c:pt idx="100">
                  <c:v>3.2878364495248398E-2</c:v>
                </c:pt>
                <c:pt idx="101">
                  <c:v>2.9704860049901999E-2</c:v>
                </c:pt>
                <c:pt idx="102">
                  <c:v>3.1585250118704097E-2</c:v>
                </c:pt>
                <c:pt idx="103">
                  <c:v>3.2372852082533002E-2</c:v>
                </c:pt>
                <c:pt idx="104">
                  <c:v>3.3040019260058798E-2</c:v>
                </c:pt>
                <c:pt idx="105">
                  <c:v>3.0954490961718598E-2</c:v>
                </c:pt>
                <c:pt idx="106">
                  <c:v>3.1831630766809803E-2</c:v>
                </c:pt>
                <c:pt idx="107">
                  <c:v>2.62983346381068E-2</c:v>
                </c:pt>
                <c:pt idx="108">
                  <c:v>2.2985371116279501E-2</c:v>
                </c:pt>
                <c:pt idx="109">
                  <c:v>2.8372240703891799E-2</c:v>
                </c:pt>
                <c:pt idx="110">
                  <c:v>2.9455201754140199E-2</c:v>
                </c:pt>
                <c:pt idx="111">
                  <c:v>2.9340720834558399E-2</c:v>
                </c:pt>
                <c:pt idx="112">
                  <c:v>3.08119198037764E-2</c:v>
                </c:pt>
                <c:pt idx="113">
                  <c:v>3.1786006892580397E-2</c:v>
                </c:pt>
                <c:pt idx="114">
                  <c:v>3.1510406066607502E-2</c:v>
                </c:pt>
                <c:pt idx="115">
                  <c:v>3.1600760530658301E-2</c:v>
                </c:pt>
                <c:pt idx="116">
                  <c:v>3.1559112352651603E-2</c:v>
                </c:pt>
                <c:pt idx="117">
                  <c:v>3.10553477716046E-2</c:v>
                </c:pt>
                <c:pt idx="118">
                  <c:v>2.6990252346658201E-2</c:v>
                </c:pt>
                <c:pt idx="119">
                  <c:v>1.9165290740139101E-2</c:v>
                </c:pt>
                <c:pt idx="120">
                  <c:v>2.6738684022054499E-2</c:v>
                </c:pt>
                <c:pt idx="121">
                  <c:v>2.8957440847272201E-2</c:v>
                </c:pt>
                <c:pt idx="122">
                  <c:v>2.9111767966543599E-2</c:v>
                </c:pt>
                <c:pt idx="123">
                  <c:v>2.9096821894909902E-2</c:v>
                </c:pt>
                <c:pt idx="124">
                  <c:v>2.8677554814560299E-2</c:v>
                </c:pt>
                <c:pt idx="125">
                  <c:v>2.5332399744896102E-2</c:v>
                </c:pt>
                <c:pt idx="126">
                  <c:v>2.81559680275957E-2</c:v>
                </c:pt>
                <c:pt idx="127">
                  <c:v>2.9559449855852401E-2</c:v>
                </c:pt>
                <c:pt idx="128">
                  <c:v>2.7623580298196102E-2</c:v>
                </c:pt>
                <c:pt idx="129">
                  <c:v>2.6742868467886802E-2</c:v>
                </c:pt>
                <c:pt idx="130">
                  <c:v>2.8731773311667701E-2</c:v>
                </c:pt>
                <c:pt idx="131">
                  <c:v>2.8748102170002201E-2</c:v>
                </c:pt>
                <c:pt idx="132">
                  <c:v>2.60424239209552E-2</c:v>
                </c:pt>
                <c:pt idx="133">
                  <c:v>2.7264479819586199E-2</c:v>
                </c:pt>
                <c:pt idx="134">
                  <c:v>2.4965862815855999E-2</c:v>
                </c:pt>
                <c:pt idx="135">
                  <c:v>1.6319673220869801E-2</c:v>
                </c:pt>
                <c:pt idx="136">
                  <c:v>6.8914607357063798E-3</c:v>
                </c:pt>
                <c:pt idx="137">
                  <c:v>1.8804046452995399E-2</c:v>
                </c:pt>
                <c:pt idx="138">
                  <c:v>2.27999346221388E-2</c:v>
                </c:pt>
                <c:pt idx="139">
                  <c:v>1.9203873999629702E-2</c:v>
                </c:pt>
                <c:pt idx="140">
                  <c:v>2.06818950633396E-2</c:v>
                </c:pt>
                <c:pt idx="141">
                  <c:v>2.2957254809768499E-2</c:v>
                </c:pt>
                <c:pt idx="142">
                  <c:v>2.4185412361336998E-2</c:v>
                </c:pt>
                <c:pt idx="143">
                  <c:v>2.4909408555241801E-2</c:v>
                </c:pt>
                <c:pt idx="144">
                  <c:v>2.4448355121694802E-2</c:v>
                </c:pt>
                <c:pt idx="145">
                  <c:v>2.486762181053E-2</c:v>
                </c:pt>
                <c:pt idx="146">
                  <c:v>2.4758630132549801E-2</c:v>
                </c:pt>
                <c:pt idx="147">
                  <c:v>2.4935648179331801E-2</c:v>
                </c:pt>
                <c:pt idx="148">
                  <c:v>2.9295048272345501E-2</c:v>
                </c:pt>
                <c:pt idx="149">
                  <c:v>2.7017519712712702E-2</c:v>
                </c:pt>
                <c:pt idx="150">
                  <c:v>2.6733516509148299E-2</c:v>
                </c:pt>
                <c:pt idx="151">
                  <c:v>2.6113006187191801E-2</c:v>
                </c:pt>
                <c:pt idx="152">
                  <c:v>2.5919097613597199E-2</c:v>
                </c:pt>
                <c:pt idx="153">
                  <c:v>2.6457920084556798E-2</c:v>
                </c:pt>
                <c:pt idx="154">
                  <c:v>2.6259421760373401E-2</c:v>
                </c:pt>
                <c:pt idx="155">
                  <c:v>2.61790320210805E-2</c:v>
                </c:pt>
                <c:pt idx="156">
                  <c:v>2.6142188810046998E-2</c:v>
                </c:pt>
                <c:pt idx="157">
                  <c:v>2.58575632383569E-2</c:v>
                </c:pt>
                <c:pt idx="158">
                  <c:v>2.55969283041084E-2</c:v>
                </c:pt>
                <c:pt idx="159">
                  <c:v>2.5913194254778601E-2</c:v>
                </c:pt>
                <c:pt idx="160">
                  <c:v>2.6263804580913E-2</c:v>
                </c:pt>
                <c:pt idx="161">
                  <c:v>2.63446495893945E-2</c:v>
                </c:pt>
                <c:pt idx="162">
                  <c:v>2.6404786063038501E-2</c:v>
                </c:pt>
                <c:pt idx="163">
                  <c:v>2.6579270674612E-2</c:v>
                </c:pt>
                <c:pt idx="164">
                  <c:v>2.63411071682726E-2</c:v>
                </c:pt>
                <c:pt idx="165">
                  <c:v>2.6020796335462799E-2</c:v>
                </c:pt>
                <c:pt idx="166">
                  <c:v>2.6044553686514801E-2</c:v>
                </c:pt>
                <c:pt idx="167">
                  <c:v>2.5795862721774102E-2</c:v>
                </c:pt>
                <c:pt idx="168">
                  <c:v>2.5110067116489901E-2</c:v>
                </c:pt>
                <c:pt idx="169">
                  <c:v>2.45525032594213E-2</c:v>
                </c:pt>
                <c:pt idx="170">
                  <c:v>2.41875405979073E-2</c:v>
                </c:pt>
                <c:pt idx="171">
                  <c:v>2.3976067554626598E-2</c:v>
                </c:pt>
                <c:pt idx="172">
                  <c:v>2.3658894601936899E-2</c:v>
                </c:pt>
                <c:pt idx="173">
                  <c:v>2.2945881164383002E-2</c:v>
                </c:pt>
                <c:pt idx="174">
                  <c:v>2.2069281401662401E-2</c:v>
                </c:pt>
                <c:pt idx="175">
                  <c:v>2.1318941476015301E-2</c:v>
                </c:pt>
                <c:pt idx="176">
                  <c:v>2.0330799800762699E-2</c:v>
                </c:pt>
                <c:pt idx="177">
                  <c:v>1.9083644859332598E-2</c:v>
                </c:pt>
                <c:pt idx="178">
                  <c:v>1.7624545891913201E-2</c:v>
                </c:pt>
                <c:pt idx="179">
                  <c:v>1.6092102712646002E-2</c:v>
                </c:pt>
                <c:pt idx="180">
                  <c:v>1.46860229009073E-2</c:v>
                </c:pt>
                <c:pt idx="181">
                  <c:v>1.3564968380814601E-2</c:v>
                </c:pt>
                <c:pt idx="182">
                  <c:v>1.2848464193308699E-2</c:v>
                </c:pt>
                <c:pt idx="183">
                  <c:v>1.25824180252094E-2</c:v>
                </c:pt>
                <c:pt idx="184">
                  <c:v>1.2788023241357201E-2</c:v>
                </c:pt>
                <c:pt idx="185">
                  <c:v>1.34649557001685E-2</c:v>
                </c:pt>
                <c:pt idx="186">
                  <c:v>1.45704967500065E-2</c:v>
                </c:pt>
                <c:pt idx="187">
                  <c:v>1.5998531220072301E-2</c:v>
                </c:pt>
                <c:pt idx="188">
                  <c:v>1.75581017581556E-2</c:v>
                </c:pt>
                <c:pt idx="189">
                  <c:v>1.98357520920623E-2</c:v>
                </c:pt>
                <c:pt idx="190">
                  <c:v>2.1613920032805899E-2</c:v>
                </c:pt>
                <c:pt idx="191">
                  <c:v>2.23346525451888E-2</c:v>
                </c:pt>
                <c:pt idx="192">
                  <c:v>2.2782497469744201E-2</c:v>
                </c:pt>
                <c:pt idx="193">
                  <c:v>2.3512092189818E-2</c:v>
                </c:pt>
                <c:pt idx="194">
                  <c:v>2.40521294008533E-2</c:v>
                </c:pt>
                <c:pt idx="195">
                  <c:v>2.4160882322859199E-2</c:v>
                </c:pt>
                <c:pt idx="196">
                  <c:v>2.49846669565034E-2</c:v>
                </c:pt>
                <c:pt idx="197">
                  <c:v>2.4775969776674098E-2</c:v>
                </c:pt>
                <c:pt idx="198">
                  <c:v>2.50872341580211E-2</c:v>
                </c:pt>
                <c:pt idx="199">
                  <c:v>2.56259234215543E-2</c:v>
                </c:pt>
                <c:pt idx="200">
                  <c:v>2.5131171355425301E-2</c:v>
                </c:pt>
                <c:pt idx="201">
                  <c:v>2.5761219195847701E-2</c:v>
                </c:pt>
                <c:pt idx="202">
                  <c:v>2.5129995325254999E-2</c:v>
                </c:pt>
                <c:pt idx="203">
                  <c:v>2.5378370447152701E-2</c:v>
                </c:pt>
                <c:pt idx="204">
                  <c:v>2.4860382700658101E-2</c:v>
                </c:pt>
                <c:pt idx="205">
                  <c:v>2.4323785212698099E-2</c:v>
                </c:pt>
                <c:pt idx="206">
                  <c:v>2.2586370901731299E-2</c:v>
                </c:pt>
                <c:pt idx="207">
                  <c:v>2.2542811537053901E-2</c:v>
                </c:pt>
                <c:pt idx="208">
                  <c:v>2.1939283011798202E-2</c:v>
                </c:pt>
                <c:pt idx="209">
                  <c:v>2.4324475772548801E-2</c:v>
                </c:pt>
                <c:pt idx="210">
                  <c:v>2.67325724916718E-2</c:v>
                </c:pt>
                <c:pt idx="211">
                  <c:v>2.90629690461006E-2</c:v>
                </c:pt>
                <c:pt idx="212">
                  <c:v>3.2018309189219198E-2</c:v>
                </c:pt>
                <c:pt idx="213">
                  <c:v>3.3621346774751197E-2</c:v>
                </c:pt>
                <c:pt idx="214">
                  <c:v>3.3879153950419703E-2</c:v>
                </c:pt>
                <c:pt idx="215">
                  <c:v>3.2728341533837899E-2</c:v>
                </c:pt>
                <c:pt idx="216">
                  <c:v>3.0298838560495599E-2</c:v>
                </c:pt>
                <c:pt idx="217">
                  <c:v>2.8305551384719699E-2</c:v>
                </c:pt>
                <c:pt idx="218">
                  <c:v>2.54468276809054E-2</c:v>
                </c:pt>
                <c:pt idx="219">
                  <c:v>2.2211149418933401E-2</c:v>
                </c:pt>
                <c:pt idx="220">
                  <c:v>1.85223471728179E-2</c:v>
                </c:pt>
                <c:pt idx="221">
                  <c:v>1.43457387887665E-2</c:v>
                </c:pt>
                <c:pt idx="222">
                  <c:v>1.0039761580226399E-2</c:v>
                </c:pt>
                <c:pt idx="223">
                  <c:v>6.9170705176066199E-3</c:v>
                </c:pt>
                <c:pt idx="224">
                  <c:v>3.1732812857694702E-3</c:v>
                </c:pt>
                <c:pt idx="225">
                  <c:v>8.5545835801011702E-4</c:v>
                </c:pt>
                <c:pt idx="226">
                  <c:v>4.3313250357879501E-4</c:v>
                </c:pt>
                <c:pt idx="227">
                  <c:v>2.1987895011715499E-4</c:v>
                </c:pt>
                <c:pt idx="228">
                  <c:v>1.29739320791284E-4</c:v>
                </c:pt>
                <c:pt idx="229">
                  <c:v>7.7738512307098904E-5</c:v>
                </c:pt>
                <c:pt idx="230">
                  <c:v>5.05865000662167E-5</c:v>
                </c:pt>
                <c:pt idx="231">
                  <c:v>2.9566260131854301E-5</c:v>
                </c:pt>
                <c:pt idx="232">
                  <c:v>1.6930436726677898E-5</c:v>
                </c:pt>
                <c:pt idx="233">
                  <c:v>1.0876944754230399E-5</c:v>
                </c:pt>
                <c:pt idx="234">
                  <c:v>6.6266380665769201E-6</c:v>
                </c:pt>
                <c:pt idx="235">
                  <c:v>3.1848525339146002E-6</c:v>
                </c:pt>
                <c:pt idx="236">
                  <c:v>6.5456980378673997E-7</c:v>
                </c:pt>
                <c:pt idx="237">
                  <c:v>1.5411145562388499E-8</c:v>
                </c:pt>
              </c:numCache>
            </c:numRef>
          </c:yVal>
          <c:smooth val="1"/>
        </c:ser>
        <c:ser>
          <c:idx val="1"/>
          <c:order val="1"/>
          <c:tx>
            <c:strRef>
              <c:f>Normalized!$G$2</c:f>
              <c:strCache>
                <c:ptCount val="1"/>
                <c:pt idx="0">
                  <c:v>UO2</c:v>
                </c:pt>
              </c:strCache>
            </c:strRef>
          </c:tx>
          <c:marker>
            <c:symbol val="none"/>
          </c:marker>
          <c:xVal>
            <c:numRef>
              <c:f>Normalized!$E$3:$E$240</c:f>
              <c:numCache>
                <c:formatCode>0.00E+00</c:formatCode>
                <c:ptCount val="238"/>
                <c:pt idx="0">
                  <c:v>20000000</c:v>
                </c:pt>
                <c:pt idx="1">
                  <c:v>17333000</c:v>
                </c:pt>
                <c:pt idx="2">
                  <c:v>15683000</c:v>
                </c:pt>
                <c:pt idx="3">
                  <c:v>14550000</c:v>
                </c:pt>
                <c:pt idx="4">
                  <c:v>13840000</c:v>
                </c:pt>
                <c:pt idx="5">
                  <c:v>12840000</c:v>
                </c:pt>
                <c:pt idx="6">
                  <c:v>10000000</c:v>
                </c:pt>
                <c:pt idx="7">
                  <c:v>8187300</c:v>
                </c:pt>
                <c:pt idx="8">
                  <c:v>6434000</c:v>
                </c:pt>
                <c:pt idx="9">
                  <c:v>4800000</c:v>
                </c:pt>
                <c:pt idx="10">
                  <c:v>4304000</c:v>
                </c:pt>
                <c:pt idx="11">
                  <c:v>3000000</c:v>
                </c:pt>
                <c:pt idx="12">
                  <c:v>2479000</c:v>
                </c:pt>
                <c:pt idx="13">
                  <c:v>2354000</c:v>
                </c:pt>
                <c:pt idx="14">
                  <c:v>1850000</c:v>
                </c:pt>
                <c:pt idx="15">
                  <c:v>1500000</c:v>
                </c:pt>
                <c:pt idx="16">
                  <c:v>1400000</c:v>
                </c:pt>
                <c:pt idx="17">
                  <c:v>1356000</c:v>
                </c:pt>
                <c:pt idx="18">
                  <c:v>1317000</c:v>
                </c:pt>
                <c:pt idx="19">
                  <c:v>1250000</c:v>
                </c:pt>
                <c:pt idx="20">
                  <c:v>1200000</c:v>
                </c:pt>
                <c:pt idx="21">
                  <c:v>1100000</c:v>
                </c:pt>
                <c:pt idx="22">
                  <c:v>1010000</c:v>
                </c:pt>
                <c:pt idx="23">
                  <c:v>920000</c:v>
                </c:pt>
                <c:pt idx="24">
                  <c:v>900000</c:v>
                </c:pt>
                <c:pt idx="25">
                  <c:v>875000</c:v>
                </c:pt>
                <c:pt idx="26">
                  <c:v>861100</c:v>
                </c:pt>
                <c:pt idx="27">
                  <c:v>820000</c:v>
                </c:pt>
                <c:pt idx="28">
                  <c:v>750000</c:v>
                </c:pt>
                <c:pt idx="29">
                  <c:v>679000</c:v>
                </c:pt>
                <c:pt idx="30">
                  <c:v>670000</c:v>
                </c:pt>
                <c:pt idx="31">
                  <c:v>600000</c:v>
                </c:pt>
                <c:pt idx="32">
                  <c:v>573000</c:v>
                </c:pt>
                <c:pt idx="33">
                  <c:v>550000</c:v>
                </c:pt>
                <c:pt idx="34">
                  <c:v>499520</c:v>
                </c:pt>
                <c:pt idx="35">
                  <c:v>470000</c:v>
                </c:pt>
                <c:pt idx="36">
                  <c:v>440000</c:v>
                </c:pt>
                <c:pt idx="37">
                  <c:v>420000</c:v>
                </c:pt>
                <c:pt idx="38">
                  <c:v>400000</c:v>
                </c:pt>
                <c:pt idx="39">
                  <c:v>330000</c:v>
                </c:pt>
                <c:pt idx="40">
                  <c:v>270000</c:v>
                </c:pt>
                <c:pt idx="41">
                  <c:v>200000</c:v>
                </c:pt>
                <c:pt idx="42">
                  <c:v>150000</c:v>
                </c:pt>
                <c:pt idx="43">
                  <c:v>128300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8030</c:v>
                </c:pt>
                <c:pt idx="59">
                  <c:v>6000</c:v>
                </c:pt>
                <c:pt idx="60">
                  <c:v>3900</c:v>
                </c:pt>
                <c:pt idx="61">
                  <c:v>3740</c:v>
                </c:pt>
                <c:pt idx="62">
                  <c:v>3000</c:v>
                </c:pt>
                <c:pt idx="63">
                  <c:v>2580</c:v>
                </c:pt>
                <c:pt idx="64">
                  <c:v>2290</c:v>
                </c:pt>
                <c:pt idx="65">
                  <c:v>2200</c:v>
                </c:pt>
                <c:pt idx="66">
                  <c:v>1800</c:v>
                </c:pt>
                <c:pt idx="67">
                  <c:v>1550</c:v>
                </c:pt>
                <c:pt idx="68">
                  <c:v>1500</c:v>
                </c:pt>
                <c:pt idx="69">
                  <c:v>1150</c:v>
                </c:pt>
                <c:pt idx="70">
                  <c:v>950</c:v>
                </c:pt>
                <c:pt idx="71">
                  <c:v>683</c:v>
                </c:pt>
                <c:pt idx="72">
                  <c:v>670</c:v>
                </c:pt>
                <c:pt idx="73">
                  <c:v>550</c:v>
                </c:pt>
                <c:pt idx="74">
                  <c:v>305</c:v>
                </c:pt>
                <c:pt idx="75">
                  <c:v>285</c:v>
                </c:pt>
                <c:pt idx="76">
                  <c:v>240</c:v>
                </c:pt>
                <c:pt idx="77">
                  <c:v>210</c:v>
                </c:pt>
                <c:pt idx="78">
                  <c:v>207.5</c:v>
                </c:pt>
                <c:pt idx="79">
                  <c:v>192.5</c:v>
                </c:pt>
                <c:pt idx="80">
                  <c:v>186</c:v>
                </c:pt>
                <c:pt idx="81">
                  <c:v>122</c:v>
                </c:pt>
                <c:pt idx="82">
                  <c:v>119</c:v>
                </c:pt>
                <c:pt idx="83">
                  <c:v>115</c:v>
                </c:pt>
                <c:pt idx="84">
                  <c:v>108</c:v>
                </c:pt>
                <c:pt idx="85">
                  <c:v>100</c:v>
                </c:pt>
                <c:pt idx="86">
                  <c:v>90</c:v>
                </c:pt>
                <c:pt idx="87">
                  <c:v>82</c:v>
                </c:pt>
                <c:pt idx="88">
                  <c:v>80</c:v>
                </c:pt>
                <c:pt idx="89">
                  <c:v>76</c:v>
                </c:pt>
                <c:pt idx="90">
                  <c:v>72</c:v>
                </c:pt>
                <c:pt idx="91">
                  <c:v>67.5</c:v>
                </c:pt>
                <c:pt idx="92">
                  <c:v>65</c:v>
                </c:pt>
                <c:pt idx="93">
                  <c:v>61</c:v>
                </c:pt>
                <c:pt idx="94">
                  <c:v>59</c:v>
                </c:pt>
                <c:pt idx="95">
                  <c:v>53.4</c:v>
                </c:pt>
                <c:pt idx="96">
                  <c:v>52</c:v>
                </c:pt>
                <c:pt idx="97">
                  <c:v>50.6</c:v>
                </c:pt>
                <c:pt idx="98">
                  <c:v>49.2</c:v>
                </c:pt>
                <c:pt idx="99">
                  <c:v>48.3</c:v>
                </c:pt>
                <c:pt idx="100">
                  <c:v>47</c:v>
                </c:pt>
                <c:pt idx="101">
                  <c:v>45.2</c:v>
                </c:pt>
                <c:pt idx="102">
                  <c:v>44</c:v>
                </c:pt>
                <c:pt idx="103">
                  <c:v>42.4</c:v>
                </c:pt>
                <c:pt idx="104">
                  <c:v>41</c:v>
                </c:pt>
                <c:pt idx="105">
                  <c:v>39.6</c:v>
                </c:pt>
                <c:pt idx="106">
                  <c:v>39.1</c:v>
                </c:pt>
                <c:pt idx="107">
                  <c:v>38</c:v>
                </c:pt>
                <c:pt idx="108">
                  <c:v>37</c:v>
                </c:pt>
                <c:pt idx="109">
                  <c:v>35.5</c:v>
                </c:pt>
                <c:pt idx="110">
                  <c:v>34.6</c:v>
                </c:pt>
                <c:pt idx="111">
                  <c:v>33.75</c:v>
                </c:pt>
                <c:pt idx="112">
                  <c:v>33.25</c:v>
                </c:pt>
                <c:pt idx="113">
                  <c:v>31.75</c:v>
                </c:pt>
                <c:pt idx="114">
                  <c:v>31.25</c:v>
                </c:pt>
                <c:pt idx="115">
                  <c:v>30</c:v>
                </c:pt>
                <c:pt idx="116">
                  <c:v>27.5</c:v>
                </c:pt>
                <c:pt idx="117">
                  <c:v>25</c:v>
                </c:pt>
                <c:pt idx="118">
                  <c:v>22.5</c:v>
                </c:pt>
                <c:pt idx="119">
                  <c:v>21</c:v>
                </c:pt>
                <c:pt idx="120">
                  <c:v>20</c:v>
                </c:pt>
                <c:pt idx="121">
                  <c:v>19</c:v>
                </c:pt>
                <c:pt idx="122">
                  <c:v>18.5</c:v>
                </c:pt>
                <c:pt idx="123">
                  <c:v>17</c:v>
                </c:pt>
                <c:pt idx="124">
                  <c:v>16</c:v>
                </c:pt>
                <c:pt idx="125">
                  <c:v>15.0999</c:v>
                </c:pt>
                <c:pt idx="126">
                  <c:v>14.4</c:v>
                </c:pt>
                <c:pt idx="127">
                  <c:v>13.75</c:v>
                </c:pt>
                <c:pt idx="128">
                  <c:v>12.9</c:v>
                </c:pt>
                <c:pt idx="129">
                  <c:v>11.9</c:v>
                </c:pt>
                <c:pt idx="130">
                  <c:v>11.5</c:v>
                </c:pt>
                <c:pt idx="131">
                  <c:v>10</c:v>
                </c:pt>
                <c:pt idx="132">
                  <c:v>9.09999</c:v>
                </c:pt>
                <c:pt idx="133">
                  <c:v>8.09999</c:v>
                </c:pt>
                <c:pt idx="134">
                  <c:v>7.1499999999999986</c:v>
                </c:pt>
                <c:pt idx="135">
                  <c:v>7</c:v>
                </c:pt>
                <c:pt idx="136">
                  <c:v>6.75</c:v>
                </c:pt>
                <c:pt idx="137">
                  <c:v>6.5</c:v>
                </c:pt>
                <c:pt idx="138">
                  <c:v>6.25</c:v>
                </c:pt>
                <c:pt idx="139">
                  <c:v>6</c:v>
                </c:pt>
                <c:pt idx="140">
                  <c:v>5.4</c:v>
                </c:pt>
                <c:pt idx="141">
                  <c:v>5</c:v>
                </c:pt>
                <c:pt idx="142">
                  <c:v>4.75</c:v>
                </c:pt>
                <c:pt idx="143">
                  <c:v>4</c:v>
                </c:pt>
                <c:pt idx="144">
                  <c:v>3.73</c:v>
                </c:pt>
                <c:pt idx="145">
                  <c:v>3.5</c:v>
                </c:pt>
                <c:pt idx="146">
                  <c:v>3.15</c:v>
                </c:pt>
                <c:pt idx="147">
                  <c:v>3.0499900000000002</c:v>
                </c:pt>
                <c:pt idx="148">
                  <c:v>3</c:v>
                </c:pt>
                <c:pt idx="149">
                  <c:v>2.9699900000000001</c:v>
                </c:pt>
                <c:pt idx="150">
                  <c:v>2.87</c:v>
                </c:pt>
                <c:pt idx="151">
                  <c:v>2.77</c:v>
                </c:pt>
                <c:pt idx="152">
                  <c:v>2.6699899999999999</c:v>
                </c:pt>
                <c:pt idx="153">
                  <c:v>2.57</c:v>
                </c:pt>
                <c:pt idx="154">
                  <c:v>2.4699900000000001</c:v>
                </c:pt>
                <c:pt idx="155">
                  <c:v>2.3799899999999981</c:v>
                </c:pt>
                <c:pt idx="156">
                  <c:v>2.2999900000000002</c:v>
                </c:pt>
                <c:pt idx="157">
                  <c:v>2.2099899999999999</c:v>
                </c:pt>
                <c:pt idx="158">
                  <c:v>2.12</c:v>
                </c:pt>
                <c:pt idx="159">
                  <c:v>2</c:v>
                </c:pt>
                <c:pt idx="160">
                  <c:v>1.94</c:v>
                </c:pt>
                <c:pt idx="161">
                  <c:v>1.86</c:v>
                </c:pt>
                <c:pt idx="162">
                  <c:v>1.77</c:v>
                </c:pt>
                <c:pt idx="163">
                  <c:v>1.6799900000000001</c:v>
                </c:pt>
                <c:pt idx="164">
                  <c:v>1.58999</c:v>
                </c:pt>
                <c:pt idx="165">
                  <c:v>1.5</c:v>
                </c:pt>
                <c:pt idx="166">
                  <c:v>1.45</c:v>
                </c:pt>
                <c:pt idx="167">
                  <c:v>1.4</c:v>
                </c:pt>
                <c:pt idx="168">
                  <c:v>1.34999</c:v>
                </c:pt>
                <c:pt idx="169">
                  <c:v>1.29999</c:v>
                </c:pt>
                <c:pt idx="170">
                  <c:v>1.25</c:v>
                </c:pt>
                <c:pt idx="171">
                  <c:v>1.22499</c:v>
                </c:pt>
                <c:pt idx="172">
                  <c:v>1.2</c:v>
                </c:pt>
                <c:pt idx="173">
                  <c:v>1.17499</c:v>
                </c:pt>
                <c:pt idx="174">
                  <c:v>1.1499999999999999</c:v>
                </c:pt>
                <c:pt idx="175">
                  <c:v>1.1399900000000001</c:v>
                </c:pt>
                <c:pt idx="176">
                  <c:v>1.12999</c:v>
                </c:pt>
                <c:pt idx="177">
                  <c:v>1.1200000000000001</c:v>
                </c:pt>
                <c:pt idx="178">
                  <c:v>1.1100000000000001</c:v>
                </c:pt>
                <c:pt idx="179">
                  <c:v>1.09999</c:v>
                </c:pt>
                <c:pt idx="180">
                  <c:v>1.08999</c:v>
                </c:pt>
                <c:pt idx="181">
                  <c:v>1.08</c:v>
                </c:pt>
                <c:pt idx="182">
                  <c:v>1.07</c:v>
                </c:pt>
                <c:pt idx="183">
                  <c:v>1.05999</c:v>
                </c:pt>
                <c:pt idx="184">
                  <c:v>1.04999</c:v>
                </c:pt>
                <c:pt idx="185">
                  <c:v>1.04</c:v>
                </c:pt>
                <c:pt idx="186">
                  <c:v>1.03</c:v>
                </c:pt>
                <c:pt idx="187">
                  <c:v>1.02</c:v>
                </c:pt>
                <c:pt idx="188">
                  <c:v>1.0099899999999999</c:v>
                </c:pt>
                <c:pt idx="189">
                  <c:v>1</c:v>
                </c:pt>
                <c:pt idx="190">
                  <c:v>0.97499999999999998</c:v>
                </c:pt>
                <c:pt idx="191">
                  <c:v>0.95</c:v>
                </c:pt>
                <c:pt idx="192">
                  <c:v>0.92500000000000004</c:v>
                </c:pt>
                <c:pt idx="193">
                  <c:v>0.9</c:v>
                </c:pt>
                <c:pt idx="194">
                  <c:v>0.85</c:v>
                </c:pt>
                <c:pt idx="195">
                  <c:v>0.8</c:v>
                </c:pt>
                <c:pt idx="196">
                  <c:v>0.75</c:v>
                </c:pt>
                <c:pt idx="197">
                  <c:v>0.7</c:v>
                </c:pt>
                <c:pt idx="198">
                  <c:v>0.65</c:v>
                </c:pt>
                <c:pt idx="199">
                  <c:v>0.625</c:v>
                </c:pt>
                <c:pt idx="200">
                  <c:v>0.6</c:v>
                </c:pt>
                <c:pt idx="201">
                  <c:v>0.55000000000000004</c:v>
                </c:pt>
                <c:pt idx="202">
                  <c:v>0.5</c:v>
                </c:pt>
                <c:pt idx="203">
                  <c:v>0.45</c:v>
                </c:pt>
                <c:pt idx="204">
                  <c:v>0.4</c:v>
                </c:pt>
                <c:pt idx="205">
                  <c:v>0.375</c:v>
                </c:pt>
                <c:pt idx="206">
                  <c:v>0.35</c:v>
                </c:pt>
                <c:pt idx="207">
                  <c:v>0.32500000000000001</c:v>
                </c:pt>
                <c:pt idx="208">
                  <c:v>0.3</c:v>
                </c:pt>
                <c:pt idx="209">
                  <c:v>0.27500000000000002</c:v>
                </c:pt>
                <c:pt idx="210">
                  <c:v>0.25</c:v>
                </c:pt>
                <c:pt idx="211">
                  <c:v>0.22500000000000001</c:v>
                </c:pt>
                <c:pt idx="212">
                  <c:v>0.2</c:v>
                </c:pt>
                <c:pt idx="213">
                  <c:v>0.17499999999999999</c:v>
                </c:pt>
                <c:pt idx="214">
                  <c:v>0.15</c:v>
                </c:pt>
                <c:pt idx="215">
                  <c:v>0.125</c:v>
                </c:pt>
                <c:pt idx="216">
                  <c:v>0.1</c:v>
                </c:pt>
                <c:pt idx="217">
                  <c:v>0.09</c:v>
                </c:pt>
                <c:pt idx="218">
                  <c:v>0.08</c:v>
                </c:pt>
                <c:pt idx="219">
                  <c:v>7.0000000000000007E-2</c:v>
                </c:pt>
                <c:pt idx="220">
                  <c:v>0.06</c:v>
                </c:pt>
                <c:pt idx="221">
                  <c:v>0.05</c:v>
                </c:pt>
                <c:pt idx="222">
                  <c:v>0.04</c:v>
                </c:pt>
                <c:pt idx="223">
                  <c:v>0.03</c:v>
                </c:pt>
                <c:pt idx="224">
                  <c:v>2.53E-2</c:v>
                </c:pt>
                <c:pt idx="225">
                  <c:v>0.01</c:v>
                </c:pt>
                <c:pt idx="226">
                  <c:v>7.4999999999999997E-3</c:v>
                </c:pt>
                <c:pt idx="227">
                  <c:v>5.0000000000000001E-3</c:v>
                </c:pt>
                <c:pt idx="228">
                  <c:v>4.0000000000000001E-3</c:v>
                </c:pt>
                <c:pt idx="229">
                  <c:v>3.0000000000000001E-3</c:v>
                </c:pt>
                <c:pt idx="230">
                  <c:v>2.5000000000000001E-3</c:v>
                </c:pt>
                <c:pt idx="231">
                  <c:v>2E-3</c:v>
                </c:pt>
                <c:pt idx="232">
                  <c:v>1.5E-3</c:v>
                </c:pt>
                <c:pt idx="233">
                  <c:v>1.1999999999999999E-3</c:v>
                </c:pt>
                <c:pt idx="234">
                  <c:v>1E-3</c:v>
                </c:pt>
                <c:pt idx="235">
                  <c:v>7.5000000000000002E-4</c:v>
                </c:pt>
                <c:pt idx="236">
                  <c:v>5.0000000000000001E-4</c:v>
                </c:pt>
                <c:pt idx="237">
                  <c:v>1E-4</c:v>
                </c:pt>
              </c:numCache>
            </c:numRef>
          </c:xVal>
          <c:yVal>
            <c:numRef>
              <c:f>'Flux per Lethargy'!$G$3:$G$240</c:f>
              <c:numCache>
                <c:formatCode>0.00E+00</c:formatCode>
                <c:ptCount val="238"/>
                <c:pt idx="0">
                  <c:v>3.4042877039696E-6</c:v>
                </c:pt>
                <c:pt idx="1">
                  <c:v>5.2420617147921901E-5</c:v>
                </c:pt>
                <c:pt idx="2">
                  <c:v>1.34910980656506E-4</c:v>
                </c:pt>
                <c:pt idx="3">
                  <c:v>2.48337303183026E-4</c:v>
                </c:pt>
                <c:pt idx="4">
                  <c:v>4.48917304161779E-4</c:v>
                </c:pt>
                <c:pt idx="5">
                  <c:v>1.90745446449297E-3</c:v>
                </c:pt>
                <c:pt idx="6">
                  <c:v>6.8646439619671701E-3</c:v>
                </c:pt>
                <c:pt idx="7">
                  <c:v>2.0967191111183101E-2</c:v>
                </c:pt>
                <c:pt idx="8">
                  <c:v>5.0657937866058399E-2</c:v>
                </c:pt>
                <c:pt idx="9">
                  <c:v>7.4001439097224203E-2</c:v>
                </c:pt>
                <c:pt idx="10">
                  <c:v>0.106192175854023</c:v>
                </c:pt>
                <c:pt idx="11">
                  <c:v>0.15802074487203999</c:v>
                </c:pt>
                <c:pt idx="12">
                  <c:v>0.17750004353846999</c:v>
                </c:pt>
                <c:pt idx="13">
                  <c:v>0.15410783026411801</c:v>
                </c:pt>
                <c:pt idx="14">
                  <c:v>0.159952693518043</c:v>
                </c:pt>
                <c:pt idx="15">
                  <c:v>0.16728774166777899</c:v>
                </c:pt>
                <c:pt idx="16">
                  <c:v>0.16210606982727299</c:v>
                </c:pt>
                <c:pt idx="17">
                  <c:v>0.13772650276673701</c:v>
                </c:pt>
                <c:pt idx="18">
                  <c:v>0.15152581572959301</c:v>
                </c:pt>
                <c:pt idx="19">
                  <c:v>0.170135350602066</c:v>
                </c:pt>
                <c:pt idx="20">
                  <c:v>0.156828268528833</c:v>
                </c:pt>
                <c:pt idx="21">
                  <c:v>0.12582916934494701</c:v>
                </c:pt>
                <c:pt idx="22">
                  <c:v>0.12766592922977699</c:v>
                </c:pt>
                <c:pt idx="23">
                  <c:v>0.14624057014351</c:v>
                </c:pt>
                <c:pt idx="24">
                  <c:v>0.15481977391521801</c:v>
                </c:pt>
                <c:pt idx="25">
                  <c:v>0.163477298582029</c:v>
                </c:pt>
                <c:pt idx="26">
                  <c:v>0.18201763858220801</c:v>
                </c:pt>
                <c:pt idx="27">
                  <c:v>0.19632396020537601</c:v>
                </c:pt>
                <c:pt idx="28">
                  <c:v>0.17400643544776601</c:v>
                </c:pt>
                <c:pt idx="29">
                  <c:v>0.168298557482844</c:v>
                </c:pt>
                <c:pt idx="30">
                  <c:v>0.16174723407609401</c:v>
                </c:pt>
                <c:pt idx="31">
                  <c:v>0.15468708246475099</c:v>
                </c:pt>
                <c:pt idx="32">
                  <c:v>0.150866468283158</c:v>
                </c:pt>
                <c:pt idx="33">
                  <c:v>0.143413966155196</c:v>
                </c:pt>
                <c:pt idx="34">
                  <c:v>0.12914320943097701</c:v>
                </c:pt>
                <c:pt idx="35">
                  <c:v>9.7981306669831597E-2</c:v>
                </c:pt>
                <c:pt idx="36">
                  <c:v>8.3596746233117497E-2</c:v>
                </c:pt>
                <c:pt idx="37">
                  <c:v>0.101218263851796</c:v>
                </c:pt>
                <c:pt idx="38">
                  <c:v>0.11583556062674399</c:v>
                </c:pt>
                <c:pt idx="39">
                  <c:v>0.116111482939003</c:v>
                </c:pt>
                <c:pt idx="40">
                  <c:v>9.8137129129399106E-2</c:v>
                </c:pt>
                <c:pt idx="41">
                  <c:v>8.4331771970906397E-2</c:v>
                </c:pt>
                <c:pt idx="42">
                  <c:v>7.5742725528632093E-2</c:v>
                </c:pt>
                <c:pt idx="43">
                  <c:v>6.9355965550064097E-2</c:v>
                </c:pt>
                <c:pt idx="44">
                  <c:v>6.4003248612429606E-2</c:v>
                </c:pt>
                <c:pt idx="45">
                  <c:v>6.2788783705735707E-2</c:v>
                </c:pt>
                <c:pt idx="46">
                  <c:v>6.0505893870824001E-2</c:v>
                </c:pt>
                <c:pt idx="47">
                  <c:v>5.94836137112595E-2</c:v>
                </c:pt>
                <c:pt idx="48">
                  <c:v>5.7374378719669397E-2</c:v>
                </c:pt>
                <c:pt idx="49">
                  <c:v>5.4832168528755498E-2</c:v>
                </c:pt>
                <c:pt idx="50">
                  <c:v>5.3749352755981403E-2</c:v>
                </c:pt>
                <c:pt idx="51">
                  <c:v>5.2108756155496497E-2</c:v>
                </c:pt>
                <c:pt idx="52">
                  <c:v>5.0048755685913597E-2</c:v>
                </c:pt>
                <c:pt idx="53">
                  <c:v>4.7101126134972297E-2</c:v>
                </c:pt>
                <c:pt idx="54">
                  <c:v>4.4978937326273297E-2</c:v>
                </c:pt>
                <c:pt idx="55">
                  <c:v>4.41348851115973E-2</c:v>
                </c:pt>
                <c:pt idx="56">
                  <c:v>4.26806494595003E-2</c:v>
                </c:pt>
                <c:pt idx="57">
                  <c:v>4.1308500013995102E-2</c:v>
                </c:pt>
                <c:pt idx="58">
                  <c:v>4.1000401177778499E-2</c:v>
                </c:pt>
                <c:pt idx="59">
                  <c:v>4.03303079943177E-2</c:v>
                </c:pt>
                <c:pt idx="60">
                  <c:v>3.8953254494240398E-2</c:v>
                </c:pt>
                <c:pt idx="61">
                  <c:v>3.9637103768377001E-2</c:v>
                </c:pt>
                <c:pt idx="62">
                  <c:v>3.7690212419989599E-2</c:v>
                </c:pt>
                <c:pt idx="63">
                  <c:v>4.0275846911707602E-2</c:v>
                </c:pt>
                <c:pt idx="64">
                  <c:v>3.7101473356159202E-2</c:v>
                </c:pt>
                <c:pt idx="65">
                  <c:v>3.8761758960028703E-2</c:v>
                </c:pt>
                <c:pt idx="66">
                  <c:v>3.81348253890312E-2</c:v>
                </c:pt>
                <c:pt idx="67">
                  <c:v>3.5488177243867602E-2</c:v>
                </c:pt>
                <c:pt idx="68">
                  <c:v>3.8162708298767299E-2</c:v>
                </c:pt>
                <c:pt idx="69">
                  <c:v>3.74332489490583E-2</c:v>
                </c:pt>
                <c:pt idx="70">
                  <c:v>3.7144243430578899E-2</c:v>
                </c:pt>
                <c:pt idx="71">
                  <c:v>3.4530014456782297E-2</c:v>
                </c:pt>
                <c:pt idx="72">
                  <c:v>3.67088846168723E-2</c:v>
                </c:pt>
                <c:pt idx="73">
                  <c:v>3.6868225344981402E-2</c:v>
                </c:pt>
                <c:pt idx="74">
                  <c:v>3.2079604197698897E-2</c:v>
                </c:pt>
                <c:pt idx="75">
                  <c:v>3.5596738801204099E-2</c:v>
                </c:pt>
                <c:pt idx="76">
                  <c:v>3.4061897506458598E-2</c:v>
                </c:pt>
                <c:pt idx="77">
                  <c:v>1.5918388521086301E-2</c:v>
                </c:pt>
                <c:pt idx="78">
                  <c:v>3.5376270871717998E-2</c:v>
                </c:pt>
                <c:pt idx="79">
                  <c:v>3.1562732335329101E-2</c:v>
                </c:pt>
                <c:pt idx="80">
                  <c:v>3.4816683562654702E-2</c:v>
                </c:pt>
                <c:pt idx="81">
                  <c:v>3.3420362881170403E-2</c:v>
                </c:pt>
                <c:pt idx="82">
                  <c:v>2.7022407359560401E-2</c:v>
                </c:pt>
                <c:pt idx="83">
                  <c:v>3.3534957753522603E-2</c:v>
                </c:pt>
                <c:pt idx="84">
                  <c:v>3.0077499146112002E-2</c:v>
                </c:pt>
                <c:pt idx="85">
                  <c:v>3.3032655488453203E-2</c:v>
                </c:pt>
                <c:pt idx="86">
                  <c:v>3.2761917964897802E-2</c:v>
                </c:pt>
                <c:pt idx="87">
                  <c:v>2.5060062701864901E-2</c:v>
                </c:pt>
                <c:pt idx="88">
                  <c:v>3.3103664397017903E-2</c:v>
                </c:pt>
                <c:pt idx="89">
                  <c:v>3.22271577446607E-2</c:v>
                </c:pt>
                <c:pt idx="90">
                  <c:v>3.2233804452740399E-2</c:v>
                </c:pt>
                <c:pt idx="91">
                  <c:v>1.9843324654532001E-2</c:v>
                </c:pt>
                <c:pt idx="92">
                  <c:v>3.2472862809050602E-2</c:v>
                </c:pt>
                <c:pt idx="93">
                  <c:v>3.2121868508156001E-2</c:v>
                </c:pt>
                <c:pt idx="94">
                  <c:v>3.1566752662304597E-2</c:v>
                </c:pt>
                <c:pt idx="95">
                  <c:v>3.1357679769300102E-2</c:v>
                </c:pt>
                <c:pt idx="96">
                  <c:v>3.1623943118533102E-2</c:v>
                </c:pt>
                <c:pt idx="97">
                  <c:v>3.1742868130753103E-2</c:v>
                </c:pt>
                <c:pt idx="98">
                  <c:v>3.21160728219324E-2</c:v>
                </c:pt>
                <c:pt idx="99">
                  <c:v>3.1433583391327499E-2</c:v>
                </c:pt>
                <c:pt idx="100">
                  <c:v>3.1663751916261897E-2</c:v>
                </c:pt>
                <c:pt idx="101">
                  <c:v>2.8456169529717201E-2</c:v>
                </c:pt>
                <c:pt idx="102">
                  <c:v>3.05045616370744E-2</c:v>
                </c:pt>
                <c:pt idx="103">
                  <c:v>3.0353904626879199E-2</c:v>
                </c:pt>
                <c:pt idx="104">
                  <c:v>3.1341380311963603E-2</c:v>
                </c:pt>
                <c:pt idx="105">
                  <c:v>2.9272021548620498E-2</c:v>
                </c:pt>
                <c:pt idx="106">
                  <c:v>2.8057105265308399E-2</c:v>
                </c:pt>
                <c:pt idx="107">
                  <c:v>1.8675658349243899E-2</c:v>
                </c:pt>
                <c:pt idx="108">
                  <c:v>1.6545042035379001E-2</c:v>
                </c:pt>
                <c:pt idx="109">
                  <c:v>2.6412088844880999E-2</c:v>
                </c:pt>
                <c:pt idx="110">
                  <c:v>2.7890356455292E-2</c:v>
                </c:pt>
                <c:pt idx="111">
                  <c:v>2.78666746610047E-2</c:v>
                </c:pt>
                <c:pt idx="112">
                  <c:v>2.9357733040095299E-2</c:v>
                </c:pt>
                <c:pt idx="113">
                  <c:v>3.0313304758158899E-2</c:v>
                </c:pt>
                <c:pt idx="114">
                  <c:v>3.0085089553375601E-2</c:v>
                </c:pt>
                <c:pt idx="115">
                  <c:v>3.0410691831344702E-2</c:v>
                </c:pt>
                <c:pt idx="116">
                  <c:v>3.04551913196658E-2</c:v>
                </c:pt>
                <c:pt idx="117">
                  <c:v>2.96711112360327E-2</c:v>
                </c:pt>
                <c:pt idx="118">
                  <c:v>2.19765397019803E-2</c:v>
                </c:pt>
                <c:pt idx="119">
                  <c:v>1.37525659554941E-2</c:v>
                </c:pt>
                <c:pt idx="120">
                  <c:v>2.4669134979593998E-2</c:v>
                </c:pt>
                <c:pt idx="121">
                  <c:v>2.7443251304032301E-2</c:v>
                </c:pt>
                <c:pt idx="122">
                  <c:v>2.7451519833410098E-2</c:v>
                </c:pt>
                <c:pt idx="123">
                  <c:v>2.8013259024114199E-2</c:v>
                </c:pt>
                <c:pt idx="124">
                  <c:v>2.7806730814652E-2</c:v>
                </c:pt>
                <c:pt idx="125">
                  <c:v>2.3794688097511701E-2</c:v>
                </c:pt>
                <c:pt idx="126">
                  <c:v>2.6983626732512499E-2</c:v>
                </c:pt>
                <c:pt idx="127">
                  <c:v>2.86397656677423E-2</c:v>
                </c:pt>
                <c:pt idx="128">
                  <c:v>2.6895344884708499E-2</c:v>
                </c:pt>
                <c:pt idx="129">
                  <c:v>2.57924199266212E-2</c:v>
                </c:pt>
                <c:pt idx="130">
                  <c:v>2.7349487780227499E-2</c:v>
                </c:pt>
                <c:pt idx="131">
                  <c:v>2.7816835779593901E-2</c:v>
                </c:pt>
                <c:pt idx="132">
                  <c:v>2.5257909863259799E-2</c:v>
                </c:pt>
                <c:pt idx="133">
                  <c:v>2.4727377650384099E-2</c:v>
                </c:pt>
                <c:pt idx="134">
                  <c:v>1.9791796954562499E-2</c:v>
                </c:pt>
                <c:pt idx="135">
                  <c:v>9.6451500353540998E-3</c:v>
                </c:pt>
                <c:pt idx="136">
                  <c:v>4.8760110402683498E-3</c:v>
                </c:pt>
                <c:pt idx="137">
                  <c:v>1.3298138870794099E-2</c:v>
                </c:pt>
                <c:pt idx="138">
                  <c:v>1.9770847407521299E-2</c:v>
                </c:pt>
                <c:pt idx="139">
                  <c:v>1.8308462409983999E-2</c:v>
                </c:pt>
                <c:pt idx="140">
                  <c:v>2.0504498506133301E-2</c:v>
                </c:pt>
                <c:pt idx="141">
                  <c:v>2.31615350068822E-2</c:v>
                </c:pt>
                <c:pt idx="142">
                  <c:v>2.3928963446559499E-2</c:v>
                </c:pt>
                <c:pt idx="143">
                  <c:v>2.4601981047598701E-2</c:v>
                </c:pt>
                <c:pt idx="144">
                  <c:v>2.4123723305187899E-2</c:v>
                </c:pt>
                <c:pt idx="145">
                  <c:v>2.438454615558E-2</c:v>
                </c:pt>
                <c:pt idx="146">
                  <c:v>2.42853156555514E-2</c:v>
                </c:pt>
                <c:pt idx="147">
                  <c:v>2.4416343614390799E-2</c:v>
                </c:pt>
                <c:pt idx="148">
                  <c:v>2.8433341645832898E-2</c:v>
                </c:pt>
                <c:pt idx="149">
                  <c:v>2.5693337724242E-2</c:v>
                </c:pt>
                <c:pt idx="150">
                  <c:v>2.56638269920491E-2</c:v>
                </c:pt>
                <c:pt idx="151">
                  <c:v>2.4902882061945301E-2</c:v>
                </c:pt>
                <c:pt idx="152">
                  <c:v>2.4791399286783099E-2</c:v>
                </c:pt>
                <c:pt idx="153">
                  <c:v>2.5451662730961899E-2</c:v>
                </c:pt>
                <c:pt idx="154">
                  <c:v>2.52022217301162E-2</c:v>
                </c:pt>
                <c:pt idx="155">
                  <c:v>2.51035609342142E-2</c:v>
                </c:pt>
                <c:pt idx="156">
                  <c:v>2.5368064485682601E-2</c:v>
                </c:pt>
                <c:pt idx="157">
                  <c:v>2.5435532445520801E-2</c:v>
                </c:pt>
                <c:pt idx="158">
                  <c:v>2.52801257508686E-2</c:v>
                </c:pt>
                <c:pt idx="159">
                  <c:v>2.54745303376138E-2</c:v>
                </c:pt>
                <c:pt idx="160">
                  <c:v>2.5722422069578199E-2</c:v>
                </c:pt>
                <c:pt idx="161">
                  <c:v>2.57339979212871E-2</c:v>
                </c:pt>
                <c:pt idx="162">
                  <c:v>2.5740400802538501E-2</c:v>
                </c:pt>
                <c:pt idx="163">
                  <c:v>2.5885433137166E-2</c:v>
                </c:pt>
                <c:pt idx="164">
                  <c:v>2.5630366994989499E-2</c:v>
                </c:pt>
                <c:pt idx="165">
                  <c:v>2.5310044495988001E-2</c:v>
                </c:pt>
                <c:pt idx="166">
                  <c:v>2.52687476448567E-2</c:v>
                </c:pt>
                <c:pt idx="167">
                  <c:v>2.4955410913839099E-2</c:v>
                </c:pt>
                <c:pt idx="168">
                  <c:v>2.4181418125506698E-2</c:v>
                </c:pt>
                <c:pt idx="169">
                  <c:v>2.3500911565987999E-2</c:v>
                </c:pt>
                <c:pt idx="170">
                  <c:v>2.3031003927930602E-2</c:v>
                </c:pt>
                <c:pt idx="171">
                  <c:v>2.2721960494485102E-2</c:v>
                </c:pt>
                <c:pt idx="172">
                  <c:v>2.2202060904274401E-2</c:v>
                </c:pt>
                <c:pt idx="173">
                  <c:v>2.10405063408073E-2</c:v>
                </c:pt>
                <c:pt idx="174">
                  <c:v>1.95946357073974E-2</c:v>
                </c:pt>
                <c:pt idx="175">
                  <c:v>1.8364718180367199E-2</c:v>
                </c:pt>
                <c:pt idx="176">
                  <c:v>1.6813432174838001E-2</c:v>
                </c:pt>
                <c:pt idx="177">
                  <c:v>1.50011418863427E-2</c:v>
                </c:pt>
                <c:pt idx="178">
                  <c:v>1.31029248570528E-2</c:v>
                </c:pt>
                <c:pt idx="179">
                  <c:v>1.1357852491559199E-2</c:v>
                </c:pt>
                <c:pt idx="180">
                  <c:v>9.9649914789330298E-3</c:v>
                </c:pt>
                <c:pt idx="181">
                  <c:v>8.9803571692375593E-3</c:v>
                </c:pt>
                <c:pt idx="182">
                  <c:v>8.4040300040101497E-3</c:v>
                </c:pt>
                <c:pt idx="183">
                  <c:v>8.1970048761107108E-3</c:v>
                </c:pt>
                <c:pt idx="184">
                  <c:v>8.3462016949034396E-3</c:v>
                </c:pt>
                <c:pt idx="185">
                  <c:v>8.8754747868399902E-3</c:v>
                </c:pt>
                <c:pt idx="186">
                  <c:v>9.8275968835936593E-3</c:v>
                </c:pt>
                <c:pt idx="187">
                  <c:v>1.12153695438725E-2</c:v>
                </c:pt>
                <c:pt idx="188">
                  <c:v>1.29693649642354E-2</c:v>
                </c:pt>
                <c:pt idx="189">
                  <c:v>1.6108278252934299E-2</c:v>
                </c:pt>
                <c:pt idx="190">
                  <c:v>1.9126255643976499E-2</c:v>
                </c:pt>
                <c:pt idx="191">
                  <c:v>2.0565681829570401E-2</c:v>
                </c:pt>
                <c:pt idx="192">
                  <c:v>2.14060868624662E-2</c:v>
                </c:pt>
                <c:pt idx="193">
                  <c:v>2.24763507654448E-2</c:v>
                </c:pt>
                <c:pt idx="194">
                  <c:v>2.32300199752133E-2</c:v>
                </c:pt>
                <c:pt idx="195">
                  <c:v>2.3409519416174199E-2</c:v>
                </c:pt>
                <c:pt idx="196">
                  <c:v>2.43256133391309E-2</c:v>
                </c:pt>
                <c:pt idx="197">
                  <c:v>2.40786502327121E-2</c:v>
                </c:pt>
                <c:pt idx="198">
                  <c:v>2.4398073340877301E-2</c:v>
                </c:pt>
                <c:pt idx="199">
                  <c:v>2.4973848260560799E-2</c:v>
                </c:pt>
                <c:pt idx="200">
                  <c:v>2.4390262002617E-2</c:v>
                </c:pt>
                <c:pt idx="201">
                  <c:v>2.5040606019867701E-2</c:v>
                </c:pt>
                <c:pt idx="202">
                  <c:v>2.42552988398743E-2</c:v>
                </c:pt>
                <c:pt idx="203">
                  <c:v>2.41796588113956E-2</c:v>
                </c:pt>
                <c:pt idx="204">
                  <c:v>2.3207083007271301E-2</c:v>
                </c:pt>
                <c:pt idx="205">
                  <c:v>2.21549076619908E-2</c:v>
                </c:pt>
                <c:pt idx="206">
                  <c:v>1.9769829553701001E-2</c:v>
                </c:pt>
                <c:pt idx="207">
                  <c:v>1.9188091796473301E-2</c:v>
                </c:pt>
                <c:pt idx="208">
                  <c:v>1.8592748867031099E-2</c:v>
                </c:pt>
                <c:pt idx="209">
                  <c:v>2.1576837206018301E-2</c:v>
                </c:pt>
                <c:pt idx="210">
                  <c:v>2.5085782289004599E-2</c:v>
                </c:pt>
                <c:pt idx="211">
                  <c:v>2.8616762795839398E-2</c:v>
                </c:pt>
                <c:pt idx="212">
                  <c:v>3.3002061048330901E-2</c:v>
                </c:pt>
                <c:pt idx="213">
                  <c:v>3.5931178766143303E-2</c:v>
                </c:pt>
                <c:pt idx="214">
                  <c:v>3.7346206351840897E-2</c:v>
                </c:pt>
                <c:pt idx="215">
                  <c:v>3.7213952420115902E-2</c:v>
                </c:pt>
                <c:pt idx="216">
                  <c:v>3.5164841185238299E-2</c:v>
                </c:pt>
                <c:pt idx="217">
                  <c:v>3.3194767295901803E-2</c:v>
                </c:pt>
                <c:pt idx="218">
                  <c:v>3.0139031015501399E-2</c:v>
                </c:pt>
                <c:pt idx="219">
                  <c:v>2.6584364329798899E-2</c:v>
                </c:pt>
                <c:pt idx="220">
                  <c:v>2.23957349033806E-2</c:v>
                </c:pt>
                <c:pt idx="221">
                  <c:v>1.7521688616071101E-2</c:v>
                </c:pt>
                <c:pt idx="222">
                  <c:v>1.2398575491715301E-2</c:v>
                </c:pt>
                <c:pt idx="223">
                  <c:v>8.6026725583232804E-3</c:v>
                </c:pt>
                <c:pt idx="224">
                  <c:v>4.00761105589341E-3</c:v>
                </c:pt>
                <c:pt idx="225">
                  <c:v>1.10066471710578E-3</c:v>
                </c:pt>
                <c:pt idx="226">
                  <c:v>5.6132923244945601E-4</c:v>
                </c:pt>
                <c:pt idx="227">
                  <c:v>2.8696861299975401E-4</c:v>
                </c:pt>
                <c:pt idx="228">
                  <c:v>1.70556679234271E-4</c:v>
                </c:pt>
                <c:pt idx="229">
                  <c:v>1.03045694687366E-4</c:v>
                </c:pt>
                <c:pt idx="230">
                  <c:v>6.7584311410602297E-5</c:v>
                </c:pt>
                <c:pt idx="231">
                  <c:v>3.9756431312882501E-5</c:v>
                </c:pt>
                <c:pt idx="232">
                  <c:v>2.2938874501721901E-5</c:v>
                </c:pt>
                <c:pt idx="233">
                  <c:v>1.48586091831062E-5</c:v>
                </c:pt>
                <c:pt idx="234">
                  <c:v>9.1554180624022197E-6</c:v>
                </c:pt>
                <c:pt idx="235">
                  <c:v>4.4985201189486097E-6</c:v>
                </c:pt>
                <c:pt idx="236">
                  <c:v>9.69876537037104E-7</c:v>
                </c:pt>
                <c:pt idx="237">
                  <c:v>2.5751444039664799E-8</c:v>
                </c:pt>
              </c:numCache>
            </c:numRef>
          </c:yVal>
          <c:smooth val="1"/>
        </c:ser>
        <c:dLbls>
          <c:showLegendKey val="0"/>
          <c:showVal val="0"/>
          <c:showCatName val="0"/>
          <c:showSerName val="0"/>
          <c:showPercent val="0"/>
          <c:showBubbleSize val="0"/>
        </c:dLbls>
        <c:axId val="113986176"/>
        <c:axId val="113988352"/>
      </c:scatterChart>
      <c:valAx>
        <c:axId val="113986176"/>
        <c:scaling>
          <c:logBase val="10"/>
          <c:orientation val="minMax"/>
          <c:max val="100000000"/>
          <c:min val="0.01"/>
        </c:scaling>
        <c:delete val="0"/>
        <c:axPos val="b"/>
        <c:majorGridlines>
          <c:spPr>
            <a:ln>
              <a:prstDash val="sysDash"/>
            </a:ln>
          </c:spPr>
        </c:majorGridlines>
        <c:title>
          <c:tx>
            <c:rich>
              <a:bodyPr/>
              <a:lstStyle/>
              <a:p>
                <a:pPr>
                  <a:defRPr/>
                </a:pPr>
                <a:r>
                  <a:rPr lang="en-US"/>
                  <a:t>Neutron Energy (eV)</a:t>
                </a:r>
              </a:p>
            </c:rich>
          </c:tx>
          <c:layout/>
          <c:overlay val="0"/>
        </c:title>
        <c:numFmt formatCode="0.E+00" sourceLinked="0"/>
        <c:majorTickMark val="out"/>
        <c:minorTickMark val="none"/>
        <c:tickLblPos val="nextTo"/>
        <c:crossAx val="113988352"/>
        <c:crosses val="autoZero"/>
        <c:crossBetween val="midCat"/>
        <c:majorUnit val="100"/>
      </c:valAx>
      <c:valAx>
        <c:axId val="113988352"/>
        <c:scaling>
          <c:orientation val="minMax"/>
          <c:max val="0.2"/>
          <c:min val="0"/>
        </c:scaling>
        <c:delete val="0"/>
        <c:axPos val="l"/>
        <c:majorGridlines>
          <c:spPr>
            <a:ln>
              <a:prstDash val="sysDash"/>
            </a:ln>
          </c:spPr>
        </c:majorGridlines>
        <c:title>
          <c:tx>
            <c:rich>
              <a:bodyPr rot="-5400000" vert="horz"/>
              <a:lstStyle/>
              <a:p>
                <a:pPr>
                  <a:defRPr/>
                </a:pPr>
                <a:r>
                  <a:rPr lang="en-US"/>
                  <a:t>Normalized Neutron Flux per unit Lethargy</a:t>
                </a:r>
              </a:p>
            </c:rich>
          </c:tx>
          <c:layout/>
          <c:overlay val="0"/>
        </c:title>
        <c:numFmt formatCode="#,##0.00" sourceLinked="0"/>
        <c:majorTickMark val="out"/>
        <c:minorTickMark val="none"/>
        <c:tickLblPos val="nextTo"/>
        <c:crossAx val="113986176"/>
        <c:crossesAt val="1E-4"/>
        <c:crossBetween val="midCat"/>
        <c:majorUnit val="0.05"/>
      </c:valAx>
      <c:spPr>
        <a:ln>
          <a:solidFill>
            <a:schemeClr val="tx1"/>
          </a:solidFill>
        </a:ln>
      </c:spPr>
    </c:plotArea>
    <c:legend>
      <c:legendPos val="r"/>
      <c:layout>
        <c:manualLayout>
          <c:xMode val="edge"/>
          <c:yMode val="edge"/>
          <c:x val="0.180388484825724"/>
          <c:y val="0.22075760800170299"/>
          <c:w val="0.148195706305943"/>
          <c:h val="0.18849668526966201"/>
        </c:manualLayout>
      </c:layout>
      <c:overlay val="0"/>
      <c:spPr>
        <a:solidFill>
          <a:schemeClr val="bg1"/>
        </a:solidFill>
        <a:ln>
          <a:solidFill>
            <a:schemeClr val="tx1"/>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lgn="l">
              <a:defRPr/>
            </a:pPr>
            <a:r>
              <a:rPr lang="en-US" sz="1200"/>
              <a:t>(c)</a:t>
            </a:r>
          </a:p>
        </c:rich>
      </c:tx>
      <c:layout>
        <c:manualLayout>
          <c:xMode val="edge"/>
          <c:yMode val="edge"/>
          <c:x val="1.81471980170735E-3"/>
          <c:y val="1.3745534555433301E-4"/>
        </c:manualLayout>
      </c:layout>
      <c:overlay val="1"/>
    </c:title>
    <c:autoTitleDeleted val="0"/>
    <c:plotArea>
      <c:layout>
        <c:manualLayout>
          <c:layoutTarget val="inner"/>
          <c:xMode val="edge"/>
          <c:yMode val="edge"/>
          <c:x val="0.13371004105256101"/>
          <c:y val="0.139135839152181"/>
          <c:w val="0.82398226663974705"/>
          <c:h val="0.66064104624284603"/>
        </c:manualLayout>
      </c:layout>
      <c:scatterChart>
        <c:scatterStyle val="smoothMarker"/>
        <c:varyColors val="0"/>
        <c:ser>
          <c:idx val="0"/>
          <c:order val="0"/>
          <c:tx>
            <c:strRef>
              <c:f>Normalized!$J$2</c:f>
              <c:strCache>
                <c:ptCount val="1"/>
                <c:pt idx="0">
                  <c:v>FCM</c:v>
                </c:pt>
              </c:strCache>
            </c:strRef>
          </c:tx>
          <c:marker>
            <c:symbol val="none"/>
          </c:marker>
          <c:xVal>
            <c:numRef>
              <c:f>Normalized!$I$3:$I$240</c:f>
              <c:numCache>
                <c:formatCode>0.00E+00</c:formatCode>
                <c:ptCount val="238"/>
                <c:pt idx="0">
                  <c:v>20000000</c:v>
                </c:pt>
                <c:pt idx="1">
                  <c:v>17333000</c:v>
                </c:pt>
                <c:pt idx="2">
                  <c:v>15683000</c:v>
                </c:pt>
                <c:pt idx="3">
                  <c:v>14550000</c:v>
                </c:pt>
                <c:pt idx="4">
                  <c:v>13840000</c:v>
                </c:pt>
                <c:pt idx="5">
                  <c:v>12840000</c:v>
                </c:pt>
                <c:pt idx="6">
                  <c:v>10000000</c:v>
                </c:pt>
                <c:pt idx="7">
                  <c:v>8187300</c:v>
                </c:pt>
                <c:pt idx="8">
                  <c:v>6434000</c:v>
                </c:pt>
                <c:pt idx="9">
                  <c:v>4800000</c:v>
                </c:pt>
                <c:pt idx="10">
                  <c:v>4304000</c:v>
                </c:pt>
                <c:pt idx="11">
                  <c:v>3000000</c:v>
                </c:pt>
                <c:pt idx="12">
                  <c:v>2479000</c:v>
                </c:pt>
                <c:pt idx="13">
                  <c:v>2354000</c:v>
                </c:pt>
                <c:pt idx="14">
                  <c:v>1850000</c:v>
                </c:pt>
                <c:pt idx="15">
                  <c:v>1500000</c:v>
                </c:pt>
                <c:pt idx="16">
                  <c:v>1400000</c:v>
                </c:pt>
                <c:pt idx="17">
                  <c:v>1356000</c:v>
                </c:pt>
                <c:pt idx="18">
                  <c:v>1317000</c:v>
                </c:pt>
                <c:pt idx="19">
                  <c:v>1250000</c:v>
                </c:pt>
                <c:pt idx="20">
                  <c:v>1200000</c:v>
                </c:pt>
                <c:pt idx="21">
                  <c:v>1100000</c:v>
                </c:pt>
                <c:pt idx="22">
                  <c:v>1010000</c:v>
                </c:pt>
                <c:pt idx="23">
                  <c:v>920000</c:v>
                </c:pt>
                <c:pt idx="24">
                  <c:v>900000</c:v>
                </c:pt>
                <c:pt idx="25">
                  <c:v>875000</c:v>
                </c:pt>
                <c:pt idx="26">
                  <c:v>861100</c:v>
                </c:pt>
                <c:pt idx="27">
                  <c:v>820000</c:v>
                </c:pt>
                <c:pt idx="28">
                  <c:v>750000</c:v>
                </c:pt>
                <c:pt idx="29">
                  <c:v>679000</c:v>
                </c:pt>
                <c:pt idx="30">
                  <c:v>670000</c:v>
                </c:pt>
                <c:pt idx="31">
                  <c:v>600000</c:v>
                </c:pt>
                <c:pt idx="32">
                  <c:v>573000</c:v>
                </c:pt>
                <c:pt idx="33">
                  <c:v>550000</c:v>
                </c:pt>
                <c:pt idx="34">
                  <c:v>499520</c:v>
                </c:pt>
                <c:pt idx="35">
                  <c:v>470000</c:v>
                </c:pt>
                <c:pt idx="36">
                  <c:v>440000</c:v>
                </c:pt>
                <c:pt idx="37">
                  <c:v>420000</c:v>
                </c:pt>
                <c:pt idx="38">
                  <c:v>400000</c:v>
                </c:pt>
                <c:pt idx="39">
                  <c:v>330000</c:v>
                </c:pt>
                <c:pt idx="40">
                  <c:v>270000</c:v>
                </c:pt>
                <c:pt idx="41">
                  <c:v>200000</c:v>
                </c:pt>
                <c:pt idx="42">
                  <c:v>150000</c:v>
                </c:pt>
                <c:pt idx="43">
                  <c:v>128300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8030</c:v>
                </c:pt>
                <c:pt idx="59">
                  <c:v>6000</c:v>
                </c:pt>
                <c:pt idx="60">
                  <c:v>3900</c:v>
                </c:pt>
                <c:pt idx="61">
                  <c:v>3740</c:v>
                </c:pt>
                <c:pt idx="62">
                  <c:v>3000</c:v>
                </c:pt>
                <c:pt idx="63">
                  <c:v>2580</c:v>
                </c:pt>
                <c:pt idx="64">
                  <c:v>2290</c:v>
                </c:pt>
                <c:pt idx="65">
                  <c:v>2200</c:v>
                </c:pt>
                <c:pt idx="66">
                  <c:v>1800</c:v>
                </c:pt>
                <c:pt idx="67">
                  <c:v>1550</c:v>
                </c:pt>
                <c:pt idx="68">
                  <c:v>1500</c:v>
                </c:pt>
                <c:pt idx="69">
                  <c:v>1150</c:v>
                </c:pt>
                <c:pt idx="70">
                  <c:v>950</c:v>
                </c:pt>
                <c:pt idx="71">
                  <c:v>683</c:v>
                </c:pt>
                <c:pt idx="72">
                  <c:v>670</c:v>
                </c:pt>
                <c:pt idx="73">
                  <c:v>550</c:v>
                </c:pt>
                <c:pt idx="74">
                  <c:v>305</c:v>
                </c:pt>
                <c:pt idx="75">
                  <c:v>285</c:v>
                </c:pt>
                <c:pt idx="76">
                  <c:v>240</c:v>
                </c:pt>
                <c:pt idx="77">
                  <c:v>210</c:v>
                </c:pt>
                <c:pt idx="78">
                  <c:v>207.5</c:v>
                </c:pt>
                <c:pt idx="79">
                  <c:v>192.5</c:v>
                </c:pt>
                <c:pt idx="80">
                  <c:v>186</c:v>
                </c:pt>
                <c:pt idx="81">
                  <c:v>122</c:v>
                </c:pt>
                <c:pt idx="82">
                  <c:v>119</c:v>
                </c:pt>
                <c:pt idx="83">
                  <c:v>115</c:v>
                </c:pt>
                <c:pt idx="84">
                  <c:v>108</c:v>
                </c:pt>
                <c:pt idx="85">
                  <c:v>100</c:v>
                </c:pt>
                <c:pt idx="86">
                  <c:v>90</c:v>
                </c:pt>
                <c:pt idx="87">
                  <c:v>82</c:v>
                </c:pt>
                <c:pt idx="88">
                  <c:v>80</c:v>
                </c:pt>
                <c:pt idx="89">
                  <c:v>76</c:v>
                </c:pt>
                <c:pt idx="90">
                  <c:v>72</c:v>
                </c:pt>
                <c:pt idx="91">
                  <c:v>67.5</c:v>
                </c:pt>
                <c:pt idx="92">
                  <c:v>65</c:v>
                </c:pt>
                <c:pt idx="93">
                  <c:v>61</c:v>
                </c:pt>
                <c:pt idx="94">
                  <c:v>59</c:v>
                </c:pt>
                <c:pt idx="95">
                  <c:v>53.4</c:v>
                </c:pt>
                <c:pt idx="96">
                  <c:v>52</c:v>
                </c:pt>
                <c:pt idx="97">
                  <c:v>50.6</c:v>
                </c:pt>
                <c:pt idx="98">
                  <c:v>49.2</c:v>
                </c:pt>
                <c:pt idx="99">
                  <c:v>48.3</c:v>
                </c:pt>
                <c:pt idx="100">
                  <c:v>47</c:v>
                </c:pt>
                <c:pt idx="101">
                  <c:v>45.2</c:v>
                </c:pt>
                <c:pt idx="102">
                  <c:v>44</c:v>
                </c:pt>
                <c:pt idx="103">
                  <c:v>42.4</c:v>
                </c:pt>
                <c:pt idx="104">
                  <c:v>41</c:v>
                </c:pt>
                <c:pt idx="105">
                  <c:v>39.6</c:v>
                </c:pt>
                <c:pt idx="106">
                  <c:v>39.1</c:v>
                </c:pt>
                <c:pt idx="107">
                  <c:v>38</c:v>
                </c:pt>
                <c:pt idx="108">
                  <c:v>37</c:v>
                </c:pt>
                <c:pt idx="109">
                  <c:v>35.5</c:v>
                </c:pt>
                <c:pt idx="110">
                  <c:v>34.6</c:v>
                </c:pt>
                <c:pt idx="111">
                  <c:v>33.75</c:v>
                </c:pt>
                <c:pt idx="112">
                  <c:v>33.25</c:v>
                </c:pt>
                <c:pt idx="113">
                  <c:v>31.75</c:v>
                </c:pt>
                <c:pt idx="114">
                  <c:v>31.25</c:v>
                </c:pt>
                <c:pt idx="115">
                  <c:v>30</c:v>
                </c:pt>
                <c:pt idx="116">
                  <c:v>27.5</c:v>
                </c:pt>
                <c:pt idx="117">
                  <c:v>25</c:v>
                </c:pt>
                <c:pt idx="118">
                  <c:v>22.5</c:v>
                </c:pt>
                <c:pt idx="119">
                  <c:v>21</c:v>
                </c:pt>
                <c:pt idx="120">
                  <c:v>20</c:v>
                </c:pt>
                <c:pt idx="121">
                  <c:v>19</c:v>
                </c:pt>
                <c:pt idx="122">
                  <c:v>18.5</c:v>
                </c:pt>
                <c:pt idx="123">
                  <c:v>17</c:v>
                </c:pt>
                <c:pt idx="124">
                  <c:v>16</c:v>
                </c:pt>
                <c:pt idx="125">
                  <c:v>15.0999</c:v>
                </c:pt>
                <c:pt idx="126">
                  <c:v>14.4</c:v>
                </c:pt>
                <c:pt idx="127">
                  <c:v>13.75</c:v>
                </c:pt>
                <c:pt idx="128">
                  <c:v>12.9</c:v>
                </c:pt>
                <c:pt idx="129">
                  <c:v>11.9</c:v>
                </c:pt>
                <c:pt idx="130">
                  <c:v>11.5</c:v>
                </c:pt>
                <c:pt idx="131">
                  <c:v>10</c:v>
                </c:pt>
                <c:pt idx="132">
                  <c:v>9.09999</c:v>
                </c:pt>
                <c:pt idx="133">
                  <c:v>8.09999</c:v>
                </c:pt>
                <c:pt idx="134">
                  <c:v>7.1499999999999986</c:v>
                </c:pt>
                <c:pt idx="135">
                  <c:v>7</c:v>
                </c:pt>
                <c:pt idx="136">
                  <c:v>6.75</c:v>
                </c:pt>
                <c:pt idx="137">
                  <c:v>6.5</c:v>
                </c:pt>
                <c:pt idx="138">
                  <c:v>6.25</c:v>
                </c:pt>
                <c:pt idx="139">
                  <c:v>6</c:v>
                </c:pt>
                <c:pt idx="140">
                  <c:v>5.4</c:v>
                </c:pt>
                <c:pt idx="141">
                  <c:v>5</c:v>
                </c:pt>
                <c:pt idx="142">
                  <c:v>4.75</c:v>
                </c:pt>
                <c:pt idx="143">
                  <c:v>4</c:v>
                </c:pt>
                <c:pt idx="144">
                  <c:v>3.73</c:v>
                </c:pt>
                <c:pt idx="145">
                  <c:v>3.5</c:v>
                </c:pt>
                <c:pt idx="146">
                  <c:v>3.15</c:v>
                </c:pt>
                <c:pt idx="147">
                  <c:v>3.0499900000000002</c:v>
                </c:pt>
                <c:pt idx="148">
                  <c:v>3</c:v>
                </c:pt>
                <c:pt idx="149">
                  <c:v>2.9699900000000001</c:v>
                </c:pt>
                <c:pt idx="150">
                  <c:v>2.87</c:v>
                </c:pt>
                <c:pt idx="151">
                  <c:v>2.77</c:v>
                </c:pt>
                <c:pt idx="152">
                  <c:v>2.6699899999999999</c:v>
                </c:pt>
                <c:pt idx="153">
                  <c:v>2.57</c:v>
                </c:pt>
                <c:pt idx="154">
                  <c:v>2.4699900000000001</c:v>
                </c:pt>
                <c:pt idx="155">
                  <c:v>2.3799899999999981</c:v>
                </c:pt>
                <c:pt idx="156">
                  <c:v>2.2999900000000002</c:v>
                </c:pt>
                <c:pt idx="157">
                  <c:v>2.2099899999999999</c:v>
                </c:pt>
                <c:pt idx="158">
                  <c:v>2.12</c:v>
                </c:pt>
                <c:pt idx="159">
                  <c:v>2</c:v>
                </c:pt>
                <c:pt idx="160">
                  <c:v>1.94</c:v>
                </c:pt>
                <c:pt idx="161">
                  <c:v>1.86</c:v>
                </c:pt>
                <c:pt idx="162">
                  <c:v>1.77</c:v>
                </c:pt>
                <c:pt idx="163">
                  <c:v>1.6799900000000001</c:v>
                </c:pt>
                <c:pt idx="164">
                  <c:v>1.58999</c:v>
                </c:pt>
                <c:pt idx="165">
                  <c:v>1.5</c:v>
                </c:pt>
                <c:pt idx="166">
                  <c:v>1.45</c:v>
                </c:pt>
                <c:pt idx="167">
                  <c:v>1.4</c:v>
                </c:pt>
                <c:pt idx="168">
                  <c:v>1.34999</c:v>
                </c:pt>
                <c:pt idx="169">
                  <c:v>1.29999</c:v>
                </c:pt>
                <c:pt idx="170">
                  <c:v>1.25</c:v>
                </c:pt>
                <c:pt idx="171">
                  <c:v>1.22499</c:v>
                </c:pt>
                <c:pt idx="172">
                  <c:v>1.2</c:v>
                </c:pt>
                <c:pt idx="173">
                  <c:v>1.17499</c:v>
                </c:pt>
                <c:pt idx="174">
                  <c:v>1.1499999999999999</c:v>
                </c:pt>
                <c:pt idx="175">
                  <c:v>1.1399900000000001</c:v>
                </c:pt>
                <c:pt idx="176">
                  <c:v>1.12999</c:v>
                </c:pt>
                <c:pt idx="177">
                  <c:v>1.1200000000000001</c:v>
                </c:pt>
                <c:pt idx="178">
                  <c:v>1.1100000000000001</c:v>
                </c:pt>
                <c:pt idx="179">
                  <c:v>1.09999</c:v>
                </c:pt>
                <c:pt idx="180">
                  <c:v>1.08999</c:v>
                </c:pt>
                <c:pt idx="181">
                  <c:v>1.08</c:v>
                </c:pt>
                <c:pt idx="182">
                  <c:v>1.07</c:v>
                </c:pt>
                <c:pt idx="183">
                  <c:v>1.05999</c:v>
                </c:pt>
                <c:pt idx="184">
                  <c:v>1.04999</c:v>
                </c:pt>
                <c:pt idx="185">
                  <c:v>1.04</c:v>
                </c:pt>
                <c:pt idx="186">
                  <c:v>1.03</c:v>
                </c:pt>
                <c:pt idx="187">
                  <c:v>1.02</c:v>
                </c:pt>
                <c:pt idx="188">
                  <c:v>1.0099899999999999</c:v>
                </c:pt>
                <c:pt idx="189">
                  <c:v>1</c:v>
                </c:pt>
                <c:pt idx="190">
                  <c:v>0.97499999999999998</c:v>
                </c:pt>
                <c:pt idx="191">
                  <c:v>0.95</c:v>
                </c:pt>
                <c:pt idx="192">
                  <c:v>0.92500000000000004</c:v>
                </c:pt>
                <c:pt idx="193">
                  <c:v>0.9</c:v>
                </c:pt>
                <c:pt idx="194">
                  <c:v>0.85</c:v>
                </c:pt>
                <c:pt idx="195">
                  <c:v>0.8</c:v>
                </c:pt>
                <c:pt idx="196">
                  <c:v>0.75</c:v>
                </c:pt>
                <c:pt idx="197">
                  <c:v>0.7</c:v>
                </c:pt>
                <c:pt idx="198">
                  <c:v>0.65</c:v>
                </c:pt>
                <c:pt idx="199">
                  <c:v>0.625</c:v>
                </c:pt>
                <c:pt idx="200">
                  <c:v>0.6</c:v>
                </c:pt>
                <c:pt idx="201">
                  <c:v>0.55000000000000004</c:v>
                </c:pt>
                <c:pt idx="202">
                  <c:v>0.5</c:v>
                </c:pt>
                <c:pt idx="203">
                  <c:v>0.45</c:v>
                </c:pt>
                <c:pt idx="204">
                  <c:v>0.4</c:v>
                </c:pt>
                <c:pt idx="205">
                  <c:v>0.375</c:v>
                </c:pt>
                <c:pt idx="206">
                  <c:v>0.35</c:v>
                </c:pt>
                <c:pt idx="207">
                  <c:v>0.32500000000000001</c:v>
                </c:pt>
                <c:pt idx="208">
                  <c:v>0.3</c:v>
                </c:pt>
                <c:pt idx="209">
                  <c:v>0.27500000000000002</c:v>
                </c:pt>
                <c:pt idx="210">
                  <c:v>0.25</c:v>
                </c:pt>
                <c:pt idx="211">
                  <c:v>0.22500000000000001</c:v>
                </c:pt>
                <c:pt idx="212">
                  <c:v>0.2</c:v>
                </c:pt>
                <c:pt idx="213">
                  <c:v>0.17499999999999999</c:v>
                </c:pt>
                <c:pt idx="214">
                  <c:v>0.15</c:v>
                </c:pt>
                <c:pt idx="215">
                  <c:v>0.125</c:v>
                </c:pt>
                <c:pt idx="216">
                  <c:v>0.1</c:v>
                </c:pt>
                <c:pt idx="217">
                  <c:v>0.09</c:v>
                </c:pt>
                <c:pt idx="218">
                  <c:v>0.08</c:v>
                </c:pt>
                <c:pt idx="219">
                  <c:v>7.0000000000000007E-2</c:v>
                </c:pt>
                <c:pt idx="220">
                  <c:v>0.06</c:v>
                </c:pt>
                <c:pt idx="221">
                  <c:v>0.05</c:v>
                </c:pt>
                <c:pt idx="222">
                  <c:v>0.04</c:v>
                </c:pt>
                <c:pt idx="223">
                  <c:v>0.03</c:v>
                </c:pt>
                <c:pt idx="224">
                  <c:v>2.53E-2</c:v>
                </c:pt>
                <c:pt idx="225">
                  <c:v>0.01</c:v>
                </c:pt>
                <c:pt idx="226">
                  <c:v>7.4999999999999997E-3</c:v>
                </c:pt>
                <c:pt idx="227">
                  <c:v>5.0000000000000001E-3</c:v>
                </c:pt>
                <c:pt idx="228">
                  <c:v>4.0000000000000001E-3</c:v>
                </c:pt>
                <c:pt idx="229">
                  <c:v>3.0000000000000001E-3</c:v>
                </c:pt>
                <c:pt idx="230">
                  <c:v>2.5000000000000001E-3</c:v>
                </c:pt>
                <c:pt idx="231">
                  <c:v>2E-3</c:v>
                </c:pt>
                <c:pt idx="232">
                  <c:v>1.5E-3</c:v>
                </c:pt>
                <c:pt idx="233">
                  <c:v>1.1999999999999999E-3</c:v>
                </c:pt>
                <c:pt idx="234">
                  <c:v>1E-3</c:v>
                </c:pt>
                <c:pt idx="235">
                  <c:v>7.5000000000000002E-4</c:v>
                </c:pt>
                <c:pt idx="236">
                  <c:v>5.0000000000000001E-4</c:v>
                </c:pt>
                <c:pt idx="237">
                  <c:v>1E-4</c:v>
                </c:pt>
              </c:numCache>
            </c:numRef>
          </c:xVal>
          <c:yVal>
            <c:numRef>
              <c:f>'Flux per Lethargy'!$J$3:$J$240</c:f>
              <c:numCache>
                <c:formatCode>0.00E+00</c:formatCode>
                <c:ptCount val="238"/>
                <c:pt idx="0">
                  <c:v>2.9395132024978798E-6</c:v>
                </c:pt>
                <c:pt idx="1">
                  <c:v>4.1547458732386401E-5</c:v>
                </c:pt>
                <c:pt idx="2">
                  <c:v>1.07028395387811E-4</c:v>
                </c:pt>
                <c:pt idx="3">
                  <c:v>1.92315029906679E-4</c:v>
                </c:pt>
                <c:pt idx="4">
                  <c:v>3.4283762443047399E-4</c:v>
                </c:pt>
                <c:pt idx="5">
                  <c:v>1.4431101032716101E-3</c:v>
                </c:pt>
                <c:pt idx="6">
                  <c:v>5.0381637427348797E-3</c:v>
                </c:pt>
                <c:pt idx="7">
                  <c:v>1.50063255624559E-2</c:v>
                </c:pt>
                <c:pt idx="8">
                  <c:v>3.7214989306596398E-2</c:v>
                </c:pt>
                <c:pt idx="9">
                  <c:v>5.7429277503528803E-2</c:v>
                </c:pt>
                <c:pt idx="10">
                  <c:v>8.3051123604812205E-2</c:v>
                </c:pt>
                <c:pt idx="11">
                  <c:v>0.124972666491415</c:v>
                </c:pt>
                <c:pt idx="12">
                  <c:v>0.150191232240029</c:v>
                </c:pt>
                <c:pt idx="13">
                  <c:v>0.14776072992397901</c:v>
                </c:pt>
                <c:pt idx="14">
                  <c:v>0.16042373590262399</c:v>
                </c:pt>
                <c:pt idx="15">
                  <c:v>0.169725486262845</c:v>
                </c:pt>
                <c:pt idx="16">
                  <c:v>0.16962219051239899</c:v>
                </c:pt>
                <c:pt idx="17">
                  <c:v>0.15625677404914701</c:v>
                </c:pt>
                <c:pt idx="18">
                  <c:v>0.16153642499155199</c:v>
                </c:pt>
                <c:pt idx="19">
                  <c:v>0.16306373228698801</c:v>
                </c:pt>
                <c:pt idx="20">
                  <c:v>0.16615057202398001</c:v>
                </c:pt>
                <c:pt idx="21">
                  <c:v>0.144579190094487</c:v>
                </c:pt>
                <c:pt idx="22">
                  <c:v>0.136821687820223</c:v>
                </c:pt>
                <c:pt idx="23">
                  <c:v>0.14601257738130199</c:v>
                </c:pt>
                <c:pt idx="24">
                  <c:v>0.156122126521824</c:v>
                </c:pt>
                <c:pt idx="25">
                  <c:v>0.15537798948781201</c:v>
                </c:pt>
                <c:pt idx="26">
                  <c:v>0.15096779477869801</c:v>
                </c:pt>
                <c:pt idx="27">
                  <c:v>0.16232401387725401</c:v>
                </c:pt>
                <c:pt idx="28">
                  <c:v>0.153348074069903</c:v>
                </c:pt>
                <c:pt idx="29">
                  <c:v>0.14951382787298101</c:v>
                </c:pt>
                <c:pt idx="30">
                  <c:v>0.14458021974483401</c:v>
                </c:pt>
                <c:pt idx="31">
                  <c:v>0.13573370685080199</c:v>
                </c:pt>
                <c:pt idx="32">
                  <c:v>0.12618561153628199</c:v>
                </c:pt>
                <c:pt idx="33">
                  <c:v>0.12928940412290499</c:v>
                </c:pt>
                <c:pt idx="34">
                  <c:v>0.12597108649342401</c:v>
                </c:pt>
                <c:pt idx="35">
                  <c:v>0.10952036123514799</c:v>
                </c:pt>
                <c:pt idx="36">
                  <c:v>9.9450903514763406E-2</c:v>
                </c:pt>
                <c:pt idx="37">
                  <c:v>0.106763324330246</c:v>
                </c:pt>
                <c:pt idx="38">
                  <c:v>0.107759655278023</c:v>
                </c:pt>
                <c:pt idx="39">
                  <c:v>9.9840243992426803E-2</c:v>
                </c:pt>
                <c:pt idx="40">
                  <c:v>8.2675513931407901E-2</c:v>
                </c:pt>
                <c:pt idx="41">
                  <c:v>8.4937623977648799E-2</c:v>
                </c:pt>
                <c:pt idx="42">
                  <c:v>7.4582134316623305E-2</c:v>
                </c:pt>
                <c:pt idx="43">
                  <c:v>6.6414252008643704E-2</c:v>
                </c:pt>
                <c:pt idx="44">
                  <c:v>6.08190496624351E-2</c:v>
                </c:pt>
                <c:pt idx="45">
                  <c:v>5.9999423799434397E-2</c:v>
                </c:pt>
                <c:pt idx="46">
                  <c:v>5.77124609374235E-2</c:v>
                </c:pt>
                <c:pt idx="47">
                  <c:v>5.6694479662419202E-2</c:v>
                </c:pt>
                <c:pt idx="48">
                  <c:v>5.4282160794983998E-2</c:v>
                </c:pt>
                <c:pt idx="49">
                  <c:v>5.1134164016354698E-2</c:v>
                </c:pt>
                <c:pt idx="50">
                  <c:v>5.6839960352051203E-2</c:v>
                </c:pt>
                <c:pt idx="51">
                  <c:v>5.1136479533794202E-2</c:v>
                </c:pt>
                <c:pt idx="52">
                  <c:v>4.82154156490767E-2</c:v>
                </c:pt>
                <c:pt idx="53">
                  <c:v>4.5543410262512601E-2</c:v>
                </c:pt>
                <c:pt idx="54">
                  <c:v>4.3493592654030397E-2</c:v>
                </c:pt>
                <c:pt idx="55">
                  <c:v>4.2962639225069599E-2</c:v>
                </c:pt>
                <c:pt idx="56">
                  <c:v>4.1652539934333002E-2</c:v>
                </c:pt>
                <c:pt idx="57">
                  <c:v>4.0399680551662598E-2</c:v>
                </c:pt>
                <c:pt idx="58">
                  <c:v>4.0044070319687097E-2</c:v>
                </c:pt>
                <c:pt idx="59">
                  <c:v>3.9607281978180198E-2</c:v>
                </c:pt>
                <c:pt idx="60">
                  <c:v>3.78764411642896E-2</c:v>
                </c:pt>
                <c:pt idx="61">
                  <c:v>3.9103221643762599E-2</c:v>
                </c:pt>
                <c:pt idx="62">
                  <c:v>3.7424208419983902E-2</c:v>
                </c:pt>
                <c:pt idx="63">
                  <c:v>3.94794352549378E-2</c:v>
                </c:pt>
                <c:pt idx="64">
                  <c:v>3.62207389546777E-2</c:v>
                </c:pt>
                <c:pt idx="65">
                  <c:v>3.8355310067728098E-2</c:v>
                </c:pt>
                <c:pt idx="66">
                  <c:v>3.7690725139573798E-2</c:v>
                </c:pt>
                <c:pt idx="67">
                  <c:v>3.4516033151291203E-2</c:v>
                </c:pt>
                <c:pt idx="68">
                  <c:v>3.7950305719866899E-2</c:v>
                </c:pt>
                <c:pt idx="69">
                  <c:v>3.7640652912035499E-2</c:v>
                </c:pt>
                <c:pt idx="70">
                  <c:v>3.73616040458346E-2</c:v>
                </c:pt>
                <c:pt idx="71">
                  <c:v>3.4339835509075801E-2</c:v>
                </c:pt>
                <c:pt idx="72">
                  <c:v>3.7037224087714399E-2</c:v>
                </c:pt>
                <c:pt idx="73">
                  <c:v>3.7185390032387203E-2</c:v>
                </c:pt>
                <c:pt idx="74">
                  <c:v>3.1955044655958699E-2</c:v>
                </c:pt>
                <c:pt idx="75">
                  <c:v>3.6429959892506601E-2</c:v>
                </c:pt>
                <c:pt idx="76">
                  <c:v>3.4855678477893601E-2</c:v>
                </c:pt>
                <c:pt idx="77">
                  <c:v>2.4010267682626801E-2</c:v>
                </c:pt>
                <c:pt idx="78">
                  <c:v>3.5973473701865002E-2</c:v>
                </c:pt>
                <c:pt idx="79">
                  <c:v>3.2373220294881801E-2</c:v>
                </c:pt>
                <c:pt idx="80">
                  <c:v>3.5425712702792003E-2</c:v>
                </c:pt>
                <c:pt idx="81">
                  <c:v>3.4183790697926299E-2</c:v>
                </c:pt>
                <c:pt idx="82">
                  <c:v>3.08176145824566E-2</c:v>
                </c:pt>
                <c:pt idx="83">
                  <c:v>3.38418028585252E-2</c:v>
                </c:pt>
                <c:pt idx="84">
                  <c:v>3.2614621537148197E-2</c:v>
                </c:pt>
                <c:pt idx="85">
                  <c:v>3.3934011101108601E-2</c:v>
                </c:pt>
                <c:pt idx="86">
                  <c:v>3.36150498616576E-2</c:v>
                </c:pt>
                <c:pt idx="87">
                  <c:v>3.05850976746961E-2</c:v>
                </c:pt>
                <c:pt idx="88">
                  <c:v>3.3959654748444E-2</c:v>
                </c:pt>
                <c:pt idx="89">
                  <c:v>3.33447299423884E-2</c:v>
                </c:pt>
                <c:pt idx="90">
                  <c:v>3.3154357190595299E-2</c:v>
                </c:pt>
                <c:pt idx="91">
                  <c:v>2.52127009500972E-2</c:v>
                </c:pt>
                <c:pt idx="92">
                  <c:v>3.3524453052529997E-2</c:v>
                </c:pt>
                <c:pt idx="93">
                  <c:v>3.3033081642748097E-2</c:v>
                </c:pt>
                <c:pt idx="94">
                  <c:v>3.2795977605895997E-2</c:v>
                </c:pt>
                <c:pt idx="95">
                  <c:v>3.2987860080210901E-2</c:v>
                </c:pt>
                <c:pt idx="96">
                  <c:v>3.3055307850531998E-2</c:v>
                </c:pt>
                <c:pt idx="97">
                  <c:v>3.2847030423610098E-2</c:v>
                </c:pt>
                <c:pt idx="98">
                  <c:v>3.2962451063145E-2</c:v>
                </c:pt>
                <c:pt idx="99">
                  <c:v>3.2064167774099102E-2</c:v>
                </c:pt>
                <c:pt idx="100">
                  <c:v>3.1821916705254E-2</c:v>
                </c:pt>
                <c:pt idx="101">
                  <c:v>2.7159915078929401E-2</c:v>
                </c:pt>
                <c:pt idx="102">
                  <c:v>3.0422704821732701E-2</c:v>
                </c:pt>
                <c:pt idx="103">
                  <c:v>3.1963967612612998E-2</c:v>
                </c:pt>
                <c:pt idx="104">
                  <c:v>3.2594631608494601E-2</c:v>
                </c:pt>
                <c:pt idx="105">
                  <c:v>3.1804456473168E-2</c:v>
                </c:pt>
                <c:pt idx="106">
                  <c:v>3.1101007557513601E-2</c:v>
                </c:pt>
                <c:pt idx="107">
                  <c:v>2.59070567615656E-2</c:v>
                </c:pt>
                <c:pt idx="108">
                  <c:v>2.28354462523154E-2</c:v>
                </c:pt>
                <c:pt idx="109">
                  <c:v>3.02682522675661E-2</c:v>
                </c:pt>
                <c:pt idx="110">
                  <c:v>2.9981895230599701E-2</c:v>
                </c:pt>
                <c:pt idx="111">
                  <c:v>2.9236959248912099E-2</c:v>
                </c:pt>
                <c:pt idx="112">
                  <c:v>3.05027872971615E-2</c:v>
                </c:pt>
                <c:pt idx="113">
                  <c:v>3.1471331324293299E-2</c:v>
                </c:pt>
                <c:pt idx="114">
                  <c:v>3.1210520351696799E-2</c:v>
                </c:pt>
                <c:pt idx="115">
                  <c:v>3.1250515699753401E-2</c:v>
                </c:pt>
                <c:pt idx="116">
                  <c:v>3.1418367533180599E-2</c:v>
                </c:pt>
                <c:pt idx="117">
                  <c:v>3.1318300605439699E-2</c:v>
                </c:pt>
                <c:pt idx="118">
                  <c:v>2.6793715008548699E-2</c:v>
                </c:pt>
                <c:pt idx="119">
                  <c:v>1.86589527269285E-2</c:v>
                </c:pt>
                <c:pt idx="120">
                  <c:v>2.84876028151951E-2</c:v>
                </c:pt>
                <c:pt idx="121">
                  <c:v>2.9027731642988198E-2</c:v>
                </c:pt>
                <c:pt idx="122">
                  <c:v>2.9108226867771401E-2</c:v>
                </c:pt>
                <c:pt idx="123">
                  <c:v>2.92729561439398E-2</c:v>
                </c:pt>
                <c:pt idx="124">
                  <c:v>2.8404478695633499E-2</c:v>
                </c:pt>
                <c:pt idx="125">
                  <c:v>2.4607393730200201E-2</c:v>
                </c:pt>
                <c:pt idx="126">
                  <c:v>2.8276660375135699E-2</c:v>
                </c:pt>
                <c:pt idx="127">
                  <c:v>2.94239787426799E-2</c:v>
                </c:pt>
                <c:pt idx="128">
                  <c:v>2.8934297114437599E-2</c:v>
                </c:pt>
                <c:pt idx="129">
                  <c:v>2.8563734401431101E-2</c:v>
                </c:pt>
                <c:pt idx="130">
                  <c:v>2.90303877913301E-2</c:v>
                </c:pt>
                <c:pt idx="131">
                  <c:v>2.9343571341748299E-2</c:v>
                </c:pt>
                <c:pt idx="132">
                  <c:v>2.7761443454065698E-2</c:v>
                </c:pt>
                <c:pt idx="133">
                  <c:v>2.7054718719271901E-2</c:v>
                </c:pt>
                <c:pt idx="134">
                  <c:v>2.6137296293103601E-2</c:v>
                </c:pt>
                <c:pt idx="135">
                  <c:v>1.68774003057496E-2</c:v>
                </c:pt>
                <c:pt idx="136">
                  <c:v>7.0723131186966699E-3</c:v>
                </c:pt>
                <c:pt idx="137">
                  <c:v>2.0427977915437601E-2</c:v>
                </c:pt>
                <c:pt idx="138">
                  <c:v>2.3087030312899499E-2</c:v>
                </c:pt>
                <c:pt idx="139">
                  <c:v>1.7709955418862E-2</c:v>
                </c:pt>
                <c:pt idx="140">
                  <c:v>1.9599160598663401E-2</c:v>
                </c:pt>
                <c:pt idx="141">
                  <c:v>2.30427479092233E-2</c:v>
                </c:pt>
                <c:pt idx="142">
                  <c:v>2.3657736977971001E-2</c:v>
                </c:pt>
                <c:pt idx="143">
                  <c:v>2.44664994553963E-2</c:v>
                </c:pt>
                <c:pt idx="144">
                  <c:v>2.4834282179265501E-2</c:v>
                </c:pt>
                <c:pt idx="145">
                  <c:v>2.4846240051315201E-2</c:v>
                </c:pt>
                <c:pt idx="146">
                  <c:v>2.50255497290609E-2</c:v>
                </c:pt>
                <c:pt idx="147">
                  <c:v>2.5082320318676299E-2</c:v>
                </c:pt>
                <c:pt idx="148">
                  <c:v>2.93914245779432E-2</c:v>
                </c:pt>
                <c:pt idx="149">
                  <c:v>2.6961651256256599E-2</c:v>
                </c:pt>
                <c:pt idx="150">
                  <c:v>2.6261986872874399E-2</c:v>
                </c:pt>
                <c:pt idx="151">
                  <c:v>2.2740364084173299E-2</c:v>
                </c:pt>
                <c:pt idx="152">
                  <c:v>2.2349916392391402E-2</c:v>
                </c:pt>
                <c:pt idx="153">
                  <c:v>2.54092538916748E-2</c:v>
                </c:pt>
                <c:pt idx="154">
                  <c:v>2.5395605382874699E-2</c:v>
                </c:pt>
                <c:pt idx="155">
                  <c:v>2.54867979120833E-2</c:v>
                </c:pt>
                <c:pt idx="156">
                  <c:v>2.55532455640607E-2</c:v>
                </c:pt>
                <c:pt idx="157">
                  <c:v>2.53675102329287E-2</c:v>
                </c:pt>
                <c:pt idx="158">
                  <c:v>2.5441149153729501E-2</c:v>
                </c:pt>
                <c:pt idx="159">
                  <c:v>2.5646827501553799E-2</c:v>
                </c:pt>
                <c:pt idx="160">
                  <c:v>2.5873622132109399E-2</c:v>
                </c:pt>
                <c:pt idx="161">
                  <c:v>2.58845778264414E-2</c:v>
                </c:pt>
                <c:pt idx="162">
                  <c:v>2.5827634827588899E-2</c:v>
                </c:pt>
                <c:pt idx="163">
                  <c:v>2.6129546655232101E-2</c:v>
                </c:pt>
                <c:pt idx="164">
                  <c:v>2.5702843279683401E-2</c:v>
                </c:pt>
                <c:pt idx="165">
                  <c:v>2.4998727048554201E-2</c:v>
                </c:pt>
                <c:pt idx="166">
                  <c:v>2.4792266859441001E-2</c:v>
                </c:pt>
                <c:pt idx="167">
                  <c:v>2.38151982669688E-2</c:v>
                </c:pt>
                <c:pt idx="168">
                  <c:v>2.3139554815582601E-2</c:v>
                </c:pt>
                <c:pt idx="169">
                  <c:v>2.3170001640874301E-2</c:v>
                </c:pt>
                <c:pt idx="170">
                  <c:v>2.30702660738045E-2</c:v>
                </c:pt>
                <c:pt idx="171">
                  <c:v>2.3007518039724999E-2</c:v>
                </c:pt>
                <c:pt idx="172">
                  <c:v>2.2804756953368199E-2</c:v>
                </c:pt>
                <c:pt idx="173">
                  <c:v>2.20718103922188E-2</c:v>
                </c:pt>
                <c:pt idx="174">
                  <c:v>2.1014412564430401E-2</c:v>
                </c:pt>
                <c:pt idx="175">
                  <c:v>2.0051498666732299E-2</c:v>
                </c:pt>
                <c:pt idx="176">
                  <c:v>1.8779208721638001E-2</c:v>
                </c:pt>
                <c:pt idx="177">
                  <c:v>1.7211265325549799E-2</c:v>
                </c:pt>
                <c:pt idx="178">
                  <c:v>1.54590584372469E-2</c:v>
                </c:pt>
                <c:pt idx="179">
                  <c:v>1.37323903897923E-2</c:v>
                </c:pt>
                <c:pt idx="180">
                  <c:v>1.22434956022387E-2</c:v>
                </c:pt>
                <c:pt idx="181">
                  <c:v>1.11244140337167E-2</c:v>
                </c:pt>
                <c:pt idx="182">
                  <c:v>1.043494686336E-2</c:v>
                </c:pt>
                <c:pt idx="183">
                  <c:v>1.01780014860486E-2</c:v>
                </c:pt>
                <c:pt idx="184">
                  <c:v>1.0349346815766399E-2</c:v>
                </c:pt>
                <c:pt idx="185">
                  <c:v>1.09660399428534E-2</c:v>
                </c:pt>
                <c:pt idx="186">
                  <c:v>1.20238062743956E-2</c:v>
                </c:pt>
                <c:pt idx="187">
                  <c:v>1.34735263638943E-2</c:v>
                </c:pt>
                <c:pt idx="188">
                  <c:v>1.5169867251240801E-2</c:v>
                </c:pt>
                <c:pt idx="189">
                  <c:v>1.7889540409289799E-2</c:v>
                </c:pt>
                <c:pt idx="190">
                  <c:v>2.0231119783069899E-2</c:v>
                </c:pt>
                <c:pt idx="191">
                  <c:v>2.1254779135131002E-2</c:v>
                </c:pt>
                <c:pt idx="192">
                  <c:v>2.1874269811892801E-2</c:v>
                </c:pt>
                <c:pt idx="193">
                  <c:v>2.27616516902714E-2</c:v>
                </c:pt>
                <c:pt idx="194">
                  <c:v>2.3451460948476201E-2</c:v>
                </c:pt>
                <c:pt idx="195">
                  <c:v>2.3680848752511099E-2</c:v>
                </c:pt>
                <c:pt idx="196">
                  <c:v>2.4598171250131799E-2</c:v>
                </c:pt>
                <c:pt idx="197">
                  <c:v>2.44383666768959E-2</c:v>
                </c:pt>
                <c:pt idx="198">
                  <c:v>2.4732684912532301E-2</c:v>
                </c:pt>
                <c:pt idx="199">
                  <c:v>2.5269968409830101E-2</c:v>
                </c:pt>
                <c:pt idx="200">
                  <c:v>2.4936453924341202E-2</c:v>
                </c:pt>
                <c:pt idx="201">
                  <c:v>2.58474415886558E-2</c:v>
                </c:pt>
                <c:pt idx="202">
                  <c:v>2.5664597745680501E-2</c:v>
                </c:pt>
                <c:pt idx="203">
                  <c:v>2.7068805820980299E-2</c:v>
                </c:pt>
                <c:pt idx="204">
                  <c:v>2.7560154886920402E-2</c:v>
                </c:pt>
                <c:pt idx="205">
                  <c:v>2.7904838460089201E-2</c:v>
                </c:pt>
                <c:pt idx="206">
                  <c:v>2.6955628016240699E-2</c:v>
                </c:pt>
                <c:pt idx="207">
                  <c:v>2.81344931023964E-2</c:v>
                </c:pt>
                <c:pt idx="208">
                  <c:v>2.84724041090124E-2</c:v>
                </c:pt>
                <c:pt idx="209">
                  <c:v>3.2672471353380597E-2</c:v>
                </c:pt>
                <c:pt idx="210">
                  <c:v>3.7150136041517699E-2</c:v>
                </c:pt>
                <c:pt idx="211">
                  <c:v>4.1932141884717097E-2</c:v>
                </c:pt>
                <c:pt idx="212">
                  <c:v>4.8209362850430697E-2</c:v>
                </c:pt>
                <c:pt idx="213">
                  <c:v>5.29437808179785E-2</c:v>
                </c:pt>
                <c:pt idx="214">
                  <c:v>5.5896070704561297E-2</c:v>
                </c:pt>
                <c:pt idx="215">
                  <c:v>5.6693672450889097E-2</c:v>
                </c:pt>
                <c:pt idx="216">
                  <c:v>5.4244941928076502E-2</c:v>
                </c:pt>
                <c:pt idx="217">
                  <c:v>5.1679410421011499E-2</c:v>
                </c:pt>
                <c:pt idx="218">
                  <c:v>4.7327502283463802E-2</c:v>
                </c:pt>
                <c:pt idx="219">
                  <c:v>4.2082280911213299E-2</c:v>
                </c:pt>
                <c:pt idx="220">
                  <c:v>3.57732608595073E-2</c:v>
                </c:pt>
                <c:pt idx="221">
                  <c:v>2.82846301971484E-2</c:v>
                </c:pt>
                <c:pt idx="222">
                  <c:v>2.0262896074480102E-2</c:v>
                </c:pt>
                <c:pt idx="223">
                  <c:v>1.42427654295973E-2</c:v>
                </c:pt>
                <c:pt idx="224">
                  <c:v>6.7557127619521503E-3</c:v>
                </c:pt>
                <c:pt idx="225">
                  <c:v>1.9158852723176801E-3</c:v>
                </c:pt>
                <c:pt idx="226">
                  <c:v>9.925662542001419E-4</c:v>
                </c:pt>
                <c:pt idx="227">
                  <c:v>5.1529018979933397E-4</c:v>
                </c:pt>
                <c:pt idx="228">
                  <c:v>3.0924419240962401E-4</c:v>
                </c:pt>
                <c:pt idx="229">
                  <c:v>1.8833678350307299E-4</c:v>
                </c:pt>
                <c:pt idx="230">
                  <c:v>1.24168888626261E-4</c:v>
                </c:pt>
                <c:pt idx="231">
                  <c:v>7.3679717272758506E-5</c:v>
                </c:pt>
                <c:pt idx="232">
                  <c:v>4.2831417770000699E-5</c:v>
                </c:pt>
                <c:pt idx="233">
                  <c:v>2.78193077790368E-5</c:v>
                </c:pt>
                <c:pt idx="234">
                  <c:v>1.7153725373973201E-5</c:v>
                </c:pt>
                <c:pt idx="235">
                  <c:v>8.3732999854634492E-6</c:v>
                </c:pt>
                <c:pt idx="236">
                  <c:v>1.7461895890051101E-6</c:v>
                </c:pt>
                <c:pt idx="237">
                  <c:v>4.0183534288508198E-8</c:v>
                </c:pt>
              </c:numCache>
            </c:numRef>
          </c:yVal>
          <c:smooth val="1"/>
        </c:ser>
        <c:ser>
          <c:idx val="1"/>
          <c:order val="1"/>
          <c:tx>
            <c:strRef>
              <c:f>Normalized!$K$2</c:f>
              <c:strCache>
                <c:ptCount val="1"/>
                <c:pt idx="0">
                  <c:v>UO2</c:v>
                </c:pt>
              </c:strCache>
            </c:strRef>
          </c:tx>
          <c:marker>
            <c:symbol val="none"/>
          </c:marker>
          <c:xVal>
            <c:numRef>
              <c:f>Normalized!$I$3:$I$240</c:f>
              <c:numCache>
                <c:formatCode>0.00E+00</c:formatCode>
                <c:ptCount val="238"/>
                <c:pt idx="0">
                  <c:v>20000000</c:v>
                </c:pt>
                <c:pt idx="1">
                  <c:v>17333000</c:v>
                </c:pt>
                <c:pt idx="2">
                  <c:v>15683000</c:v>
                </c:pt>
                <c:pt idx="3">
                  <c:v>14550000</c:v>
                </c:pt>
                <c:pt idx="4">
                  <c:v>13840000</c:v>
                </c:pt>
                <c:pt idx="5">
                  <c:v>12840000</c:v>
                </c:pt>
                <c:pt idx="6">
                  <c:v>10000000</c:v>
                </c:pt>
                <c:pt idx="7">
                  <c:v>8187300</c:v>
                </c:pt>
                <c:pt idx="8">
                  <c:v>6434000</c:v>
                </c:pt>
                <c:pt idx="9">
                  <c:v>4800000</c:v>
                </c:pt>
                <c:pt idx="10">
                  <c:v>4304000</c:v>
                </c:pt>
                <c:pt idx="11">
                  <c:v>3000000</c:v>
                </c:pt>
                <c:pt idx="12">
                  <c:v>2479000</c:v>
                </c:pt>
                <c:pt idx="13">
                  <c:v>2354000</c:v>
                </c:pt>
                <c:pt idx="14">
                  <c:v>1850000</c:v>
                </c:pt>
                <c:pt idx="15">
                  <c:v>1500000</c:v>
                </c:pt>
                <c:pt idx="16">
                  <c:v>1400000</c:v>
                </c:pt>
                <c:pt idx="17">
                  <c:v>1356000</c:v>
                </c:pt>
                <c:pt idx="18">
                  <c:v>1317000</c:v>
                </c:pt>
                <c:pt idx="19">
                  <c:v>1250000</c:v>
                </c:pt>
                <c:pt idx="20">
                  <c:v>1200000</c:v>
                </c:pt>
                <c:pt idx="21">
                  <c:v>1100000</c:v>
                </c:pt>
                <c:pt idx="22">
                  <c:v>1010000</c:v>
                </c:pt>
                <c:pt idx="23">
                  <c:v>920000</c:v>
                </c:pt>
                <c:pt idx="24">
                  <c:v>900000</c:v>
                </c:pt>
                <c:pt idx="25">
                  <c:v>875000</c:v>
                </c:pt>
                <c:pt idx="26">
                  <c:v>861100</c:v>
                </c:pt>
                <c:pt idx="27">
                  <c:v>820000</c:v>
                </c:pt>
                <c:pt idx="28">
                  <c:v>750000</c:v>
                </c:pt>
                <c:pt idx="29">
                  <c:v>679000</c:v>
                </c:pt>
                <c:pt idx="30">
                  <c:v>670000</c:v>
                </c:pt>
                <c:pt idx="31">
                  <c:v>600000</c:v>
                </c:pt>
                <c:pt idx="32">
                  <c:v>573000</c:v>
                </c:pt>
                <c:pt idx="33">
                  <c:v>550000</c:v>
                </c:pt>
                <c:pt idx="34">
                  <c:v>499520</c:v>
                </c:pt>
                <c:pt idx="35">
                  <c:v>470000</c:v>
                </c:pt>
                <c:pt idx="36">
                  <c:v>440000</c:v>
                </c:pt>
                <c:pt idx="37">
                  <c:v>420000</c:v>
                </c:pt>
                <c:pt idx="38">
                  <c:v>400000</c:v>
                </c:pt>
                <c:pt idx="39">
                  <c:v>330000</c:v>
                </c:pt>
                <c:pt idx="40">
                  <c:v>270000</c:v>
                </c:pt>
                <c:pt idx="41">
                  <c:v>200000</c:v>
                </c:pt>
                <c:pt idx="42">
                  <c:v>150000</c:v>
                </c:pt>
                <c:pt idx="43">
                  <c:v>128300</c:v>
                </c:pt>
                <c:pt idx="44">
                  <c:v>100000</c:v>
                </c:pt>
                <c:pt idx="45">
                  <c:v>85000</c:v>
                </c:pt>
                <c:pt idx="46">
                  <c:v>82000</c:v>
                </c:pt>
                <c:pt idx="47">
                  <c:v>75000</c:v>
                </c:pt>
                <c:pt idx="48">
                  <c:v>73000</c:v>
                </c:pt>
                <c:pt idx="49">
                  <c:v>60000</c:v>
                </c:pt>
                <c:pt idx="50">
                  <c:v>52000</c:v>
                </c:pt>
                <c:pt idx="51">
                  <c:v>50000</c:v>
                </c:pt>
                <c:pt idx="52">
                  <c:v>45000</c:v>
                </c:pt>
                <c:pt idx="53">
                  <c:v>30000</c:v>
                </c:pt>
                <c:pt idx="54">
                  <c:v>25000</c:v>
                </c:pt>
                <c:pt idx="55">
                  <c:v>17000</c:v>
                </c:pt>
                <c:pt idx="56">
                  <c:v>13000</c:v>
                </c:pt>
                <c:pt idx="57">
                  <c:v>9500</c:v>
                </c:pt>
                <c:pt idx="58">
                  <c:v>8030</c:v>
                </c:pt>
                <c:pt idx="59">
                  <c:v>6000</c:v>
                </c:pt>
                <c:pt idx="60">
                  <c:v>3900</c:v>
                </c:pt>
                <c:pt idx="61">
                  <c:v>3740</c:v>
                </c:pt>
                <c:pt idx="62">
                  <c:v>3000</c:v>
                </c:pt>
                <c:pt idx="63">
                  <c:v>2580</c:v>
                </c:pt>
                <c:pt idx="64">
                  <c:v>2290</c:v>
                </c:pt>
                <c:pt idx="65">
                  <c:v>2200</c:v>
                </c:pt>
                <c:pt idx="66">
                  <c:v>1800</c:v>
                </c:pt>
                <c:pt idx="67">
                  <c:v>1550</c:v>
                </c:pt>
                <c:pt idx="68">
                  <c:v>1500</c:v>
                </c:pt>
                <c:pt idx="69">
                  <c:v>1150</c:v>
                </c:pt>
                <c:pt idx="70">
                  <c:v>950</c:v>
                </c:pt>
                <c:pt idx="71">
                  <c:v>683</c:v>
                </c:pt>
                <c:pt idx="72">
                  <c:v>670</c:v>
                </c:pt>
                <c:pt idx="73">
                  <c:v>550</c:v>
                </c:pt>
                <c:pt idx="74">
                  <c:v>305</c:v>
                </c:pt>
                <c:pt idx="75">
                  <c:v>285</c:v>
                </c:pt>
                <c:pt idx="76">
                  <c:v>240</c:v>
                </c:pt>
                <c:pt idx="77">
                  <c:v>210</c:v>
                </c:pt>
                <c:pt idx="78">
                  <c:v>207.5</c:v>
                </c:pt>
                <c:pt idx="79">
                  <c:v>192.5</c:v>
                </c:pt>
                <c:pt idx="80">
                  <c:v>186</c:v>
                </c:pt>
                <c:pt idx="81">
                  <c:v>122</c:v>
                </c:pt>
                <c:pt idx="82">
                  <c:v>119</c:v>
                </c:pt>
                <c:pt idx="83">
                  <c:v>115</c:v>
                </c:pt>
                <c:pt idx="84">
                  <c:v>108</c:v>
                </c:pt>
                <c:pt idx="85">
                  <c:v>100</c:v>
                </c:pt>
                <c:pt idx="86">
                  <c:v>90</c:v>
                </c:pt>
                <c:pt idx="87">
                  <c:v>82</c:v>
                </c:pt>
                <c:pt idx="88">
                  <c:v>80</c:v>
                </c:pt>
                <c:pt idx="89">
                  <c:v>76</c:v>
                </c:pt>
                <c:pt idx="90">
                  <c:v>72</c:v>
                </c:pt>
                <c:pt idx="91">
                  <c:v>67.5</c:v>
                </c:pt>
                <c:pt idx="92">
                  <c:v>65</c:v>
                </c:pt>
                <c:pt idx="93">
                  <c:v>61</c:v>
                </c:pt>
                <c:pt idx="94">
                  <c:v>59</c:v>
                </c:pt>
                <c:pt idx="95">
                  <c:v>53.4</c:v>
                </c:pt>
                <c:pt idx="96">
                  <c:v>52</c:v>
                </c:pt>
                <c:pt idx="97">
                  <c:v>50.6</c:v>
                </c:pt>
                <c:pt idx="98">
                  <c:v>49.2</c:v>
                </c:pt>
                <c:pt idx="99">
                  <c:v>48.3</c:v>
                </c:pt>
                <c:pt idx="100">
                  <c:v>47</c:v>
                </c:pt>
                <c:pt idx="101">
                  <c:v>45.2</c:v>
                </c:pt>
                <c:pt idx="102">
                  <c:v>44</c:v>
                </c:pt>
                <c:pt idx="103">
                  <c:v>42.4</c:v>
                </c:pt>
                <c:pt idx="104">
                  <c:v>41</c:v>
                </c:pt>
                <c:pt idx="105">
                  <c:v>39.6</c:v>
                </c:pt>
                <c:pt idx="106">
                  <c:v>39.1</c:v>
                </c:pt>
                <c:pt idx="107">
                  <c:v>38</c:v>
                </c:pt>
                <c:pt idx="108">
                  <c:v>37</c:v>
                </c:pt>
                <c:pt idx="109">
                  <c:v>35.5</c:v>
                </c:pt>
                <c:pt idx="110">
                  <c:v>34.6</c:v>
                </c:pt>
                <c:pt idx="111">
                  <c:v>33.75</c:v>
                </c:pt>
                <c:pt idx="112">
                  <c:v>33.25</c:v>
                </c:pt>
                <c:pt idx="113">
                  <c:v>31.75</c:v>
                </c:pt>
                <c:pt idx="114">
                  <c:v>31.25</c:v>
                </c:pt>
                <c:pt idx="115">
                  <c:v>30</c:v>
                </c:pt>
                <c:pt idx="116">
                  <c:v>27.5</c:v>
                </c:pt>
                <c:pt idx="117">
                  <c:v>25</c:v>
                </c:pt>
                <c:pt idx="118">
                  <c:v>22.5</c:v>
                </c:pt>
                <c:pt idx="119">
                  <c:v>21</c:v>
                </c:pt>
                <c:pt idx="120">
                  <c:v>20</c:v>
                </c:pt>
                <c:pt idx="121">
                  <c:v>19</c:v>
                </c:pt>
                <c:pt idx="122">
                  <c:v>18.5</c:v>
                </c:pt>
                <c:pt idx="123">
                  <c:v>17</c:v>
                </c:pt>
                <c:pt idx="124">
                  <c:v>16</c:v>
                </c:pt>
                <c:pt idx="125">
                  <c:v>15.0999</c:v>
                </c:pt>
                <c:pt idx="126">
                  <c:v>14.4</c:v>
                </c:pt>
                <c:pt idx="127">
                  <c:v>13.75</c:v>
                </c:pt>
                <c:pt idx="128">
                  <c:v>12.9</c:v>
                </c:pt>
                <c:pt idx="129">
                  <c:v>11.9</c:v>
                </c:pt>
                <c:pt idx="130">
                  <c:v>11.5</c:v>
                </c:pt>
                <c:pt idx="131">
                  <c:v>10</c:v>
                </c:pt>
                <c:pt idx="132">
                  <c:v>9.09999</c:v>
                </c:pt>
                <c:pt idx="133">
                  <c:v>8.09999</c:v>
                </c:pt>
                <c:pt idx="134">
                  <c:v>7.1499999999999986</c:v>
                </c:pt>
                <c:pt idx="135">
                  <c:v>7</c:v>
                </c:pt>
                <c:pt idx="136">
                  <c:v>6.75</c:v>
                </c:pt>
                <c:pt idx="137">
                  <c:v>6.5</c:v>
                </c:pt>
                <c:pt idx="138">
                  <c:v>6.25</c:v>
                </c:pt>
                <c:pt idx="139">
                  <c:v>6</c:v>
                </c:pt>
                <c:pt idx="140">
                  <c:v>5.4</c:v>
                </c:pt>
                <c:pt idx="141">
                  <c:v>5</c:v>
                </c:pt>
                <c:pt idx="142">
                  <c:v>4.75</c:v>
                </c:pt>
                <c:pt idx="143">
                  <c:v>4</c:v>
                </c:pt>
                <c:pt idx="144">
                  <c:v>3.73</c:v>
                </c:pt>
                <c:pt idx="145">
                  <c:v>3.5</c:v>
                </c:pt>
                <c:pt idx="146">
                  <c:v>3.15</c:v>
                </c:pt>
                <c:pt idx="147">
                  <c:v>3.0499900000000002</c:v>
                </c:pt>
                <c:pt idx="148">
                  <c:v>3</c:v>
                </c:pt>
                <c:pt idx="149">
                  <c:v>2.9699900000000001</c:v>
                </c:pt>
                <c:pt idx="150">
                  <c:v>2.87</c:v>
                </c:pt>
                <c:pt idx="151">
                  <c:v>2.77</c:v>
                </c:pt>
                <c:pt idx="152">
                  <c:v>2.6699899999999999</c:v>
                </c:pt>
                <c:pt idx="153">
                  <c:v>2.57</c:v>
                </c:pt>
                <c:pt idx="154">
                  <c:v>2.4699900000000001</c:v>
                </c:pt>
                <c:pt idx="155">
                  <c:v>2.3799899999999981</c:v>
                </c:pt>
                <c:pt idx="156">
                  <c:v>2.2999900000000002</c:v>
                </c:pt>
                <c:pt idx="157">
                  <c:v>2.2099899999999999</c:v>
                </c:pt>
                <c:pt idx="158">
                  <c:v>2.12</c:v>
                </c:pt>
                <c:pt idx="159">
                  <c:v>2</c:v>
                </c:pt>
                <c:pt idx="160">
                  <c:v>1.94</c:v>
                </c:pt>
                <c:pt idx="161">
                  <c:v>1.86</c:v>
                </c:pt>
                <c:pt idx="162">
                  <c:v>1.77</c:v>
                </c:pt>
                <c:pt idx="163">
                  <c:v>1.6799900000000001</c:v>
                </c:pt>
                <c:pt idx="164">
                  <c:v>1.58999</c:v>
                </c:pt>
                <c:pt idx="165">
                  <c:v>1.5</c:v>
                </c:pt>
                <c:pt idx="166">
                  <c:v>1.45</c:v>
                </c:pt>
                <c:pt idx="167">
                  <c:v>1.4</c:v>
                </c:pt>
                <c:pt idx="168">
                  <c:v>1.34999</c:v>
                </c:pt>
                <c:pt idx="169">
                  <c:v>1.29999</c:v>
                </c:pt>
                <c:pt idx="170">
                  <c:v>1.25</c:v>
                </c:pt>
                <c:pt idx="171">
                  <c:v>1.22499</c:v>
                </c:pt>
                <c:pt idx="172">
                  <c:v>1.2</c:v>
                </c:pt>
                <c:pt idx="173">
                  <c:v>1.17499</c:v>
                </c:pt>
                <c:pt idx="174">
                  <c:v>1.1499999999999999</c:v>
                </c:pt>
                <c:pt idx="175">
                  <c:v>1.1399900000000001</c:v>
                </c:pt>
                <c:pt idx="176">
                  <c:v>1.12999</c:v>
                </c:pt>
                <c:pt idx="177">
                  <c:v>1.1200000000000001</c:v>
                </c:pt>
                <c:pt idx="178">
                  <c:v>1.1100000000000001</c:v>
                </c:pt>
                <c:pt idx="179">
                  <c:v>1.09999</c:v>
                </c:pt>
                <c:pt idx="180">
                  <c:v>1.08999</c:v>
                </c:pt>
                <c:pt idx="181">
                  <c:v>1.08</c:v>
                </c:pt>
                <c:pt idx="182">
                  <c:v>1.07</c:v>
                </c:pt>
                <c:pt idx="183">
                  <c:v>1.05999</c:v>
                </c:pt>
                <c:pt idx="184">
                  <c:v>1.04999</c:v>
                </c:pt>
                <c:pt idx="185">
                  <c:v>1.04</c:v>
                </c:pt>
                <c:pt idx="186">
                  <c:v>1.03</c:v>
                </c:pt>
                <c:pt idx="187">
                  <c:v>1.02</c:v>
                </c:pt>
                <c:pt idx="188">
                  <c:v>1.0099899999999999</c:v>
                </c:pt>
                <c:pt idx="189">
                  <c:v>1</c:v>
                </c:pt>
                <c:pt idx="190">
                  <c:v>0.97499999999999998</c:v>
                </c:pt>
                <c:pt idx="191">
                  <c:v>0.95</c:v>
                </c:pt>
                <c:pt idx="192">
                  <c:v>0.92500000000000004</c:v>
                </c:pt>
                <c:pt idx="193">
                  <c:v>0.9</c:v>
                </c:pt>
                <c:pt idx="194">
                  <c:v>0.85</c:v>
                </c:pt>
                <c:pt idx="195">
                  <c:v>0.8</c:v>
                </c:pt>
                <c:pt idx="196">
                  <c:v>0.75</c:v>
                </c:pt>
                <c:pt idx="197">
                  <c:v>0.7</c:v>
                </c:pt>
                <c:pt idx="198">
                  <c:v>0.65</c:v>
                </c:pt>
                <c:pt idx="199">
                  <c:v>0.625</c:v>
                </c:pt>
                <c:pt idx="200">
                  <c:v>0.6</c:v>
                </c:pt>
                <c:pt idx="201">
                  <c:v>0.55000000000000004</c:v>
                </c:pt>
                <c:pt idx="202">
                  <c:v>0.5</c:v>
                </c:pt>
                <c:pt idx="203">
                  <c:v>0.45</c:v>
                </c:pt>
                <c:pt idx="204">
                  <c:v>0.4</c:v>
                </c:pt>
                <c:pt idx="205">
                  <c:v>0.375</c:v>
                </c:pt>
                <c:pt idx="206">
                  <c:v>0.35</c:v>
                </c:pt>
                <c:pt idx="207">
                  <c:v>0.32500000000000001</c:v>
                </c:pt>
                <c:pt idx="208">
                  <c:v>0.3</c:v>
                </c:pt>
                <c:pt idx="209">
                  <c:v>0.27500000000000002</c:v>
                </c:pt>
                <c:pt idx="210">
                  <c:v>0.25</c:v>
                </c:pt>
                <c:pt idx="211">
                  <c:v>0.22500000000000001</c:v>
                </c:pt>
                <c:pt idx="212">
                  <c:v>0.2</c:v>
                </c:pt>
                <c:pt idx="213">
                  <c:v>0.17499999999999999</c:v>
                </c:pt>
                <c:pt idx="214">
                  <c:v>0.15</c:v>
                </c:pt>
                <c:pt idx="215">
                  <c:v>0.125</c:v>
                </c:pt>
                <c:pt idx="216">
                  <c:v>0.1</c:v>
                </c:pt>
                <c:pt idx="217">
                  <c:v>0.09</c:v>
                </c:pt>
                <c:pt idx="218">
                  <c:v>0.08</c:v>
                </c:pt>
                <c:pt idx="219">
                  <c:v>7.0000000000000007E-2</c:v>
                </c:pt>
                <c:pt idx="220">
                  <c:v>0.06</c:v>
                </c:pt>
                <c:pt idx="221">
                  <c:v>0.05</c:v>
                </c:pt>
                <c:pt idx="222">
                  <c:v>0.04</c:v>
                </c:pt>
                <c:pt idx="223">
                  <c:v>0.03</c:v>
                </c:pt>
                <c:pt idx="224">
                  <c:v>2.53E-2</c:v>
                </c:pt>
                <c:pt idx="225">
                  <c:v>0.01</c:v>
                </c:pt>
                <c:pt idx="226">
                  <c:v>7.4999999999999997E-3</c:v>
                </c:pt>
                <c:pt idx="227">
                  <c:v>5.0000000000000001E-3</c:v>
                </c:pt>
                <c:pt idx="228">
                  <c:v>4.0000000000000001E-3</c:v>
                </c:pt>
                <c:pt idx="229">
                  <c:v>3.0000000000000001E-3</c:v>
                </c:pt>
                <c:pt idx="230">
                  <c:v>2.5000000000000001E-3</c:v>
                </c:pt>
                <c:pt idx="231">
                  <c:v>2E-3</c:v>
                </c:pt>
                <c:pt idx="232">
                  <c:v>1.5E-3</c:v>
                </c:pt>
                <c:pt idx="233">
                  <c:v>1.1999999999999999E-3</c:v>
                </c:pt>
                <c:pt idx="234">
                  <c:v>1E-3</c:v>
                </c:pt>
                <c:pt idx="235">
                  <c:v>7.5000000000000002E-4</c:v>
                </c:pt>
                <c:pt idx="236">
                  <c:v>5.0000000000000001E-4</c:v>
                </c:pt>
                <c:pt idx="237">
                  <c:v>1E-4</c:v>
                </c:pt>
              </c:numCache>
            </c:numRef>
          </c:xVal>
          <c:yVal>
            <c:numRef>
              <c:f>'Flux per Lethargy'!$K$3:$K$240</c:f>
              <c:numCache>
                <c:formatCode>0.00E+00</c:formatCode>
                <c:ptCount val="238"/>
                <c:pt idx="0">
                  <c:v>5.38813850249441E-6</c:v>
                </c:pt>
                <c:pt idx="1">
                  <c:v>6.4609108387690103E-5</c:v>
                </c:pt>
                <c:pt idx="2">
                  <c:v>1.5808330668518999E-4</c:v>
                </c:pt>
                <c:pt idx="3">
                  <c:v>2.8726552965885099E-4</c:v>
                </c:pt>
                <c:pt idx="4">
                  <c:v>5.1191466427259204E-4</c:v>
                </c:pt>
                <c:pt idx="5">
                  <c:v>2.1009527820608901E-3</c:v>
                </c:pt>
                <c:pt idx="6">
                  <c:v>7.3861423935533601E-3</c:v>
                </c:pt>
                <c:pt idx="7">
                  <c:v>2.20118713596241E-2</c:v>
                </c:pt>
                <c:pt idx="8">
                  <c:v>5.2198412457934898E-2</c:v>
                </c:pt>
                <c:pt idx="9">
                  <c:v>7.5662854208952704E-2</c:v>
                </c:pt>
                <c:pt idx="10">
                  <c:v>0.107485217959124</c:v>
                </c:pt>
                <c:pt idx="11">
                  <c:v>0.15894456510379301</c:v>
                </c:pt>
                <c:pt idx="12">
                  <c:v>0.178147098512939</c:v>
                </c:pt>
                <c:pt idx="13">
                  <c:v>0.15444062370867701</c:v>
                </c:pt>
                <c:pt idx="14">
                  <c:v>0.16031733046891999</c:v>
                </c:pt>
                <c:pt idx="15">
                  <c:v>0.16773484769809699</c:v>
                </c:pt>
                <c:pt idx="16">
                  <c:v>0.162554139593202</c:v>
                </c:pt>
                <c:pt idx="17">
                  <c:v>0.138113638688283</c:v>
                </c:pt>
                <c:pt idx="18">
                  <c:v>0.15194315241897599</c:v>
                </c:pt>
                <c:pt idx="19">
                  <c:v>0.17061385973144599</c:v>
                </c:pt>
                <c:pt idx="20">
                  <c:v>0.15727305119521301</c:v>
                </c:pt>
                <c:pt idx="21">
                  <c:v>0.126151675168413</c:v>
                </c:pt>
                <c:pt idx="22">
                  <c:v>0.127971542222239</c:v>
                </c:pt>
                <c:pt idx="23">
                  <c:v>0.14655480678746499</c:v>
                </c:pt>
                <c:pt idx="24">
                  <c:v>0.15518933537643001</c:v>
                </c:pt>
                <c:pt idx="25">
                  <c:v>0.163876310187896</c:v>
                </c:pt>
                <c:pt idx="26">
                  <c:v>0.18246634162045999</c:v>
                </c:pt>
                <c:pt idx="27">
                  <c:v>0.19679411184656401</c:v>
                </c:pt>
                <c:pt idx="28">
                  <c:v>0.17437976359855401</c:v>
                </c:pt>
                <c:pt idx="29">
                  <c:v>0.168649243412098</c:v>
                </c:pt>
                <c:pt idx="30">
                  <c:v>0.16203947318961801</c:v>
                </c:pt>
                <c:pt idx="31">
                  <c:v>0.154958510111572</c:v>
                </c:pt>
                <c:pt idx="32">
                  <c:v>0.15112064034905401</c:v>
                </c:pt>
                <c:pt idx="33">
                  <c:v>0.14365277384462799</c:v>
                </c:pt>
                <c:pt idx="34">
                  <c:v>0.129361870771035</c:v>
                </c:pt>
                <c:pt idx="35">
                  <c:v>9.8145319162109598E-2</c:v>
                </c:pt>
                <c:pt idx="36">
                  <c:v>8.3727942945815398E-2</c:v>
                </c:pt>
                <c:pt idx="37">
                  <c:v>0.10138468339157999</c:v>
                </c:pt>
                <c:pt idx="38">
                  <c:v>0.116082107614352</c:v>
                </c:pt>
                <c:pt idx="39">
                  <c:v>0.116399738378657</c:v>
                </c:pt>
                <c:pt idx="40">
                  <c:v>9.84032355922205E-2</c:v>
                </c:pt>
                <c:pt idx="41">
                  <c:v>8.4574104717874493E-2</c:v>
                </c:pt>
                <c:pt idx="42">
                  <c:v>7.5975025960498196E-2</c:v>
                </c:pt>
                <c:pt idx="43">
                  <c:v>6.9572535186351495E-2</c:v>
                </c:pt>
                <c:pt idx="44">
                  <c:v>6.4203803860976294E-2</c:v>
                </c:pt>
                <c:pt idx="45">
                  <c:v>6.3015296986717498E-2</c:v>
                </c:pt>
                <c:pt idx="46">
                  <c:v>6.0706048502584098E-2</c:v>
                </c:pt>
                <c:pt idx="47">
                  <c:v>5.9687808046243601E-2</c:v>
                </c:pt>
                <c:pt idx="48">
                  <c:v>5.7568525179849499E-2</c:v>
                </c:pt>
                <c:pt idx="49">
                  <c:v>5.5021256088126802E-2</c:v>
                </c:pt>
                <c:pt idx="50">
                  <c:v>5.3934425991456099E-2</c:v>
                </c:pt>
                <c:pt idx="51">
                  <c:v>5.2286991210730202E-2</c:v>
                </c:pt>
                <c:pt idx="52">
                  <c:v>5.0223625066967398E-2</c:v>
                </c:pt>
                <c:pt idx="53">
                  <c:v>4.7275917777825298E-2</c:v>
                </c:pt>
                <c:pt idx="54">
                  <c:v>4.51491125625888E-2</c:v>
                </c:pt>
                <c:pt idx="55">
                  <c:v>4.4305448233211302E-2</c:v>
                </c:pt>
                <c:pt idx="56">
                  <c:v>4.2853042472692997E-2</c:v>
                </c:pt>
                <c:pt idx="57">
                  <c:v>4.1481497295895398E-2</c:v>
                </c:pt>
                <c:pt idx="58">
                  <c:v>4.1170770635432001E-2</c:v>
                </c:pt>
                <c:pt idx="59">
                  <c:v>4.0511338900257203E-2</c:v>
                </c:pt>
                <c:pt idx="60">
                  <c:v>3.9060002581914E-2</c:v>
                </c:pt>
                <c:pt idx="61">
                  <c:v>3.98331068763541E-2</c:v>
                </c:pt>
                <c:pt idx="62">
                  <c:v>3.7859797368237802E-2</c:v>
                </c:pt>
                <c:pt idx="63">
                  <c:v>4.0510011080686401E-2</c:v>
                </c:pt>
                <c:pt idx="64">
                  <c:v>3.7314221948688303E-2</c:v>
                </c:pt>
                <c:pt idx="65">
                  <c:v>3.8962330470526503E-2</c:v>
                </c:pt>
                <c:pt idx="66">
                  <c:v>3.83283561081081E-2</c:v>
                </c:pt>
                <c:pt idx="67">
                  <c:v>3.5516081266448903E-2</c:v>
                </c:pt>
                <c:pt idx="68">
                  <c:v>3.8252549082398501E-2</c:v>
                </c:pt>
                <c:pt idx="69">
                  <c:v>3.7792907849187901E-2</c:v>
                </c:pt>
                <c:pt idx="70">
                  <c:v>3.7397598203704203E-2</c:v>
                </c:pt>
                <c:pt idx="71">
                  <c:v>3.4713738602753397E-2</c:v>
                </c:pt>
                <c:pt idx="72">
                  <c:v>3.6945843437065702E-2</c:v>
                </c:pt>
                <c:pt idx="73">
                  <c:v>3.7054179761742398E-2</c:v>
                </c:pt>
                <c:pt idx="74">
                  <c:v>3.1931326163829397E-2</c:v>
                </c:pt>
                <c:pt idx="75">
                  <c:v>3.6017956301277403E-2</c:v>
                </c:pt>
                <c:pt idx="76">
                  <c:v>3.4311899459372103E-2</c:v>
                </c:pt>
                <c:pt idx="77">
                  <c:v>1.6280230759448299E-2</c:v>
                </c:pt>
                <c:pt idx="78">
                  <c:v>3.56054223041153E-2</c:v>
                </c:pt>
                <c:pt idx="79">
                  <c:v>3.1001822999415798E-2</c:v>
                </c:pt>
                <c:pt idx="80">
                  <c:v>3.5124708816943601E-2</c:v>
                </c:pt>
                <c:pt idx="81">
                  <c:v>3.3589477366103203E-2</c:v>
                </c:pt>
                <c:pt idx="82">
                  <c:v>2.7406953536072198E-2</c:v>
                </c:pt>
                <c:pt idx="83">
                  <c:v>3.3488712570957598E-2</c:v>
                </c:pt>
                <c:pt idx="84">
                  <c:v>3.04163268993684E-2</c:v>
                </c:pt>
                <c:pt idx="85">
                  <c:v>3.32112033538116E-2</c:v>
                </c:pt>
                <c:pt idx="86">
                  <c:v>3.2998032405311697E-2</c:v>
                </c:pt>
                <c:pt idx="87">
                  <c:v>2.5276176001368202E-2</c:v>
                </c:pt>
                <c:pt idx="88">
                  <c:v>3.3337120683717199E-2</c:v>
                </c:pt>
                <c:pt idx="89">
                  <c:v>3.2281979773748699E-2</c:v>
                </c:pt>
                <c:pt idx="90">
                  <c:v>3.2437282448626002E-2</c:v>
                </c:pt>
                <c:pt idx="91">
                  <c:v>1.97211613743037E-2</c:v>
                </c:pt>
                <c:pt idx="92">
                  <c:v>3.2702747612653398E-2</c:v>
                </c:pt>
                <c:pt idx="93">
                  <c:v>3.2303581574187702E-2</c:v>
                </c:pt>
                <c:pt idx="94">
                  <c:v>3.2032175903395799E-2</c:v>
                </c:pt>
                <c:pt idx="95">
                  <c:v>3.1798048819725103E-2</c:v>
                </c:pt>
                <c:pt idx="96">
                  <c:v>3.2609675157403602E-2</c:v>
                </c:pt>
                <c:pt idx="97">
                  <c:v>3.2226817516223402E-2</c:v>
                </c:pt>
                <c:pt idx="98">
                  <c:v>3.2618046157696298E-2</c:v>
                </c:pt>
                <c:pt idx="99">
                  <c:v>3.1449882383878497E-2</c:v>
                </c:pt>
                <c:pt idx="100">
                  <c:v>3.14448254375033E-2</c:v>
                </c:pt>
                <c:pt idx="101">
                  <c:v>2.6503867235096599E-2</c:v>
                </c:pt>
                <c:pt idx="102">
                  <c:v>3.00407391362334E-2</c:v>
                </c:pt>
                <c:pt idx="103">
                  <c:v>3.0032930824806299E-2</c:v>
                </c:pt>
                <c:pt idx="104">
                  <c:v>3.1671223470810597E-2</c:v>
                </c:pt>
                <c:pt idx="105">
                  <c:v>3.0191093758191501E-2</c:v>
                </c:pt>
                <c:pt idx="106">
                  <c:v>2.7797922563090102E-2</c:v>
                </c:pt>
                <c:pt idx="107">
                  <c:v>1.8822198035239601E-2</c:v>
                </c:pt>
                <c:pt idx="108">
                  <c:v>1.6818422436859898E-2</c:v>
                </c:pt>
                <c:pt idx="109">
                  <c:v>2.7965160374699202E-2</c:v>
                </c:pt>
                <c:pt idx="110">
                  <c:v>2.8663015440020301E-2</c:v>
                </c:pt>
                <c:pt idx="111">
                  <c:v>2.7803296682807999E-2</c:v>
                </c:pt>
                <c:pt idx="112">
                  <c:v>2.9475467061506399E-2</c:v>
                </c:pt>
                <c:pt idx="113">
                  <c:v>3.0742273038909199E-2</c:v>
                </c:pt>
                <c:pt idx="114">
                  <c:v>3.0363639440898399E-2</c:v>
                </c:pt>
                <c:pt idx="115">
                  <c:v>3.06628019100629E-2</c:v>
                </c:pt>
                <c:pt idx="116">
                  <c:v>3.07749510383943E-2</c:v>
                </c:pt>
                <c:pt idx="117">
                  <c:v>3.02611266345039E-2</c:v>
                </c:pt>
                <c:pt idx="118">
                  <c:v>2.20355743495395E-2</c:v>
                </c:pt>
                <c:pt idx="119">
                  <c:v>1.3588459536063699E-2</c:v>
                </c:pt>
                <c:pt idx="120">
                  <c:v>2.60634955498983E-2</c:v>
                </c:pt>
                <c:pt idx="121">
                  <c:v>2.7818371091493301E-2</c:v>
                </c:pt>
                <c:pt idx="122">
                  <c:v>2.7520946012671198E-2</c:v>
                </c:pt>
                <c:pt idx="123">
                  <c:v>2.8357266387062399E-2</c:v>
                </c:pt>
                <c:pt idx="124">
                  <c:v>2.76049252218231E-2</c:v>
                </c:pt>
                <c:pt idx="125">
                  <c:v>2.2108619362575601E-2</c:v>
                </c:pt>
                <c:pt idx="126">
                  <c:v>2.6602758382640899E-2</c:v>
                </c:pt>
                <c:pt idx="127">
                  <c:v>2.8603151124402398E-2</c:v>
                </c:pt>
                <c:pt idx="128">
                  <c:v>2.77809941600753E-2</c:v>
                </c:pt>
                <c:pt idx="129">
                  <c:v>2.67493923641553E-2</c:v>
                </c:pt>
                <c:pt idx="130">
                  <c:v>2.74622276144822E-2</c:v>
                </c:pt>
                <c:pt idx="131">
                  <c:v>2.8222907032533301E-2</c:v>
                </c:pt>
                <c:pt idx="132">
                  <c:v>2.60623078966415E-2</c:v>
                </c:pt>
                <c:pt idx="133">
                  <c:v>2.4337038940666099E-2</c:v>
                </c:pt>
                <c:pt idx="134">
                  <c:v>2.0271684233688199E-2</c:v>
                </c:pt>
                <c:pt idx="135">
                  <c:v>9.8025864146933303E-3</c:v>
                </c:pt>
                <c:pt idx="136">
                  <c:v>4.9210845464288198E-3</c:v>
                </c:pt>
                <c:pt idx="137">
                  <c:v>1.38041822007164E-2</c:v>
                </c:pt>
                <c:pt idx="138">
                  <c:v>1.9623008472837201E-2</c:v>
                </c:pt>
                <c:pt idx="139">
                  <c:v>1.6550567514087601E-2</c:v>
                </c:pt>
                <c:pt idx="140">
                  <c:v>1.9109369711067501E-2</c:v>
                </c:pt>
                <c:pt idx="141">
                  <c:v>2.2994106371175001E-2</c:v>
                </c:pt>
                <c:pt idx="142">
                  <c:v>2.3259436267045599E-2</c:v>
                </c:pt>
                <c:pt idx="143">
                  <c:v>2.4209973978972201E-2</c:v>
                </c:pt>
                <c:pt idx="144">
                  <c:v>2.4283665409773E-2</c:v>
                </c:pt>
                <c:pt idx="145">
                  <c:v>2.4207620146836001E-2</c:v>
                </c:pt>
                <c:pt idx="146">
                  <c:v>2.4365186244297499E-2</c:v>
                </c:pt>
                <c:pt idx="147">
                  <c:v>2.4425787297161099E-2</c:v>
                </c:pt>
                <c:pt idx="148">
                  <c:v>2.83890547280964E-2</c:v>
                </c:pt>
                <c:pt idx="149">
                  <c:v>2.5546730951276499E-2</c:v>
                </c:pt>
                <c:pt idx="150">
                  <c:v>2.5106906403464802E-2</c:v>
                </c:pt>
                <c:pt idx="151">
                  <c:v>2.1358462710921101E-2</c:v>
                </c:pt>
                <c:pt idx="152">
                  <c:v>2.1053859289709102E-2</c:v>
                </c:pt>
                <c:pt idx="153">
                  <c:v>2.43464848674134E-2</c:v>
                </c:pt>
                <c:pt idx="154">
                  <c:v>2.4350319883839899E-2</c:v>
                </c:pt>
                <c:pt idx="155">
                  <c:v>2.4450981940078598E-2</c:v>
                </c:pt>
                <c:pt idx="156">
                  <c:v>2.4826683352996901E-2</c:v>
                </c:pt>
                <c:pt idx="157">
                  <c:v>2.4971725901416199E-2</c:v>
                </c:pt>
                <c:pt idx="158">
                  <c:v>2.5010969227647801E-2</c:v>
                </c:pt>
                <c:pt idx="159">
                  <c:v>2.51244300607565E-2</c:v>
                </c:pt>
                <c:pt idx="160">
                  <c:v>2.5287156598557899E-2</c:v>
                </c:pt>
                <c:pt idx="161">
                  <c:v>2.52213617132311E-2</c:v>
                </c:pt>
                <c:pt idx="162">
                  <c:v>2.5090720465226399E-2</c:v>
                </c:pt>
                <c:pt idx="163">
                  <c:v>2.5302238401731899E-2</c:v>
                </c:pt>
                <c:pt idx="164">
                  <c:v>2.4844403544058199E-2</c:v>
                </c:pt>
                <c:pt idx="165">
                  <c:v>2.4141052679605399E-2</c:v>
                </c:pt>
                <c:pt idx="166">
                  <c:v>2.3754261951472101E-2</c:v>
                </c:pt>
                <c:pt idx="167">
                  <c:v>2.2642999959682199E-2</c:v>
                </c:pt>
                <c:pt idx="168">
                  <c:v>2.1634506937011501E-2</c:v>
                </c:pt>
                <c:pt idx="169">
                  <c:v>2.1141812607414202E-2</c:v>
                </c:pt>
                <c:pt idx="170">
                  <c:v>2.0701075564354E-2</c:v>
                </c:pt>
                <c:pt idx="171">
                  <c:v>2.03564031075395E-2</c:v>
                </c:pt>
                <c:pt idx="172">
                  <c:v>1.9691017023905001E-2</c:v>
                </c:pt>
                <c:pt idx="173">
                  <c:v>1.81575036709033E-2</c:v>
                </c:pt>
                <c:pt idx="174">
                  <c:v>1.6264456008578999E-2</c:v>
                </c:pt>
                <c:pt idx="175">
                  <c:v>1.4725894019341299E-2</c:v>
                </c:pt>
                <c:pt idx="176">
                  <c:v>1.29261096968383E-2</c:v>
                </c:pt>
                <c:pt idx="177">
                  <c:v>1.10397732812475E-2</c:v>
                </c:pt>
                <c:pt idx="178">
                  <c:v>9.3134837726289704E-3</c:v>
                </c:pt>
                <c:pt idx="179">
                  <c:v>7.9387655589009606E-3</c:v>
                </c:pt>
                <c:pt idx="180">
                  <c:v>6.9765514443213602E-3</c:v>
                </c:pt>
                <c:pt idx="181">
                  <c:v>6.3615226284654304E-3</c:v>
                </c:pt>
                <c:pt idx="182">
                  <c:v>6.0230720912513996E-3</c:v>
                </c:pt>
                <c:pt idx="183">
                  <c:v>5.8998773527274501E-3</c:v>
                </c:pt>
                <c:pt idx="184">
                  <c:v>5.9729973606058098E-3</c:v>
                </c:pt>
                <c:pt idx="185">
                  <c:v>6.2645804856767597E-3</c:v>
                </c:pt>
                <c:pt idx="186">
                  <c:v>6.83558097506366E-3</c:v>
                </c:pt>
                <c:pt idx="187">
                  <c:v>7.7646448804832404E-3</c:v>
                </c:pt>
                <c:pt idx="188">
                  <c:v>9.1134883448618607E-3</c:v>
                </c:pt>
                <c:pt idx="189">
                  <c:v>1.2129115721832E-2</c:v>
                </c:pt>
                <c:pt idx="190">
                  <c:v>1.5776782963806701E-2</c:v>
                </c:pt>
                <c:pt idx="191">
                  <c:v>1.78465269116641E-2</c:v>
                </c:pt>
                <c:pt idx="192">
                  <c:v>1.90853796861159E-2</c:v>
                </c:pt>
                <c:pt idx="193">
                  <c:v>2.0489845368964602E-2</c:v>
                </c:pt>
                <c:pt idx="194">
                  <c:v>2.1530247867143901E-2</c:v>
                </c:pt>
                <c:pt idx="195">
                  <c:v>2.18992712251685E-2</c:v>
                </c:pt>
                <c:pt idx="196">
                  <c:v>2.2868862185735601E-2</c:v>
                </c:pt>
                <c:pt idx="197">
                  <c:v>2.2646542321755E-2</c:v>
                </c:pt>
                <c:pt idx="198">
                  <c:v>2.2867174338314498E-2</c:v>
                </c:pt>
                <c:pt idx="199">
                  <c:v>2.33320164549853E-2</c:v>
                </c:pt>
                <c:pt idx="200">
                  <c:v>2.2800847553792102E-2</c:v>
                </c:pt>
                <c:pt idx="201">
                  <c:v>2.3479819226545299E-2</c:v>
                </c:pt>
                <c:pt idx="202">
                  <c:v>2.2754060177802401E-2</c:v>
                </c:pt>
                <c:pt idx="203">
                  <c:v>2.2807189111646E-2</c:v>
                </c:pt>
                <c:pt idx="204">
                  <c:v>2.1804600647696099E-2</c:v>
                </c:pt>
                <c:pt idx="205">
                  <c:v>2.0646032720600699E-2</c:v>
                </c:pt>
                <c:pt idx="206">
                  <c:v>1.81885550670201E-2</c:v>
                </c:pt>
                <c:pt idx="207">
                  <c:v>1.7409141226277701E-2</c:v>
                </c:pt>
                <c:pt idx="208">
                  <c:v>1.6783900865364999E-2</c:v>
                </c:pt>
                <c:pt idx="209">
                  <c:v>1.9579304903975199E-2</c:v>
                </c:pt>
                <c:pt idx="210">
                  <c:v>2.3091858837984602E-2</c:v>
                </c:pt>
                <c:pt idx="211">
                  <c:v>2.68092721123462E-2</c:v>
                </c:pt>
                <c:pt idx="212">
                  <c:v>3.14374862876474E-2</c:v>
                </c:pt>
                <c:pt idx="213">
                  <c:v>3.4755047146322597E-2</c:v>
                </c:pt>
                <c:pt idx="214">
                  <c:v>3.6645585845598003E-2</c:v>
                </c:pt>
                <c:pt idx="215">
                  <c:v>3.7027450537047098E-2</c:v>
                </c:pt>
                <c:pt idx="216">
                  <c:v>3.5314416773294298E-2</c:v>
                </c:pt>
                <c:pt idx="217">
                  <c:v>3.3522511957343397E-2</c:v>
                </c:pt>
                <c:pt idx="218">
                  <c:v>3.06010323711111E-2</c:v>
                </c:pt>
                <c:pt idx="219">
                  <c:v>2.7138392578726401E-2</c:v>
                </c:pt>
                <c:pt idx="220">
                  <c:v>2.29894772084605E-2</c:v>
                </c:pt>
                <c:pt idx="221">
                  <c:v>1.80925353239293E-2</c:v>
                </c:pt>
                <c:pt idx="222">
                  <c:v>1.2885657973865899E-2</c:v>
                </c:pt>
                <c:pt idx="223">
                  <c:v>8.9889611316224596E-3</c:v>
                </c:pt>
                <c:pt idx="224">
                  <c:v>4.2236537368534402E-3</c:v>
                </c:pt>
                <c:pt idx="225">
                  <c:v>1.1741381613372701E-3</c:v>
                </c:pt>
                <c:pt idx="226">
                  <c:v>6.0176324903107403E-4</c:v>
                </c:pt>
                <c:pt idx="227">
                  <c:v>3.09040279281525E-4</c:v>
                </c:pt>
                <c:pt idx="228">
                  <c:v>1.8422527617871799E-4</c:v>
                </c:pt>
                <c:pt idx="229">
                  <c:v>1.11593592367667E-4</c:v>
                </c:pt>
                <c:pt idx="230">
                  <c:v>7.33158229703128E-5</c:v>
                </c:pt>
                <c:pt idx="231">
                  <c:v>4.3200846930850998E-5</c:v>
                </c:pt>
                <c:pt idx="232">
                  <c:v>2.4956261504736302E-5</c:v>
                </c:pt>
                <c:pt idx="233">
                  <c:v>1.6171481317518199E-5</c:v>
                </c:pt>
                <c:pt idx="234">
                  <c:v>9.96203755809575E-6</c:v>
                </c:pt>
                <c:pt idx="235">
                  <c:v>4.8876530662332496E-6</c:v>
                </c:pt>
                <c:pt idx="236">
                  <c:v>1.0460152956423601E-6</c:v>
                </c:pt>
                <c:pt idx="237">
                  <c:v>2.74451248440177E-8</c:v>
                </c:pt>
              </c:numCache>
            </c:numRef>
          </c:yVal>
          <c:smooth val="1"/>
        </c:ser>
        <c:dLbls>
          <c:showLegendKey val="0"/>
          <c:showVal val="0"/>
          <c:showCatName val="0"/>
          <c:showSerName val="0"/>
          <c:showPercent val="0"/>
          <c:showBubbleSize val="0"/>
        </c:dLbls>
        <c:axId val="114021888"/>
        <c:axId val="114023808"/>
      </c:scatterChart>
      <c:valAx>
        <c:axId val="114021888"/>
        <c:scaling>
          <c:logBase val="10"/>
          <c:orientation val="minMax"/>
          <c:max val="100000000"/>
          <c:min val="0.01"/>
        </c:scaling>
        <c:delete val="0"/>
        <c:axPos val="b"/>
        <c:majorGridlines>
          <c:spPr>
            <a:ln>
              <a:prstDash val="sysDash"/>
            </a:ln>
          </c:spPr>
        </c:majorGridlines>
        <c:title>
          <c:tx>
            <c:rich>
              <a:bodyPr/>
              <a:lstStyle/>
              <a:p>
                <a:pPr>
                  <a:defRPr/>
                </a:pPr>
                <a:r>
                  <a:rPr lang="en-US"/>
                  <a:t>Neutron Energy (eV)</a:t>
                </a:r>
              </a:p>
            </c:rich>
          </c:tx>
          <c:layout/>
          <c:overlay val="0"/>
        </c:title>
        <c:numFmt formatCode="0.E+00" sourceLinked="0"/>
        <c:majorTickMark val="out"/>
        <c:minorTickMark val="none"/>
        <c:tickLblPos val="nextTo"/>
        <c:crossAx val="114023808"/>
        <c:crosses val="autoZero"/>
        <c:crossBetween val="midCat"/>
        <c:majorUnit val="100"/>
      </c:valAx>
      <c:valAx>
        <c:axId val="114023808"/>
        <c:scaling>
          <c:orientation val="minMax"/>
          <c:max val="0.2"/>
          <c:min val="0"/>
        </c:scaling>
        <c:delete val="0"/>
        <c:axPos val="l"/>
        <c:majorGridlines>
          <c:spPr>
            <a:ln>
              <a:prstDash val="sysDash"/>
            </a:ln>
          </c:spPr>
        </c:majorGridlines>
        <c:title>
          <c:tx>
            <c:rich>
              <a:bodyPr rot="-5400000" vert="horz"/>
              <a:lstStyle/>
              <a:p>
                <a:pPr>
                  <a:defRPr/>
                </a:pPr>
                <a:r>
                  <a:rPr lang="en-US"/>
                  <a:t>Normalized Neutron Flux per unit Lethargy</a:t>
                </a:r>
              </a:p>
            </c:rich>
          </c:tx>
          <c:layout>
            <c:manualLayout>
              <c:xMode val="edge"/>
              <c:yMode val="edge"/>
              <c:x val="1.20842586984319E-2"/>
              <c:y val="0.189152894349745"/>
            </c:manualLayout>
          </c:layout>
          <c:overlay val="0"/>
        </c:title>
        <c:numFmt formatCode="#,##0.00" sourceLinked="0"/>
        <c:majorTickMark val="out"/>
        <c:minorTickMark val="none"/>
        <c:tickLblPos val="nextTo"/>
        <c:crossAx val="114021888"/>
        <c:crossesAt val="1E-4"/>
        <c:crossBetween val="midCat"/>
      </c:valAx>
      <c:spPr>
        <a:ln>
          <a:solidFill>
            <a:schemeClr val="tx1"/>
          </a:solidFill>
        </a:ln>
      </c:spPr>
    </c:plotArea>
    <c:legend>
      <c:legendPos val="r"/>
      <c:layout>
        <c:manualLayout>
          <c:xMode val="edge"/>
          <c:yMode val="edge"/>
          <c:x val="0.18743404670569999"/>
          <c:y val="0.23126318001458601"/>
          <c:w val="0.15234773537923099"/>
          <c:h val="0.184051189044108"/>
        </c:manualLayout>
      </c:layout>
      <c:overlay val="0"/>
      <c:spPr>
        <a:solidFill>
          <a:schemeClr val="bg1"/>
        </a:solidFill>
        <a:ln>
          <a:solidFill>
            <a:schemeClr val="tx1"/>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923413419476401"/>
          <c:y val="5.1400523012450502E-2"/>
          <c:w val="0.61845447203714998"/>
          <c:h val="0.78897680128693604"/>
        </c:manualLayout>
      </c:layout>
      <c:scatterChart>
        <c:scatterStyle val="smoothMarker"/>
        <c:varyColors val="0"/>
        <c:ser>
          <c:idx val="0"/>
          <c:order val="0"/>
          <c:tx>
            <c:strRef>
              <c:f>'k-inf'!$H$1</c:f>
              <c:strCache>
                <c:ptCount val="1"/>
                <c:pt idx="0">
                  <c:v>FeCrAl</c:v>
                </c:pt>
              </c:strCache>
            </c:strRef>
          </c:tx>
          <c:marker>
            <c:symbol val="diamond"/>
            <c:size val="5"/>
          </c:marker>
          <c:xVal>
            <c:numRef>
              <c:f>'k-inf'!$A$2:$A$51</c:f>
              <c:numCache>
                <c:formatCode>0.00</c:formatCode>
                <c:ptCount val="50"/>
                <c:pt idx="0">
                  <c:v>0</c:v>
                </c:pt>
                <c:pt idx="1">
                  <c:v>7.06</c:v>
                </c:pt>
                <c:pt idx="2">
                  <c:v>21.06</c:v>
                </c:pt>
                <c:pt idx="3">
                  <c:v>34.909999999999997</c:v>
                </c:pt>
                <c:pt idx="4">
                  <c:v>48.660000000000011</c:v>
                </c:pt>
                <c:pt idx="5">
                  <c:v>62.34</c:v>
                </c:pt>
                <c:pt idx="6">
                  <c:v>75.98</c:v>
                </c:pt>
                <c:pt idx="7">
                  <c:v>89.62</c:v>
                </c:pt>
                <c:pt idx="8">
                  <c:v>103.28</c:v>
                </c:pt>
                <c:pt idx="9">
                  <c:v>116.99</c:v>
                </c:pt>
                <c:pt idx="10">
                  <c:v>130.78</c:v>
                </c:pt>
                <c:pt idx="11">
                  <c:v>144.66</c:v>
                </c:pt>
                <c:pt idx="12">
                  <c:v>158.66999999999999</c:v>
                </c:pt>
                <c:pt idx="13">
                  <c:v>172.82000000000011</c:v>
                </c:pt>
                <c:pt idx="14">
                  <c:v>187.15</c:v>
                </c:pt>
                <c:pt idx="15">
                  <c:v>201.68</c:v>
                </c:pt>
                <c:pt idx="16">
                  <c:v>216.43</c:v>
                </c:pt>
                <c:pt idx="17">
                  <c:v>231.43</c:v>
                </c:pt>
                <c:pt idx="18">
                  <c:v>246.72</c:v>
                </c:pt>
                <c:pt idx="19">
                  <c:v>262.33</c:v>
                </c:pt>
                <c:pt idx="20">
                  <c:v>278.28999999999962</c:v>
                </c:pt>
                <c:pt idx="21">
                  <c:v>294.6400000000001</c:v>
                </c:pt>
                <c:pt idx="22">
                  <c:v>311.44</c:v>
                </c:pt>
                <c:pt idx="23">
                  <c:v>328.71</c:v>
                </c:pt>
                <c:pt idx="24">
                  <c:v>346.54</c:v>
                </c:pt>
                <c:pt idx="25">
                  <c:v>364.96</c:v>
                </c:pt>
                <c:pt idx="26">
                  <c:v>384.08</c:v>
                </c:pt>
                <c:pt idx="27">
                  <c:v>403.96</c:v>
                </c:pt>
                <c:pt idx="28">
                  <c:v>424.71</c:v>
                </c:pt>
                <c:pt idx="29">
                  <c:v>446.45</c:v>
                </c:pt>
                <c:pt idx="30">
                  <c:v>469.35</c:v>
                </c:pt>
                <c:pt idx="31">
                  <c:v>493.57</c:v>
                </c:pt>
                <c:pt idx="32">
                  <c:v>519.37</c:v>
                </c:pt>
                <c:pt idx="33">
                  <c:v>547.04999999999939</c:v>
                </c:pt>
                <c:pt idx="34">
                  <c:v>577.02</c:v>
                </c:pt>
                <c:pt idx="35">
                  <c:v>609.85999999999945</c:v>
                </c:pt>
                <c:pt idx="36">
                  <c:v>646.4</c:v>
                </c:pt>
                <c:pt idx="37">
                  <c:v>687.97</c:v>
                </c:pt>
                <c:pt idx="38">
                  <c:v>736.8</c:v>
                </c:pt>
                <c:pt idx="39">
                  <c:v>797.32999999999947</c:v>
                </c:pt>
                <c:pt idx="40">
                  <c:v>880.83999999999946</c:v>
                </c:pt>
                <c:pt idx="41">
                  <c:v>990.4</c:v>
                </c:pt>
                <c:pt idx="42">
                  <c:v>1110.4000000000001</c:v>
                </c:pt>
                <c:pt idx="43">
                  <c:v>1230.4000000000001</c:v>
                </c:pt>
                <c:pt idx="44">
                  <c:v>1350.4</c:v>
                </c:pt>
                <c:pt idx="45">
                  <c:v>1470.4</c:v>
                </c:pt>
                <c:pt idx="46">
                  <c:v>1590.4</c:v>
                </c:pt>
                <c:pt idx="47">
                  <c:v>1710.4</c:v>
                </c:pt>
                <c:pt idx="48">
                  <c:v>1830.4</c:v>
                </c:pt>
                <c:pt idx="49">
                  <c:v>1950.4</c:v>
                </c:pt>
              </c:numCache>
            </c:numRef>
          </c:xVal>
          <c:yVal>
            <c:numRef>
              <c:f>'k-inf'!$H$2:$H$51</c:f>
              <c:numCache>
                <c:formatCode>General</c:formatCode>
                <c:ptCount val="50"/>
                <c:pt idx="0">
                  <c:v>-12.064806786356719</c:v>
                </c:pt>
                <c:pt idx="1">
                  <c:v>-11.80975600480175</c:v>
                </c:pt>
                <c:pt idx="2">
                  <c:v>-11.72547166555189</c:v>
                </c:pt>
                <c:pt idx="3">
                  <c:v>-11.675600410935621</c:v>
                </c:pt>
                <c:pt idx="4">
                  <c:v>-11.64173806282777</c:v>
                </c:pt>
                <c:pt idx="5">
                  <c:v>-11.616752777457471</c:v>
                </c:pt>
                <c:pt idx="6">
                  <c:v>-11.59925730114624</c:v>
                </c:pt>
                <c:pt idx="7">
                  <c:v>-11.59013328267913</c:v>
                </c:pt>
                <c:pt idx="8">
                  <c:v>-11.586323235429131</c:v>
                </c:pt>
                <c:pt idx="9">
                  <c:v>-11.58794343146384</c:v>
                </c:pt>
                <c:pt idx="10">
                  <c:v>-11.592420703285431</c:v>
                </c:pt>
                <c:pt idx="11">
                  <c:v>-11.600277410520979</c:v>
                </c:pt>
                <c:pt idx="12">
                  <c:v>-11.61477799651588</c:v>
                </c:pt>
                <c:pt idx="13">
                  <c:v>-11.634370235639921</c:v>
                </c:pt>
                <c:pt idx="14">
                  <c:v>-11.658754083021449</c:v>
                </c:pt>
                <c:pt idx="15">
                  <c:v>-11.688203726623881</c:v>
                </c:pt>
                <c:pt idx="16">
                  <c:v>-11.718767117864219</c:v>
                </c:pt>
                <c:pt idx="17">
                  <c:v>-11.75445805610628</c:v>
                </c:pt>
                <c:pt idx="18">
                  <c:v>-11.789640731297981</c:v>
                </c:pt>
                <c:pt idx="19">
                  <c:v>-11.824438122690269</c:v>
                </c:pt>
                <c:pt idx="20">
                  <c:v>-11.85870330255012</c:v>
                </c:pt>
                <c:pt idx="21">
                  <c:v>-11.892355961640201</c:v>
                </c:pt>
                <c:pt idx="22">
                  <c:v>-11.927413617942101</c:v>
                </c:pt>
                <c:pt idx="23">
                  <c:v>-11.964422694824959</c:v>
                </c:pt>
                <c:pt idx="24">
                  <c:v>-12.00377459143553</c:v>
                </c:pt>
                <c:pt idx="25">
                  <c:v>-12.047219009208289</c:v>
                </c:pt>
                <c:pt idx="26">
                  <c:v>-12.0960580541973</c:v>
                </c:pt>
                <c:pt idx="27">
                  <c:v>-12.15285812368362</c:v>
                </c:pt>
                <c:pt idx="28">
                  <c:v>-12.219367405970759</c:v>
                </c:pt>
                <c:pt idx="29">
                  <c:v>-12.2956407144047</c:v>
                </c:pt>
                <c:pt idx="30">
                  <c:v>-12.3857417698317</c:v>
                </c:pt>
                <c:pt idx="31">
                  <c:v>-12.49268777362521</c:v>
                </c:pt>
                <c:pt idx="32">
                  <c:v>-12.61814561866095</c:v>
                </c:pt>
                <c:pt idx="33">
                  <c:v>-12.76664923801218</c:v>
                </c:pt>
                <c:pt idx="34">
                  <c:v>-12.949628080460601</c:v>
                </c:pt>
                <c:pt idx="35">
                  <c:v>-13.166081443287821</c:v>
                </c:pt>
                <c:pt idx="36">
                  <c:v>-13.386537450096681</c:v>
                </c:pt>
                <c:pt idx="37">
                  <c:v>-13.58781014163859</c:v>
                </c:pt>
                <c:pt idx="38">
                  <c:v>-13.6818972000328</c:v>
                </c:pt>
                <c:pt idx="39">
                  <c:v>-13.6057579190242</c:v>
                </c:pt>
                <c:pt idx="40">
                  <c:v>-13.40270100451894</c:v>
                </c:pt>
                <c:pt idx="41">
                  <c:v>-13.23513273934458</c:v>
                </c:pt>
                <c:pt idx="42">
                  <c:v>-13.12751529464791</c:v>
                </c:pt>
                <c:pt idx="43">
                  <c:v>-12.940503453235721</c:v>
                </c:pt>
                <c:pt idx="44">
                  <c:v>-12.739476341643449</c:v>
                </c:pt>
                <c:pt idx="45">
                  <c:v>-12.55223477170235</c:v>
                </c:pt>
                <c:pt idx="46">
                  <c:v>-12.36263790931458</c:v>
                </c:pt>
                <c:pt idx="47">
                  <c:v>-12.159619672448679</c:v>
                </c:pt>
                <c:pt idx="48">
                  <c:v>-11.942785156001611</c:v>
                </c:pt>
                <c:pt idx="49">
                  <c:v>-11.713945260089799</c:v>
                </c:pt>
              </c:numCache>
            </c:numRef>
          </c:yVal>
          <c:smooth val="1"/>
        </c:ser>
        <c:ser>
          <c:idx val="1"/>
          <c:order val="1"/>
          <c:tx>
            <c:strRef>
              <c:f>'k-inf'!$I$1</c:f>
              <c:strCache>
                <c:ptCount val="1"/>
                <c:pt idx="0">
                  <c:v>SiC</c:v>
                </c:pt>
              </c:strCache>
            </c:strRef>
          </c:tx>
          <c:marker>
            <c:symbol val="square"/>
            <c:size val="5"/>
          </c:marker>
          <c:xVal>
            <c:numRef>
              <c:f>'k-inf'!$A$2:$A$51</c:f>
              <c:numCache>
                <c:formatCode>0.00</c:formatCode>
                <c:ptCount val="50"/>
                <c:pt idx="0">
                  <c:v>0</c:v>
                </c:pt>
                <c:pt idx="1">
                  <c:v>7.06</c:v>
                </c:pt>
                <c:pt idx="2">
                  <c:v>21.06</c:v>
                </c:pt>
                <c:pt idx="3">
                  <c:v>34.909999999999997</c:v>
                </c:pt>
                <c:pt idx="4">
                  <c:v>48.660000000000011</c:v>
                </c:pt>
                <c:pt idx="5">
                  <c:v>62.34</c:v>
                </c:pt>
                <c:pt idx="6">
                  <c:v>75.98</c:v>
                </c:pt>
                <c:pt idx="7">
                  <c:v>89.62</c:v>
                </c:pt>
                <c:pt idx="8">
                  <c:v>103.28</c:v>
                </c:pt>
                <c:pt idx="9">
                  <c:v>116.99</c:v>
                </c:pt>
                <c:pt idx="10">
                  <c:v>130.78</c:v>
                </c:pt>
                <c:pt idx="11">
                  <c:v>144.66</c:v>
                </c:pt>
                <c:pt idx="12">
                  <c:v>158.66999999999999</c:v>
                </c:pt>
                <c:pt idx="13">
                  <c:v>172.82000000000011</c:v>
                </c:pt>
                <c:pt idx="14">
                  <c:v>187.15</c:v>
                </c:pt>
                <c:pt idx="15">
                  <c:v>201.68</c:v>
                </c:pt>
                <c:pt idx="16">
                  <c:v>216.43</c:v>
                </c:pt>
                <c:pt idx="17">
                  <c:v>231.43</c:v>
                </c:pt>
                <c:pt idx="18">
                  <c:v>246.72</c:v>
                </c:pt>
                <c:pt idx="19">
                  <c:v>262.33</c:v>
                </c:pt>
                <c:pt idx="20">
                  <c:v>278.28999999999962</c:v>
                </c:pt>
                <c:pt idx="21">
                  <c:v>294.6400000000001</c:v>
                </c:pt>
                <c:pt idx="22">
                  <c:v>311.44</c:v>
                </c:pt>
                <c:pt idx="23">
                  <c:v>328.71</c:v>
                </c:pt>
                <c:pt idx="24">
                  <c:v>346.54</c:v>
                </c:pt>
                <c:pt idx="25">
                  <c:v>364.96</c:v>
                </c:pt>
                <c:pt idx="26">
                  <c:v>384.08</c:v>
                </c:pt>
                <c:pt idx="27">
                  <c:v>403.96</c:v>
                </c:pt>
                <c:pt idx="28">
                  <c:v>424.71</c:v>
                </c:pt>
                <c:pt idx="29">
                  <c:v>446.45</c:v>
                </c:pt>
                <c:pt idx="30">
                  <c:v>469.35</c:v>
                </c:pt>
                <c:pt idx="31">
                  <c:v>493.57</c:v>
                </c:pt>
                <c:pt idx="32">
                  <c:v>519.37</c:v>
                </c:pt>
                <c:pt idx="33">
                  <c:v>547.04999999999939</c:v>
                </c:pt>
                <c:pt idx="34">
                  <c:v>577.02</c:v>
                </c:pt>
                <c:pt idx="35">
                  <c:v>609.85999999999945</c:v>
                </c:pt>
                <c:pt idx="36">
                  <c:v>646.4</c:v>
                </c:pt>
                <c:pt idx="37">
                  <c:v>687.97</c:v>
                </c:pt>
                <c:pt idx="38">
                  <c:v>736.8</c:v>
                </c:pt>
                <c:pt idx="39">
                  <c:v>797.32999999999947</c:v>
                </c:pt>
                <c:pt idx="40">
                  <c:v>880.83999999999946</c:v>
                </c:pt>
                <c:pt idx="41">
                  <c:v>990.4</c:v>
                </c:pt>
                <c:pt idx="42">
                  <c:v>1110.4000000000001</c:v>
                </c:pt>
                <c:pt idx="43">
                  <c:v>1230.4000000000001</c:v>
                </c:pt>
                <c:pt idx="44">
                  <c:v>1350.4</c:v>
                </c:pt>
                <c:pt idx="45">
                  <c:v>1470.4</c:v>
                </c:pt>
                <c:pt idx="46">
                  <c:v>1590.4</c:v>
                </c:pt>
                <c:pt idx="47">
                  <c:v>1710.4</c:v>
                </c:pt>
                <c:pt idx="48">
                  <c:v>1830.4</c:v>
                </c:pt>
                <c:pt idx="49">
                  <c:v>1950.4</c:v>
                </c:pt>
              </c:numCache>
            </c:numRef>
          </c:xVal>
          <c:yVal>
            <c:numRef>
              <c:f>'k-inf'!$I$2:$I$51</c:f>
              <c:numCache>
                <c:formatCode>General</c:formatCode>
                <c:ptCount val="50"/>
                <c:pt idx="0">
                  <c:v>0.61185104260075895</c:v>
                </c:pt>
                <c:pt idx="1">
                  <c:v>0.62042875533776398</c:v>
                </c:pt>
                <c:pt idx="2">
                  <c:v>0.63368180197087698</c:v>
                </c:pt>
                <c:pt idx="3">
                  <c:v>0.64545723665163901</c:v>
                </c:pt>
                <c:pt idx="4">
                  <c:v>0.65653319850615899</c:v>
                </c:pt>
                <c:pt idx="5">
                  <c:v>0.66712354727345802</c:v>
                </c:pt>
                <c:pt idx="6">
                  <c:v>0.67671108805052604</c:v>
                </c:pt>
                <c:pt idx="7">
                  <c:v>0.68548281696789104</c:v>
                </c:pt>
                <c:pt idx="8">
                  <c:v>0.69358257266804901</c:v>
                </c:pt>
                <c:pt idx="9">
                  <c:v>0.70112905031362205</c:v>
                </c:pt>
                <c:pt idx="10">
                  <c:v>0.70794190148444003</c:v>
                </c:pt>
                <c:pt idx="11">
                  <c:v>0.71426754795271896</c:v>
                </c:pt>
                <c:pt idx="12">
                  <c:v>0.72000989923441905</c:v>
                </c:pt>
                <c:pt idx="13">
                  <c:v>0.72496895988033405</c:v>
                </c:pt>
                <c:pt idx="14">
                  <c:v>0.73001113194145795</c:v>
                </c:pt>
                <c:pt idx="15">
                  <c:v>0.73338854886254501</c:v>
                </c:pt>
                <c:pt idx="16">
                  <c:v>0.73802435179201797</c:v>
                </c:pt>
                <c:pt idx="17">
                  <c:v>0.73945039475975205</c:v>
                </c:pt>
                <c:pt idx="18">
                  <c:v>0.74174609648947598</c:v>
                </c:pt>
                <c:pt idx="19">
                  <c:v>0.74436108369367904</c:v>
                </c:pt>
                <c:pt idx="20">
                  <c:v>0.74566471655415401</c:v>
                </c:pt>
                <c:pt idx="21">
                  <c:v>0.74718172802238503</c:v>
                </c:pt>
                <c:pt idx="22">
                  <c:v>0.74855469155161403</c:v>
                </c:pt>
                <c:pt idx="23">
                  <c:v>0.74972571902234897</c:v>
                </c:pt>
                <c:pt idx="24">
                  <c:v>0.75062507483037599</c:v>
                </c:pt>
                <c:pt idx="25">
                  <c:v>0.750944492058496</c:v>
                </c:pt>
                <c:pt idx="26">
                  <c:v>0.75075353430867497</c:v>
                </c:pt>
                <c:pt idx="27">
                  <c:v>0.74981938632950795</c:v>
                </c:pt>
                <c:pt idx="28">
                  <c:v>0.74811203709262197</c:v>
                </c:pt>
                <c:pt idx="29">
                  <c:v>0.74537407448344595</c:v>
                </c:pt>
                <c:pt idx="30">
                  <c:v>0.74134479490639604</c:v>
                </c:pt>
                <c:pt idx="31">
                  <c:v>0.73565381872846902</c:v>
                </c:pt>
                <c:pt idx="32">
                  <c:v>0.72822948738927695</c:v>
                </c:pt>
                <c:pt idx="33">
                  <c:v>0.71796589250299103</c:v>
                </c:pt>
                <c:pt idx="34">
                  <c:v>0.70376635504423002</c:v>
                </c:pt>
                <c:pt idx="35">
                  <c:v>0.68715842892354395</c:v>
                </c:pt>
                <c:pt idx="36">
                  <c:v>0.67014064449183197</c:v>
                </c:pt>
                <c:pt idx="37">
                  <c:v>0.65628556983894804</c:v>
                </c:pt>
                <c:pt idx="38">
                  <c:v>0.66158593100970498</c:v>
                </c:pt>
                <c:pt idx="39">
                  <c:v>0.68850197264278001</c:v>
                </c:pt>
                <c:pt idx="40">
                  <c:v>0.73759248604324401</c:v>
                </c:pt>
                <c:pt idx="41">
                  <c:v>0.78232490314550596</c:v>
                </c:pt>
                <c:pt idx="42">
                  <c:v>0.82985620236044699</c:v>
                </c:pt>
                <c:pt idx="43">
                  <c:v>0.89388552294626999</c:v>
                </c:pt>
                <c:pt idx="44">
                  <c:v>0.96086714926922601</c:v>
                </c:pt>
                <c:pt idx="45">
                  <c:v>1.0241289124571731</c:v>
                </c:pt>
                <c:pt idx="46">
                  <c:v>1.0876419048480901</c:v>
                </c:pt>
                <c:pt idx="47">
                  <c:v>1.152623883697621</c:v>
                </c:pt>
                <c:pt idx="48">
                  <c:v>1.218601356895296</c:v>
                </c:pt>
                <c:pt idx="49">
                  <c:v>1.284907295420022</c:v>
                </c:pt>
              </c:numCache>
            </c:numRef>
          </c:yVal>
          <c:smooth val="1"/>
        </c:ser>
        <c:dLbls>
          <c:showLegendKey val="0"/>
          <c:showVal val="0"/>
          <c:showCatName val="0"/>
          <c:showSerName val="0"/>
          <c:showPercent val="0"/>
          <c:showBubbleSize val="0"/>
        </c:dLbls>
        <c:axId val="114268800"/>
        <c:axId val="114291456"/>
      </c:scatterChart>
      <c:scatterChart>
        <c:scatterStyle val="smoothMarker"/>
        <c:varyColors val="0"/>
        <c:ser>
          <c:idx val="2"/>
          <c:order val="2"/>
          <c:tx>
            <c:v>Gd conc.</c:v>
          </c:tx>
          <c:spPr>
            <a:ln w="15875"/>
          </c:spPr>
          <c:marker>
            <c:symbol val="triangle"/>
            <c:size val="4"/>
          </c:marker>
          <c:xVal>
            <c:numRef>
              <c:f>'k-inf'!$A$2:$A$51</c:f>
              <c:numCache>
                <c:formatCode>0.00</c:formatCode>
                <c:ptCount val="50"/>
                <c:pt idx="0">
                  <c:v>0</c:v>
                </c:pt>
                <c:pt idx="1">
                  <c:v>7.06</c:v>
                </c:pt>
                <c:pt idx="2">
                  <c:v>21.06</c:v>
                </c:pt>
                <c:pt idx="3">
                  <c:v>34.909999999999997</c:v>
                </c:pt>
                <c:pt idx="4">
                  <c:v>48.660000000000011</c:v>
                </c:pt>
                <c:pt idx="5">
                  <c:v>62.34</c:v>
                </c:pt>
                <c:pt idx="6">
                  <c:v>75.98</c:v>
                </c:pt>
                <c:pt idx="7">
                  <c:v>89.62</c:v>
                </c:pt>
                <c:pt idx="8">
                  <c:v>103.28</c:v>
                </c:pt>
                <c:pt idx="9">
                  <c:v>116.99</c:v>
                </c:pt>
                <c:pt idx="10">
                  <c:v>130.78</c:v>
                </c:pt>
                <c:pt idx="11">
                  <c:v>144.66</c:v>
                </c:pt>
                <c:pt idx="12">
                  <c:v>158.66999999999999</c:v>
                </c:pt>
                <c:pt idx="13">
                  <c:v>172.82000000000011</c:v>
                </c:pt>
                <c:pt idx="14">
                  <c:v>187.15</c:v>
                </c:pt>
                <c:pt idx="15">
                  <c:v>201.68</c:v>
                </c:pt>
                <c:pt idx="16">
                  <c:v>216.43</c:v>
                </c:pt>
                <c:pt idx="17">
                  <c:v>231.43</c:v>
                </c:pt>
                <c:pt idx="18">
                  <c:v>246.72</c:v>
                </c:pt>
                <c:pt idx="19">
                  <c:v>262.33</c:v>
                </c:pt>
                <c:pt idx="20">
                  <c:v>278.28999999999962</c:v>
                </c:pt>
                <c:pt idx="21">
                  <c:v>294.6400000000001</c:v>
                </c:pt>
                <c:pt idx="22">
                  <c:v>311.44</c:v>
                </c:pt>
                <c:pt idx="23">
                  <c:v>328.71</c:v>
                </c:pt>
                <c:pt idx="24">
                  <c:v>346.54</c:v>
                </c:pt>
                <c:pt idx="25">
                  <c:v>364.96</c:v>
                </c:pt>
                <c:pt idx="26">
                  <c:v>384.08</c:v>
                </c:pt>
                <c:pt idx="27">
                  <c:v>403.96</c:v>
                </c:pt>
                <c:pt idx="28">
                  <c:v>424.71</c:v>
                </c:pt>
                <c:pt idx="29">
                  <c:v>446.45</c:v>
                </c:pt>
                <c:pt idx="30">
                  <c:v>469.35</c:v>
                </c:pt>
                <c:pt idx="31">
                  <c:v>493.57</c:v>
                </c:pt>
                <c:pt idx="32">
                  <c:v>519.37</c:v>
                </c:pt>
                <c:pt idx="33">
                  <c:v>547.04999999999939</c:v>
                </c:pt>
                <c:pt idx="34">
                  <c:v>577.02</c:v>
                </c:pt>
                <c:pt idx="35">
                  <c:v>609.85999999999945</c:v>
                </c:pt>
                <c:pt idx="36">
                  <c:v>646.4</c:v>
                </c:pt>
                <c:pt idx="37">
                  <c:v>687.97</c:v>
                </c:pt>
                <c:pt idx="38">
                  <c:v>736.8</c:v>
                </c:pt>
                <c:pt idx="39">
                  <c:v>797.32999999999947</c:v>
                </c:pt>
                <c:pt idx="40">
                  <c:v>880.83999999999946</c:v>
                </c:pt>
                <c:pt idx="41">
                  <c:v>990.4</c:v>
                </c:pt>
                <c:pt idx="42">
                  <c:v>1110.4000000000001</c:v>
                </c:pt>
                <c:pt idx="43">
                  <c:v>1230.4000000000001</c:v>
                </c:pt>
                <c:pt idx="44">
                  <c:v>1350.4</c:v>
                </c:pt>
                <c:pt idx="45">
                  <c:v>1470.4</c:v>
                </c:pt>
                <c:pt idx="46">
                  <c:v>1590.4</c:v>
                </c:pt>
                <c:pt idx="47">
                  <c:v>1710.4</c:v>
                </c:pt>
                <c:pt idx="48">
                  <c:v>1830.4</c:v>
                </c:pt>
                <c:pt idx="49">
                  <c:v>1950.4</c:v>
                </c:pt>
              </c:numCache>
            </c:numRef>
          </c:xVal>
          <c:yVal>
            <c:numRef>
              <c:f>'k-inf'!$L$2:$L$51</c:f>
              <c:numCache>
                <c:formatCode>0.00E+00</c:formatCode>
                <c:ptCount val="50"/>
                <c:pt idx="0">
                  <c:v>4.0920000000000003E-4</c:v>
                </c:pt>
                <c:pt idx="1">
                  <c:v>4.059E-4</c:v>
                </c:pt>
                <c:pt idx="2">
                  <c:v>4.0259999999999997E-4</c:v>
                </c:pt>
                <c:pt idx="3">
                  <c:v>3.993E-4</c:v>
                </c:pt>
                <c:pt idx="4">
                  <c:v>3.9599999999999998E-4</c:v>
                </c:pt>
                <c:pt idx="5">
                  <c:v>3.927E-4</c:v>
                </c:pt>
                <c:pt idx="6">
                  <c:v>3.8939999999999998E-4</c:v>
                </c:pt>
                <c:pt idx="7">
                  <c:v>3.8610000000000001E-4</c:v>
                </c:pt>
                <c:pt idx="8">
                  <c:v>3.8279999999999998E-4</c:v>
                </c:pt>
                <c:pt idx="9">
                  <c:v>3.793E-4</c:v>
                </c:pt>
                <c:pt idx="10">
                  <c:v>3.7589999999999998E-4</c:v>
                </c:pt>
                <c:pt idx="11">
                  <c:v>3.723E-4</c:v>
                </c:pt>
                <c:pt idx="12">
                  <c:v>3.6870000000000002E-4</c:v>
                </c:pt>
                <c:pt idx="13">
                  <c:v>3.6499999999999998E-4</c:v>
                </c:pt>
                <c:pt idx="14">
                  <c:v>3.612E-4</c:v>
                </c:pt>
                <c:pt idx="15">
                  <c:v>3.5730000000000001E-4</c:v>
                </c:pt>
                <c:pt idx="16">
                  <c:v>3.5330000000000002E-4</c:v>
                </c:pt>
                <c:pt idx="17">
                  <c:v>3.4909999999999997E-4</c:v>
                </c:pt>
                <c:pt idx="18">
                  <c:v>3.4469999999999998E-4</c:v>
                </c:pt>
                <c:pt idx="19">
                  <c:v>3.4010000000000003E-4</c:v>
                </c:pt>
                <c:pt idx="20">
                  <c:v>3.3530000000000002E-4</c:v>
                </c:pt>
                <c:pt idx="21">
                  <c:v>3.302E-4</c:v>
                </c:pt>
                <c:pt idx="22">
                  <c:v>3.2469999999999998E-4</c:v>
                </c:pt>
                <c:pt idx="23">
                  <c:v>3.188E-4</c:v>
                </c:pt>
                <c:pt idx="24">
                  <c:v>3.124E-4</c:v>
                </c:pt>
                <c:pt idx="25">
                  <c:v>3.054E-4</c:v>
                </c:pt>
                <c:pt idx="26">
                  <c:v>2.9750000000000002E-4</c:v>
                </c:pt>
                <c:pt idx="27">
                  <c:v>2.8860000000000002E-4</c:v>
                </c:pt>
                <c:pt idx="28">
                  <c:v>2.7819999999999999E-4</c:v>
                </c:pt>
                <c:pt idx="29">
                  <c:v>2.6580000000000001E-4</c:v>
                </c:pt>
                <c:pt idx="30">
                  <c:v>2.5050000000000002E-4</c:v>
                </c:pt>
                <c:pt idx="31">
                  <c:v>2.3110000000000001E-4</c:v>
                </c:pt>
                <c:pt idx="32">
                  <c:v>2.061E-4</c:v>
                </c:pt>
                <c:pt idx="33">
                  <c:v>1.7369999999999999E-4</c:v>
                </c:pt>
                <c:pt idx="34">
                  <c:v>1.328E-4</c:v>
                </c:pt>
                <c:pt idx="35">
                  <c:v>8.6270000000000094E-5</c:v>
                </c:pt>
                <c:pt idx="36">
                  <c:v>4.3949999999999998E-5</c:v>
                </c:pt>
                <c:pt idx="37">
                  <c:v>1.5990000000000001E-5</c:v>
                </c:pt>
                <c:pt idx="38">
                  <c:v>3.8920000000000002E-6</c:v>
                </c:pt>
                <c:pt idx="39">
                  <c:v>7.4780000000000102E-7</c:v>
                </c:pt>
                <c:pt idx="40">
                  <c:v>3.0260000000000002E-7</c:v>
                </c:pt>
                <c:pt idx="41">
                  <c:v>2.7420000000000001E-7</c:v>
                </c:pt>
                <c:pt idx="42">
                  <c:v>2.6399999999999998E-7</c:v>
                </c:pt>
                <c:pt idx="43">
                  <c:v>2.5429999999999999E-7</c:v>
                </c:pt>
                <c:pt idx="44">
                  <c:v>2.4480000000000002E-7</c:v>
                </c:pt>
                <c:pt idx="45">
                  <c:v>2.3559999999999999E-7</c:v>
                </c:pt>
                <c:pt idx="46">
                  <c:v>2.266E-7</c:v>
                </c:pt>
                <c:pt idx="47">
                  <c:v>2.1790000000000001E-7</c:v>
                </c:pt>
                <c:pt idx="48">
                  <c:v>2.0949999999999999E-7</c:v>
                </c:pt>
                <c:pt idx="49">
                  <c:v>2.0130000000000001E-7</c:v>
                </c:pt>
              </c:numCache>
            </c:numRef>
          </c:yVal>
          <c:smooth val="1"/>
        </c:ser>
        <c:dLbls>
          <c:showLegendKey val="0"/>
          <c:showVal val="0"/>
          <c:showCatName val="0"/>
          <c:showSerName val="0"/>
          <c:showPercent val="0"/>
          <c:showBubbleSize val="0"/>
        </c:dLbls>
        <c:axId val="111936256"/>
        <c:axId val="114293376"/>
      </c:scatterChart>
      <c:valAx>
        <c:axId val="114268800"/>
        <c:scaling>
          <c:orientation val="minMax"/>
          <c:max val="2000"/>
        </c:scaling>
        <c:delete val="0"/>
        <c:axPos val="b"/>
        <c:majorGridlines>
          <c:spPr>
            <a:ln>
              <a:solidFill>
                <a:schemeClr val="bg1">
                  <a:lumMod val="65000"/>
                </a:schemeClr>
              </a:solidFill>
              <a:prstDash val="sysDash"/>
            </a:ln>
          </c:spPr>
        </c:majorGridlines>
        <c:title>
          <c:tx>
            <c:rich>
              <a:bodyPr/>
              <a:lstStyle/>
              <a:p>
                <a:pPr>
                  <a:defRPr/>
                </a:pPr>
                <a:r>
                  <a:rPr lang="en-US"/>
                  <a:t>EFPD</a:t>
                </a:r>
              </a:p>
            </c:rich>
          </c:tx>
          <c:layout/>
          <c:overlay val="0"/>
        </c:title>
        <c:numFmt formatCode="0" sourceLinked="0"/>
        <c:majorTickMark val="out"/>
        <c:minorTickMark val="none"/>
        <c:tickLblPos val="low"/>
        <c:crossAx val="114291456"/>
        <c:crosses val="autoZero"/>
        <c:crossBetween val="midCat"/>
        <c:majorUnit val="500"/>
      </c:valAx>
      <c:valAx>
        <c:axId val="114291456"/>
        <c:scaling>
          <c:orientation val="minMax"/>
          <c:max val="5"/>
          <c:min val="-20"/>
        </c:scaling>
        <c:delete val="0"/>
        <c:axPos val="l"/>
        <c:majorGridlines>
          <c:spPr>
            <a:ln>
              <a:solidFill>
                <a:schemeClr val="bg1">
                  <a:lumMod val="65000"/>
                </a:schemeClr>
              </a:solidFill>
              <a:prstDash val="sysDash"/>
            </a:ln>
          </c:spPr>
        </c:majorGridlines>
        <c:minorGridlines>
          <c:spPr>
            <a:ln>
              <a:solidFill>
                <a:schemeClr val="bg1">
                  <a:lumMod val="85000"/>
                </a:schemeClr>
              </a:solidFill>
              <a:prstDash val="sysDash"/>
            </a:ln>
          </c:spPr>
        </c:minorGridlines>
        <c:title>
          <c:tx>
            <c:rich>
              <a:bodyPr rot="-5400000" vert="horz"/>
              <a:lstStyle/>
              <a:p>
                <a:pPr>
                  <a:defRPr/>
                </a:pPr>
                <a:r>
                  <a:rPr lang="el-GR"/>
                  <a:t>Δ</a:t>
                </a:r>
                <a:r>
                  <a:rPr lang="en-US"/>
                  <a:t>k-infinity (%)</a:t>
                </a:r>
              </a:p>
            </c:rich>
          </c:tx>
          <c:layout/>
          <c:overlay val="0"/>
        </c:title>
        <c:numFmt formatCode="General" sourceLinked="1"/>
        <c:majorTickMark val="out"/>
        <c:minorTickMark val="none"/>
        <c:tickLblPos val="nextTo"/>
        <c:crossAx val="114268800"/>
        <c:crosses val="autoZero"/>
        <c:crossBetween val="midCat"/>
        <c:majorUnit val="5"/>
        <c:minorUnit val="1"/>
      </c:valAx>
      <c:valAx>
        <c:axId val="114293376"/>
        <c:scaling>
          <c:logBase val="10"/>
          <c:orientation val="minMax"/>
          <c:max val="1E-3"/>
          <c:min val="9.9999999999999995E-8"/>
        </c:scaling>
        <c:delete val="0"/>
        <c:axPos val="r"/>
        <c:title>
          <c:tx>
            <c:rich>
              <a:bodyPr rot="-5400000" vert="horz"/>
              <a:lstStyle/>
              <a:p>
                <a:pPr>
                  <a:defRPr/>
                </a:pPr>
                <a:r>
                  <a:rPr lang="en-US"/>
                  <a:t>Concentration of Gd (#/barn-cm)</a:t>
                </a:r>
              </a:p>
            </c:rich>
          </c:tx>
          <c:layout>
            <c:manualLayout>
              <c:xMode val="edge"/>
              <c:yMode val="edge"/>
              <c:x val="0.933760683760684"/>
              <c:y val="0.108077544426494"/>
            </c:manualLayout>
          </c:layout>
          <c:overlay val="0"/>
        </c:title>
        <c:numFmt formatCode="0.E+00" sourceLinked="0"/>
        <c:majorTickMark val="out"/>
        <c:minorTickMark val="none"/>
        <c:tickLblPos val="nextTo"/>
        <c:crossAx val="111936256"/>
        <c:crosses val="max"/>
        <c:crossBetween val="midCat"/>
      </c:valAx>
      <c:valAx>
        <c:axId val="111936256"/>
        <c:scaling>
          <c:orientation val="minMax"/>
        </c:scaling>
        <c:delete val="1"/>
        <c:axPos val="b"/>
        <c:numFmt formatCode="0.00" sourceLinked="1"/>
        <c:majorTickMark val="out"/>
        <c:minorTickMark val="none"/>
        <c:tickLblPos val="none"/>
        <c:crossAx val="114293376"/>
        <c:crosses val="autoZero"/>
        <c:crossBetween val="midCat"/>
      </c:valAx>
      <c:spPr>
        <a:ln>
          <a:solidFill>
            <a:sysClr val="windowText" lastClr="000000"/>
          </a:solidFill>
        </a:ln>
      </c:spPr>
    </c:plotArea>
    <c:legend>
      <c:legendPos val="r"/>
      <c:layout>
        <c:manualLayout>
          <c:xMode val="edge"/>
          <c:yMode val="edge"/>
          <c:x val="0.47428299275104802"/>
          <c:y val="0.24349464587769101"/>
          <c:w val="0.26203020504720098"/>
          <c:h val="0.19332427954666201"/>
        </c:manualLayout>
      </c:layout>
      <c:overlay val="0"/>
      <c:spPr>
        <a:solidFill>
          <a:schemeClr val="bg1"/>
        </a:solidFill>
        <a:ln>
          <a:solidFill>
            <a:schemeClr val="tx1"/>
          </a:solidFill>
        </a:ln>
        <a:effectLst>
          <a:outerShdw dist="50800" dir="2700000" sx="105000" sy="105000" algn="tl" rotWithShape="0">
            <a:prstClr val="black"/>
          </a:outerShdw>
        </a:effectLst>
      </c:spPr>
    </c:legend>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5640234679984"/>
          <c:y val="5.1400563272377402E-2"/>
          <c:w val="0.76570334248585004"/>
          <c:h val="0.78788949878625103"/>
        </c:manualLayout>
      </c:layout>
      <c:scatterChart>
        <c:scatterStyle val="smoothMarker"/>
        <c:varyColors val="0"/>
        <c:ser>
          <c:idx val="0"/>
          <c:order val="0"/>
          <c:tx>
            <c:strRef>
              <c:f>'Box vs. Clad _ FeCrAl'!$M$1</c:f>
              <c:strCache>
                <c:ptCount val="1"/>
                <c:pt idx="0">
                  <c:v>FeCrAl Box</c:v>
                </c:pt>
              </c:strCache>
            </c:strRef>
          </c:tx>
          <c:marker>
            <c:symbol val="diamond"/>
            <c:size val="5"/>
          </c:marker>
          <c:xVal>
            <c:numRef>
              <c:f>'Box vs. Clad _ FeCrAl'!$L$2:$L$73</c:f>
              <c:numCache>
                <c:formatCode>General</c:formatCode>
                <c:ptCount val="72"/>
                <c:pt idx="0">
                  <c:v>0</c:v>
                </c:pt>
                <c:pt idx="1">
                  <c:v>0.1</c:v>
                </c:pt>
                <c:pt idx="2">
                  <c:v>0.5</c:v>
                </c:pt>
                <c:pt idx="3">
                  <c:v>1</c:v>
                </c:pt>
                <c:pt idx="4">
                  <c:v>1.5</c:v>
                </c:pt>
                <c:pt idx="5">
                  <c:v>2</c:v>
                </c:pt>
                <c:pt idx="6">
                  <c:v>2.5</c:v>
                </c:pt>
                <c:pt idx="7">
                  <c:v>3</c:v>
                </c:pt>
                <c:pt idx="8">
                  <c:v>3.5</c:v>
                </c:pt>
                <c:pt idx="9">
                  <c:v>4</c:v>
                </c:pt>
                <c:pt idx="10">
                  <c:v>4.5</c:v>
                </c:pt>
                <c:pt idx="11">
                  <c:v>5</c:v>
                </c:pt>
                <c:pt idx="12">
                  <c:v>5.5</c:v>
                </c:pt>
                <c:pt idx="13">
                  <c:v>6</c:v>
                </c:pt>
                <c:pt idx="14">
                  <c:v>6.5</c:v>
                </c:pt>
                <c:pt idx="15">
                  <c:v>7</c:v>
                </c:pt>
                <c:pt idx="16">
                  <c:v>7.5</c:v>
                </c:pt>
                <c:pt idx="17">
                  <c:v>8</c:v>
                </c:pt>
                <c:pt idx="18">
                  <c:v>8.5</c:v>
                </c:pt>
                <c:pt idx="19">
                  <c:v>9</c:v>
                </c:pt>
                <c:pt idx="20">
                  <c:v>9.5</c:v>
                </c:pt>
                <c:pt idx="21">
                  <c:v>10</c:v>
                </c:pt>
                <c:pt idx="22">
                  <c:v>10.5</c:v>
                </c:pt>
                <c:pt idx="23">
                  <c:v>11</c:v>
                </c:pt>
                <c:pt idx="24">
                  <c:v>11.5</c:v>
                </c:pt>
                <c:pt idx="25">
                  <c:v>12</c:v>
                </c:pt>
                <c:pt idx="26">
                  <c:v>12.5</c:v>
                </c:pt>
                <c:pt idx="27">
                  <c:v>13</c:v>
                </c:pt>
                <c:pt idx="28">
                  <c:v>13.5</c:v>
                </c:pt>
                <c:pt idx="29">
                  <c:v>14</c:v>
                </c:pt>
                <c:pt idx="30">
                  <c:v>14.5</c:v>
                </c:pt>
                <c:pt idx="31">
                  <c:v>15</c:v>
                </c:pt>
                <c:pt idx="32">
                  <c:v>15.5</c:v>
                </c:pt>
                <c:pt idx="33">
                  <c:v>16</c:v>
                </c:pt>
                <c:pt idx="34">
                  <c:v>16.5</c:v>
                </c:pt>
                <c:pt idx="35">
                  <c:v>17</c:v>
                </c:pt>
                <c:pt idx="36">
                  <c:v>17.5</c:v>
                </c:pt>
                <c:pt idx="37">
                  <c:v>18</c:v>
                </c:pt>
                <c:pt idx="38">
                  <c:v>18.5</c:v>
                </c:pt>
                <c:pt idx="39">
                  <c:v>19</c:v>
                </c:pt>
                <c:pt idx="40">
                  <c:v>19.5</c:v>
                </c:pt>
                <c:pt idx="41">
                  <c:v>20</c:v>
                </c:pt>
                <c:pt idx="42">
                  <c:v>20.5</c:v>
                </c:pt>
                <c:pt idx="43">
                  <c:v>21</c:v>
                </c:pt>
                <c:pt idx="44">
                  <c:v>21.5</c:v>
                </c:pt>
                <c:pt idx="45">
                  <c:v>22</c:v>
                </c:pt>
                <c:pt idx="46">
                  <c:v>22.5</c:v>
                </c:pt>
                <c:pt idx="47">
                  <c:v>23</c:v>
                </c:pt>
                <c:pt idx="48">
                  <c:v>23.5</c:v>
                </c:pt>
                <c:pt idx="49">
                  <c:v>24</c:v>
                </c:pt>
                <c:pt idx="50">
                  <c:v>24.5</c:v>
                </c:pt>
                <c:pt idx="51">
                  <c:v>25</c:v>
                </c:pt>
                <c:pt idx="52">
                  <c:v>25.5</c:v>
                </c:pt>
                <c:pt idx="53">
                  <c:v>26</c:v>
                </c:pt>
                <c:pt idx="54">
                  <c:v>26.5</c:v>
                </c:pt>
                <c:pt idx="55">
                  <c:v>27</c:v>
                </c:pt>
                <c:pt idx="56">
                  <c:v>27.5</c:v>
                </c:pt>
                <c:pt idx="57">
                  <c:v>28</c:v>
                </c:pt>
                <c:pt idx="58">
                  <c:v>28.5</c:v>
                </c:pt>
                <c:pt idx="59">
                  <c:v>29</c:v>
                </c:pt>
                <c:pt idx="60">
                  <c:v>29.5</c:v>
                </c:pt>
                <c:pt idx="61">
                  <c:v>30</c:v>
                </c:pt>
                <c:pt idx="62">
                  <c:v>32.5</c:v>
                </c:pt>
                <c:pt idx="63">
                  <c:v>35</c:v>
                </c:pt>
                <c:pt idx="64">
                  <c:v>37.5</c:v>
                </c:pt>
                <c:pt idx="65">
                  <c:v>40</c:v>
                </c:pt>
                <c:pt idx="66">
                  <c:v>42.5</c:v>
                </c:pt>
                <c:pt idx="67">
                  <c:v>45</c:v>
                </c:pt>
                <c:pt idx="68">
                  <c:v>47.5</c:v>
                </c:pt>
                <c:pt idx="69">
                  <c:v>50</c:v>
                </c:pt>
                <c:pt idx="70">
                  <c:v>52.5</c:v>
                </c:pt>
                <c:pt idx="71">
                  <c:v>55</c:v>
                </c:pt>
              </c:numCache>
            </c:numRef>
          </c:xVal>
          <c:yVal>
            <c:numRef>
              <c:f>'Box vs. Clad _ FeCrAl'!$M$2:$M$73</c:f>
              <c:numCache>
                <c:formatCode>General</c:formatCode>
                <c:ptCount val="72"/>
                <c:pt idx="0">
                  <c:v>-6.8236023726034697E-2</c:v>
                </c:pt>
                <c:pt idx="1">
                  <c:v>-6.6855845198922195E-2</c:v>
                </c:pt>
                <c:pt idx="2">
                  <c:v>-6.6163108110163196E-2</c:v>
                </c:pt>
                <c:pt idx="3">
                  <c:v>-6.5556232546812698E-2</c:v>
                </c:pt>
                <c:pt idx="4">
                  <c:v>-6.5035170984221194E-2</c:v>
                </c:pt>
                <c:pt idx="5">
                  <c:v>-6.4578431980983203E-2</c:v>
                </c:pt>
                <c:pt idx="6">
                  <c:v>-6.4183445504489303E-2</c:v>
                </c:pt>
                <c:pt idx="7">
                  <c:v>-6.3842374092798096E-2</c:v>
                </c:pt>
                <c:pt idx="8">
                  <c:v>-6.3547711903159804E-2</c:v>
                </c:pt>
                <c:pt idx="9">
                  <c:v>-6.3301626975861405E-2</c:v>
                </c:pt>
                <c:pt idx="10">
                  <c:v>-6.3097316902719996E-2</c:v>
                </c:pt>
                <c:pt idx="11">
                  <c:v>-6.2936735497695906E-2</c:v>
                </c:pt>
                <c:pt idx="12">
                  <c:v>-6.28243007536394E-2</c:v>
                </c:pt>
                <c:pt idx="13">
                  <c:v>-6.2756197895809801E-2</c:v>
                </c:pt>
                <c:pt idx="14">
                  <c:v>-6.2731362782278505E-2</c:v>
                </c:pt>
                <c:pt idx="15">
                  <c:v>-6.2755590182812099E-2</c:v>
                </c:pt>
                <c:pt idx="16">
                  <c:v>-6.2817258883248697E-2</c:v>
                </c:pt>
                <c:pt idx="17">
                  <c:v>-6.2909524183809795E-2</c:v>
                </c:pt>
                <c:pt idx="18">
                  <c:v>-6.3032560289424805E-2</c:v>
                </c:pt>
                <c:pt idx="19">
                  <c:v>-6.3174675633737298E-2</c:v>
                </c:pt>
                <c:pt idx="20">
                  <c:v>-6.3327677163308796E-2</c:v>
                </c:pt>
                <c:pt idx="21">
                  <c:v>-6.3487457757868695E-2</c:v>
                </c:pt>
                <c:pt idx="22">
                  <c:v>-6.3642132699725698E-2</c:v>
                </c:pt>
                <c:pt idx="23">
                  <c:v>-6.3784500050864806E-2</c:v>
                </c:pt>
                <c:pt idx="24">
                  <c:v>-6.3931237355029702E-2</c:v>
                </c:pt>
                <c:pt idx="25">
                  <c:v>-6.4075992345473204E-2</c:v>
                </c:pt>
                <c:pt idx="26">
                  <c:v>-6.4216324314073606E-2</c:v>
                </c:pt>
                <c:pt idx="27">
                  <c:v>-6.4348519119079794E-2</c:v>
                </c:pt>
                <c:pt idx="28">
                  <c:v>-6.4463750965373795E-2</c:v>
                </c:pt>
                <c:pt idx="29">
                  <c:v>-6.4556439475381505E-2</c:v>
                </c:pt>
                <c:pt idx="30">
                  <c:v>-6.4633262586776402E-2</c:v>
                </c:pt>
                <c:pt idx="31">
                  <c:v>-6.4697846594067701E-2</c:v>
                </c:pt>
                <c:pt idx="32">
                  <c:v>-6.4734234432633E-2</c:v>
                </c:pt>
                <c:pt idx="33">
                  <c:v>-6.4749503248903703E-2</c:v>
                </c:pt>
                <c:pt idx="34">
                  <c:v>-6.4745452761426597E-2</c:v>
                </c:pt>
                <c:pt idx="35">
                  <c:v>-6.4728772999347498E-2</c:v>
                </c:pt>
                <c:pt idx="36">
                  <c:v>-6.4691134407060702E-2</c:v>
                </c:pt>
                <c:pt idx="37">
                  <c:v>-6.4645838963153901E-2</c:v>
                </c:pt>
                <c:pt idx="38">
                  <c:v>-6.4589936687066404E-2</c:v>
                </c:pt>
                <c:pt idx="39">
                  <c:v>-6.4525968198957506E-2</c:v>
                </c:pt>
                <c:pt idx="40">
                  <c:v>-6.4461643604604699E-2</c:v>
                </c:pt>
                <c:pt idx="41">
                  <c:v>-6.4390628160607699E-2</c:v>
                </c:pt>
                <c:pt idx="42">
                  <c:v>-6.4317110462780797E-2</c:v>
                </c:pt>
                <c:pt idx="43">
                  <c:v>-6.4241436705773702E-2</c:v>
                </c:pt>
                <c:pt idx="44">
                  <c:v>-6.4164134643221502E-2</c:v>
                </c:pt>
                <c:pt idx="45">
                  <c:v>-6.4084894759909306E-2</c:v>
                </c:pt>
                <c:pt idx="46">
                  <c:v>-6.4002727582679803E-2</c:v>
                </c:pt>
                <c:pt idx="47">
                  <c:v>-6.3919191550349905E-2</c:v>
                </c:pt>
                <c:pt idx="48">
                  <c:v>-6.3833356095387997E-2</c:v>
                </c:pt>
                <c:pt idx="49">
                  <c:v>-6.3745195918187003E-2</c:v>
                </c:pt>
                <c:pt idx="50">
                  <c:v>-6.3655550709316805E-2</c:v>
                </c:pt>
                <c:pt idx="51">
                  <c:v>-6.3563536629268405E-2</c:v>
                </c:pt>
                <c:pt idx="52">
                  <c:v>-6.3471745151580397E-2</c:v>
                </c:pt>
                <c:pt idx="53">
                  <c:v>-6.3375742852572595E-2</c:v>
                </c:pt>
                <c:pt idx="54">
                  <c:v>-6.3279059610299906E-2</c:v>
                </c:pt>
                <c:pt idx="55">
                  <c:v>-6.3178097178210296E-2</c:v>
                </c:pt>
                <c:pt idx="56">
                  <c:v>-6.3075527373417095E-2</c:v>
                </c:pt>
                <c:pt idx="57">
                  <c:v>-6.2971334136501106E-2</c:v>
                </c:pt>
                <c:pt idx="58">
                  <c:v>-6.2864546484838704E-2</c:v>
                </c:pt>
                <c:pt idx="59">
                  <c:v>-6.2753339187857402E-2</c:v>
                </c:pt>
                <c:pt idx="60">
                  <c:v>-6.2642233063916794E-2</c:v>
                </c:pt>
                <c:pt idx="61">
                  <c:v>-6.2525676183810996E-2</c:v>
                </c:pt>
                <c:pt idx="62">
                  <c:v>-6.1833246817841803E-2</c:v>
                </c:pt>
                <c:pt idx="63">
                  <c:v>-6.1148767091270297E-2</c:v>
                </c:pt>
                <c:pt idx="64">
                  <c:v>-6.0404382611486E-2</c:v>
                </c:pt>
                <c:pt idx="65">
                  <c:v>-5.9586982862350701E-2</c:v>
                </c:pt>
                <c:pt idx="66">
                  <c:v>-5.8711431033521999E-2</c:v>
                </c:pt>
                <c:pt idx="67">
                  <c:v>-5.7785396344765198E-2</c:v>
                </c:pt>
                <c:pt idx="68">
                  <c:v>-5.6820109836138798E-2</c:v>
                </c:pt>
                <c:pt idx="69">
                  <c:v>-5.5830142470189102E-2</c:v>
                </c:pt>
                <c:pt idx="70">
                  <c:v>-5.4837185599478103E-2</c:v>
                </c:pt>
                <c:pt idx="71">
                  <c:v>-5.3855971649024302E-2</c:v>
                </c:pt>
              </c:numCache>
            </c:numRef>
          </c:yVal>
          <c:smooth val="1"/>
        </c:ser>
        <c:ser>
          <c:idx val="1"/>
          <c:order val="1"/>
          <c:tx>
            <c:strRef>
              <c:f>'Box vs. Clad _ FeCrAl'!$N$1</c:f>
              <c:strCache>
                <c:ptCount val="1"/>
                <c:pt idx="0">
                  <c:v>FeCrAl Clad</c:v>
                </c:pt>
              </c:strCache>
            </c:strRef>
          </c:tx>
          <c:marker>
            <c:symbol val="square"/>
            <c:size val="5"/>
          </c:marker>
          <c:xVal>
            <c:numRef>
              <c:f>'Box vs. Clad _ FeCrAl'!$L$2:$L$73</c:f>
              <c:numCache>
                <c:formatCode>General</c:formatCode>
                <c:ptCount val="72"/>
                <c:pt idx="0">
                  <c:v>0</c:v>
                </c:pt>
                <c:pt idx="1">
                  <c:v>0.1</c:v>
                </c:pt>
                <c:pt idx="2">
                  <c:v>0.5</c:v>
                </c:pt>
                <c:pt idx="3">
                  <c:v>1</c:v>
                </c:pt>
                <c:pt idx="4">
                  <c:v>1.5</c:v>
                </c:pt>
                <c:pt idx="5">
                  <c:v>2</c:v>
                </c:pt>
                <c:pt idx="6">
                  <c:v>2.5</c:v>
                </c:pt>
                <c:pt idx="7">
                  <c:v>3</c:v>
                </c:pt>
                <c:pt idx="8">
                  <c:v>3.5</c:v>
                </c:pt>
                <c:pt idx="9">
                  <c:v>4</c:v>
                </c:pt>
                <c:pt idx="10">
                  <c:v>4.5</c:v>
                </c:pt>
                <c:pt idx="11">
                  <c:v>5</c:v>
                </c:pt>
                <c:pt idx="12">
                  <c:v>5.5</c:v>
                </c:pt>
                <c:pt idx="13">
                  <c:v>6</c:v>
                </c:pt>
                <c:pt idx="14">
                  <c:v>6.5</c:v>
                </c:pt>
                <c:pt idx="15">
                  <c:v>7</c:v>
                </c:pt>
                <c:pt idx="16">
                  <c:v>7.5</c:v>
                </c:pt>
                <c:pt idx="17">
                  <c:v>8</c:v>
                </c:pt>
                <c:pt idx="18">
                  <c:v>8.5</c:v>
                </c:pt>
                <c:pt idx="19">
                  <c:v>9</c:v>
                </c:pt>
                <c:pt idx="20">
                  <c:v>9.5</c:v>
                </c:pt>
                <c:pt idx="21">
                  <c:v>10</c:v>
                </c:pt>
                <c:pt idx="22">
                  <c:v>10.5</c:v>
                </c:pt>
                <c:pt idx="23">
                  <c:v>11</c:v>
                </c:pt>
                <c:pt idx="24">
                  <c:v>11.5</c:v>
                </c:pt>
                <c:pt idx="25">
                  <c:v>12</c:v>
                </c:pt>
                <c:pt idx="26">
                  <c:v>12.5</c:v>
                </c:pt>
                <c:pt idx="27">
                  <c:v>13</c:v>
                </c:pt>
                <c:pt idx="28">
                  <c:v>13.5</c:v>
                </c:pt>
                <c:pt idx="29">
                  <c:v>14</c:v>
                </c:pt>
                <c:pt idx="30">
                  <c:v>14.5</c:v>
                </c:pt>
                <c:pt idx="31">
                  <c:v>15</c:v>
                </c:pt>
                <c:pt idx="32">
                  <c:v>15.5</c:v>
                </c:pt>
                <c:pt idx="33">
                  <c:v>16</c:v>
                </c:pt>
                <c:pt idx="34">
                  <c:v>16.5</c:v>
                </c:pt>
                <c:pt idx="35">
                  <c:v>17</c:v>
                </c:pt>
                <c:pt idx="36">
                  <c:v>17.5</c:v>
                </c:pt>
                <c:pt idx="37">
                  <c:v>18</c:v>
                </c:pt>
                <c:pt idx="38">
                  <c:v>18.5</c:v>
                </c:pt>
                <c:pt idx="39">
                  <c:v>19</c:v>
                </c:pt>
                <c:pt idx="40">
                  <c:v>19.5</c:v>
                </c:pt>
                <c:pt idx="41">
                  <c:v>20</c:v>
                </c:pt>
                <c:pt idx="42">
                  <c:v>20.5</c:v>
                </c:pt>
                <c:pt idx="43">
                  <c:v>21</c:v>
                </c:pt>
                <c:pt idx="44">
                  <c:v>21.5</c:v>
                </c:pt>
                <c:pt idx="45">
                  <c:v>22</c:v>
                </c:pt>
                <c:pt idx="46">
                  <c:v>22.5</c:v>
                </c:pt>
                <c:pt idx="47">
                  <c:v>23</c:v>
                </c:pt>
                <c:pt idx="48">
                  <c:v>23.5</c:v>
                </c:pt>
                <c:pt idx="49">
                  <c:v>24</c:v>
                </c:pt>
                <c:pt idx="50">
                  <c:v>24.5</c:v>
                </c:pt>
                <c:pt idx="51">
                  <c:v>25</c:v>
                </c:pt>
                <c:pt idx="52">
                  <c:v>25.5</c:v>
                </c:pt>
                <c:pt idx="53">
                  <c:v>26</c:v>
                </c:pt>
                <c:pt idx="54">
                  <c:v>26.5</c:v>
                </c:pt>
                <c:pt idx="55">
                  <c:v>27</c:v>
                </c:pt>
                <c:pt idx="56">
                  <c:v>27.5</c:v>
                </c:pt>
                <c:pt idx="57">
                  <c:v>28</c:v>
                </c:pt>
                <c:pt idx="58">
                  <c:v>28.5</c:v>
                </c:pt>
                <c:pt idx="59">
                  <c:v>29</c:v>
                </c:pt>
                <c:pt idx="60">
                  <c:v>29.5</c:v>
                </c:pt>
                <c:pt idx="61">
                  <c:v>30</c:v>
                </c:pt>
                <c:pt idx="62">
                  <c:v>32.5</c:v>
                </c:pt>
                <c:pt idx="63">
                  <c:v>35</c:v>
                </c:pt>
                <c:pt idx="64">
                  <c:v>37.5</c:v>
                </c:pt>
                <c:pt idx="65">
                  <c:v>40</c:v>
                </c:pt>
                <c:pt idx="66">
                  <c:v>42.5</c:v>
                </c:pt>
                <c:pt idx="67">
                  <c:v>45</c:v>
                </c:pt>
                <c:pt idx="68">
                  <c:v>47.5</c:v>
                </c:pt>
                <c:pt idx="69">
                  <c:v>50</c:v>
                </c:pt>
                <c:pt idx="70">
                  <c:v>52.5</c:v>
                </c:pt>
                <c:pt idx="71">
                  <c:v>55</c:v>
                </c:pt>
              </c:numCache>
            </c:numRef>
          </c:xVal>
          <c:yVal>
            <c:numRef>
              <c:f>'Box vs. Clad _ FeCrAl'!$N$2:$N$73</c:f>
              <c:numCache>
                <c:formatCode>General</c:formatCode>
                <c:ptCount val="72"/>
                <c:pt idx="0">
                  <c:v>-5.5955880155037302E-2</c:v>
                </c:pt>
                <c:pt idx="1">
                  <c:v>-5.4551558899384997E-2</c:v>
                </c:pt>
                <c:pt idx="2">
                  <c:v>-5.4327680073607998E-2</c:v>
                </c:pt>
                <c:pt idx="3">
                  <c:v>-5.4493276816679197E-2</c:v>
                </c:pt>
                <c:pt idx="4">
                  <c:v>-5.4861291996551299E-2</c:v>
                </c:pt>
                <c:pt idx="5">
                  <c:v>-5.5306371908436201E-2</c:v>
                </c:pt>
                <c:pt idx="6">
                  <c:v>-5.5825313174081397E-2</c:v>
                </c:pt>
                <c:pt idx="7">
                  <c:v>-5.64198301175542E-2</c:v>
                </c:pt>
                <c:pt idx="8">
                  <c:v>-5.7078400546278898E-2</c:v>
                </c:pt>
                <c:pt idx="9">
                  <c:v>-5.7798378210101399E-2</c:v>
                </c:pt>
                <c:pt idx="10">
                  <c:v>-5.8571900917532498E-2</c:v>
                </c:pt>
                <c:pt idx="11">
                  <c:v>-5.9398082965671499E-2</c:v>
                </c:pt>
                <c:pt idx="12">
                  <c:v>-6.0280792727833203E-2</c:v>
                </c:pt>
                <c:pt idx="13">
                  <c:v>-6.1209587048434398E-2</c:v>
                </c:pt>
                <c:pt idx="14">
                  <c:v>-6.2171352789248201E-2</c:v>
                </c:pt>
                <c:pt idx="15">
                  <c:v>-6.3160983682265998E-2</c:v>
                </c:pt>
                <c:pt idx="16">
                  <c:v>-6.4169217966385098E-2</c:v>
                </c:pt>
                <c:pt idx="17">
                  <c:v>-6.5186496994259102E-2</c:v>
                </c:pt>
                <c:pt idx="18">
                  <c:v>-6.6201869119866696E-2</c:v>
                </c:pt>
                <c:pt idx="19">
                  <c:v>-6.7192156744240505E-2</c:v>
                </c:pt>
                <c:pt idx="20">
                  <c:v>-6.8157290103749296E-2</c:v>
                </c:pt>
                <c:pt idx="21">
                  <c:v>-6.9086848347221105E-2</c:v>
                </c:pt>
                <c:pt idx="22">
                  <c:v>-6.99627109163794E-2</c:v>
                </c:pt>
                <c:pt idx="23">
                  <c:v>-7.0749144646658296E-2</c:v>
                </c:pt>
                <c:pt idx="24">
                  <c:v>-7.1426257322987102E-2</c:v>
                </c:pt>
                <c:pt idx="25">
                  <c:v>-7.1953941501941301E-2</c:v>
                </c:pt>
                <c:pt idx="26">
                  <c:v>-7.2335235793266797E-2</c:v>
                </c:pt>
                <c:pt idx="27">
                  <c:v>-7.2555608396934604E-2</c:v>
                </c:pt>
                <c:pt idx="28">
                  <c:v>-7.26581761821503E-2</c:v>
                </c:pt>
                <c:pt idx="29">
                  <c:v>-7.2620156350126502E-2</c:v>
                </c:pt>
                <c:pt idx="30">
                  <c:v>-7.2490998778980797E-2</c:v>
                </c:pt>
                <c:pt idx="31">
                  <c:v>-7.2289711746064605E-2</c:v>
                </c:pt>
                <c:pt idx="32">
                  <c:v>-7.2045002502395997E-2</c:v>
                </c:pt>
                <c:pt idx="33">
                  <c:v>-7.1796552365770205E-2</c:v>
                </c:pt>
                <c:pt idx="34">
                  <c:v>-7.15598800449367E-2</c:v>
                </c:pt>
                <c:pt idx="35">
                  <c:v>-7.1360177345591094E-2</c:v>
                </c:pt>
                <c:pt idx="36">
                  <c:v>-7.1190904791546494E-2</c:v>
                </c:pt>
                <c:pt idx="37">
                  <c:v>-7.1062947256451806E-2</c:v>
                </c:pt>
                <c:pt idx="38">
                  <c:v>-7.0963939476392193E-2</c:v>
                </c:pt>
                <c:pt idx="39">
                  <c:v>-7.08924402944872E-2</c:v>
                </c:pt>
                <c:pt idx="40">
                  <c:v>-7.0848153253709897E-2</c:v>
                </c:pt>
                <c:pt idx="41">
                  <c:v>-7.0820312909244398E-2</c:v>
                </c:pt>
                <c:pt idx="42">
                  <c:v>-7.0807274062415895E-2</c:v>
                </c:pt>
                <c:pt idx="43">
                  <c:v>-7.0803867718869498E-2</c:v>
                </c:pt>
                <c:pt idx="44">
                  <c:v>-7.0807939463326905E-2</c:v>
                </c:pt>
                <c:pt idx="45">
                  <c:v>-7.0816333046622396E-2</c:v>
                </c:pt>
                <c:pt idx="46">
                  <c:v>-7.0827019466138105E-2</c:v>
                </c:pt>
                <c:pt idx="47">
                  <c:v>-7.08408628345122E-2</c:v>
                </c:pt>
                <c:pt idx="48">
                  <c:v>-7.08539146525939E-2</c:v>
                </c:pt>
                <c:pt idx="49">
                  <c:v>-7.0865181969739899E-2</c:v>
                </c:pt>
                <c:pt idx="50">
                  <c:v>-7.0877603668080602E-2</c:v>
                </c:pt>
                <c:pt idx="51">
                  <c:v>-7.0886238995704703E-2</c:v>
                </c:pt>
                <c:pt idx="52">
                  <c:v>-7.0894026526444401E-2</c:v>
                </c:pt>
                <c:pt idx="53">
                  <c:v>-7.08978887833564E-2</c:v>
                </c:pt>
                <c:pt idx="54">
                  <c:v>-7.0901860434335301E-2</c:v>
                </c:pt>
                <c:pt idx="55">
                  <c:v>-7.0899830972757205E-2</c:v>
                </c:pt>
                <c:pt idx="56">
                  <c:v>-7.0895842956353497E-2</c:v>
                </c:pt>
                <c:pt idx="57">
                  <c:v>-7.0888858220253995E-2</c:v>
                </c:pt>
                <c:pt idx="58">
                  <c:v>-7.0879787594967394E-2</c:v>
                </c:pt>
                <c:pt idx="59">
                  <c:v>-7.0864514756365599E-2</c:v>
                </c:pt>
                <c:pt idx="60">
                  <c:v>-7.0847146395869101E-2</c:v>
                </c:pt>
                <c:pt idx="61">
                  <c:v>-7.0825449689895695E-2</c:v>
                </c:pt>
                <c:pt idx="62">
                  <c:v>-7.0526481880818406E-2</c:v>
                </c:pt>
                <c:pt idx="63">
                  <c:v>-7.0239238557164699E-2</c:v>
                </c:pt>
                <c:pt idx="64">
                  <c:v>-6.9837318814404206E-2</c:v>
                </c:pt>
                <c:pt idx="65">
                  <c:v>-6.9307936649714505E-2</c:v>
                </c:pt>
                <c:pt idx="66">
                  <c:v>-6.8657725915652806E-2</c:v>
                </c:pt>
                <c:pt idx="67">
                  <c:v>-6.7884414216833097E-2</c:v>
                </c:pt>
                <c:pt idx="68">
                  <c:v>-6.6998352615932302E-2</c:v>
                </c:pt>
                <c:pt idx="69">
                  <c:v>-6.6019579043332902E-2</c:v>
                </c:pt>
                <c:pt idx="70">
                  <c:v>-6.4974048209166801E-2</c:v>
                </c:pt>
                <c:pt idx="71">
                  <c:v>-6.3887642163193398E-2</c:v>
                </c:pt>
              </c:numCache>
            </c:numRef>
          </c:yVal>
          <c:smooth val="1"/>
        </c:ser>
        <c:ser>
          <c:idx val="2"/>
          <c:order val="2"/>
          <c:tx>
            <c:strRef>
              <c:f>'Box vs. Clad _ FeCrAl'!$O$1</c:f>
              <c:strCache>
                <c:ptCount val="1"/>
                <c:pt idx="0">
                  <c:v>All FeCrAl</c:v>
                </c:pt>
              </c:strCache>
            </c:strRef>
          </c:tx>
          <c:marker>
            <c:symbol val="triangle"/>
            <c:size val="5"/>
          </c:marker>
          <c:xVal>
            <c:numRef>
              <c:f>'Box vs. Clad _ FeCrAl'!$L$2:$L$73</c:f>
              <c:numCache>
                <c:formatCode>General</c:formatCode>
                <c:ptCount val="72"/>
                <c:pt idx="0">
                  <c:v>0</c:v>
                </c:pt>
                <c:pt idx="1">
                  <c:v>0.1</c:v>
                </c:pt>
                <c:pt idx="2">
                  <c:v>0.5</c:v>
                </c:pt>
                <c:pt idx="3">
                  <c:v>1</c:v>
                </c:pt>
                <c:pt idx="4">
                  <c:v>1.5</c:v>
                </c:pt>
                <c:pt idx="5">
                  <c:v>2</c:v>
                </c:pt>
                <c:pt idx="6">
                  <c:v>2.5</c:v>
                </c:pt>
                <c:pt idx="7">
                  <c:v>3</c:v>
                </c:pt>
                <c:pt idx="8">
                  <c:v>3.5</c:v>
                </c:pt>
                <c:pt idx="9">
                  <c:v>4</c:v>
                </c:pt>
                <c:pt idx="10">
                  <c:v>4.5</c:v>
                </c:pt>
                <c:pt idx="11">
                  <c:v>5</c:v>
                </c:pt>
                <c:pt idx="12">
                  <c:v>5.5</c:v>
                </c:pt>
                <c:pt idx="13">
                  <c:v>6</c:v>
                </c:pt>
                <c:pt idx="14">
                  <c:v>6.5</c:v>
                </c:pt>
                <c:pt idx="15">
                  <c:v>7</c:v>
                </c:pt>
                <c:pt idx="16">
                  <c:v>7.5</c:v>
                </c:pt>
                <c:pt idx="17">
                  <c:v>8</c:v>
                </c:pt>
                <c:pt idx="18">
                  <c:v>8.5</c:v>
                </c:pt>
                <c:pt idx="19">
                  <c:v>9</c:v>
                </c:pt>
                <c:pt idx="20">
                  <c:v>9.5</c:v>
                </c:pt>
                <c:pt idx="21">
                  <c:v>10</c:v>
                </c:pt>
                <c:pt idx="22">
                  <c:v>10.5</c:v>
                </c:pt>
                <c:pt idx="23">
                  <c:v>11</c:v>
                </c:pt>
                <c:pt idx="24">
                  <c:v>11.5</c:v>
                </c:pt>
                <c:pt idx="25">
                  <c:v>12</c:v>
                </c:pt>
                <c:pt idx="26">
                  <c:v>12.5</c:v>
                </c:pt>
                <c:pt idx="27">
                  <c:v>13</c:v>
                </c:pt>
                <c:pt idx="28">
                  <c:v>13.5</c:v>
                </c:pt>
                <c:pt idx="29">
                  <c:v>14</c:v>
                </c:pt>
                <c:pt idx="30">
                  <c:v>14.5</c:v>
                </c:pt>
                <c:pt idx="31">
                  <c:v>15</c:v>
                </c:pt>
                <c:pt idx="32">
                  <c:v>15.5</c:v>
                </c:pt>
                <c:pt idx="33">
                  <c:v>16</c:v>
                </c:pt>
                <c:pt idx="34">
                  <c:v>16.5</c:v>
                </c:pt>
                <c:pt idx="35">
                  <c:v>17</c:v>
                </c:pt>
                <c:pt idx="36">
                  <c:v>17.5</c:v>
                </c:pt>
                <c:pt idx="37">
                  <c:v>18</c:v>
                </c:pt>
                <c:pt idx="38">
                  <c:v>18.5</c:v>
                </c:pt>
                <c:pt idx="39">
                  <c:v>19</c:v>
                </c:pt>
                <c:pt idx="40">
                  <c:v>19.5</c:v>
                </c:pt>
                <c:pt idx="41">
                  <c:v>20</c:v>
                </c:pt>
                <c:pt idx="42">
                  <c:v>20.5</c:v>
                </c:pt>
                <c:pt idx="43">
                  <c:v>21</c:v>
                </c:pt>
                <c:pt idx="44">
                  <c:v>21.5</c:v>
                </c:pt>
                <c:pt idx="45">
                  <c:v>22</c:v>
                </c:pt>
                <c:pt idx="46">
                  <c:v>22.5</c:v>
                </c:pt>
                <c:pt idx="47">
                  <c:v>23</c:v>
                </c:pt>
                <c:pt idx="48">
                  <c:v>23.5</c:v>
                </c:pt>
                <c:pt idx="49">
                  <c:v>24</c:v>
                </c:pt>
                <c:pt idx="50">
                  <c:v>24.5</c:v>
                </c:pt>
                <c:pt idx="51">
                  <c:v>25</c:v>
                </c:pt>
                <c:pt idx="52">
                  <c:v>25.5</c:v>
                </c:pt>
                <c:pt idx="53">
                  <c:v>26</c:v>
                </c:pt>
                <c:pt idx="54">
                  <c:v>26.5</c:v>
                </c:pt>
                <c:pt idx="55">
                  <c:v>27</c:v>
                </c:pt>
                <c:pt idx="56">
                  <c:v>27.5</c:v>
                </c:pt>
                <c:pt idx="57">
                  <c:v>28</c:v>
                </c:pt>
                <c:pt idx="58">
                  <c:v>28.5</c:v>
                </c:pt>
                <c:pt idx="59">
                  <c:v>29</c:v>
                </c:pt>
                <c:pt idx="60">
                  <c:v>29.5</c:v>
                </c:pt>
                <c:pt idx="61">
                  <c:v>30</c:v>
                </c:pt>
                <c:pt idx="62">
                  <c:v>32.5</c:v>
                </c:pt>
                <c:pt idx="63">
                  <c:v>35</c:v>
                </c:pt>
                <c:pt idx="64">
                  <c:v>37.5</c:v>
                </c:pt>
                <c:pt idx="65">
                  <c:v>40</c:v>
                </c:pt>
                <c:pt idx="66">
                  <c:v>42.5</c:v>
                </c:pt>
                <c:pt idx="67">
                  <c:v>45</c:v>
                </c:pt>
                <c:pt idx="68">
                  <c:v>47.5</c:v>
                </c:pt>
                <c:pt idx="69">
                  <c:v>50</c:v>
                </c:pt>
                <c:pt idx="70">
                  <c:v>52.5</c:v>
                </c:pt>
                <c:pt idx="71">
                  <c:v>55</c:v>
                </c:pt>
              </c:numCache>
            </c:numRef>
          </c:xVal>
          <c:yVal>
            <c:numRef>
              <c:f>'Box vs. Clad _ FeCrAl'!$O$2:$O$73</c:f>
              <c:numCache>
                <c:formatCode>General</c:formatCode>
                <c:ptCount val="72"/>
                <c:pt idx="0">
                  <c:v>-0.120648990665739</c:v>
                </c:pt>
                <c:pt idx="1">
                  <c:v>-0.118020580029949</c:v>
                </c:pt>
                <c:pt idx="2">
                  <c:v>-0.117118154465399</c:v>
                </c:pt>
                <c:pt idx="3">
                  <c:v>-0.11666808109147001</c:v>
                </c:pt>
                <c:pt idx="4">
                  <c:v>-0.11650694090677501</c:v>
                </c:pt>
                <c:pt idx="5">
                  <c:v>-0.116485185871966</c:v>
                </c:pt>
                <c:pt idx="6">
                  <c:v>-0.116593018532447</c:v>
                </c:pt>
                <c:pt idx="7">
                  <c:v>-0.116827258872797</c:v>
                </c:pt>
                <c:pt idx="8">
                  <c:v>-0.117172211110097</c:v>
                </c:pt>
                <c:pt idx="9">
                  <c:v>-0.11761775477566699</c:v>
                </c:pt>
                <c:pt idx="10">
                  <c:v>-0.118160685421526</c:v>
                </c:pt>
                <c:pt idx="11">
                  <c:v>-0.118795603583634</c:v>
                </c:pt>
                <c:pt idx="12">
                  <c:v>-0.11952787246122901</c:v>
                </c:pt>
                <c:pt idx="13">
                  <c:v>-0.12034553540222</c:v>
                </c:pt>
                <c:pt idx="14">
                  <c:v>-0.12123809606269401</c:v>
                </c:pt>
                <c:pt idx="15">
                  <c:v>-0.12219713104304999</c:v>
                </c:pt>
                <c:pt idx="16">
                  <c:v>-0.123210507016646</c:v>
                </c:pt>
                <c:pt idx="17">
                  <c:v>-0.12426643429753199</c:v>
                </c:pt>
                <c:pt idx="18">
                  <c:v>-0.125347798727834</c:v>
                </c:pt>
                <c:pt idx="19">
                  <c:v>-0.12642406333051701</c:v>
                </c:pt>
                <c:pt idx="20">
                  <c:v>-0.12748734165903999</c:v>
                </c:pt>
                <c:pt idx="21">
                  <c:v>-0.12852668102551401</c:v>
                </c:pt>
                <c:pt idx="22">
                  <c:v>-0.129501382454043</c:v>
                </c:pt>
                <c:pt idx="23">
                  <c:v>-0.13038583592196101</c:v>
                </c:pt>
                <c:pt idx="24">
                  <c:v>-0.13114524244835701</c:v>
                </c:pt>
                <c:pt idx="25">
                  <c:v>-0.13174549065524499</c:v>
                </c:pt>
                <c:pt idx="26">
                  <c:v>-0.13220449304814599</c:v>
                </c:pt>
                <c:pt idx="27">
                  <c:v>-0.13247368421052599</c:v>
                </c:pt>
                <c:pt idx="28">
                  <c:v>-0.13260571879925201</c:v>
                </c:pt>
                <c:pt idx="29">
                  <c:v>-0.132585383137626</c:v>
                </c:pt>
                <c:pt idx="30">
                  <c:v>-0.13244718223709301</c:v>
                </c:pt>
                <c:pt idx="31">
                  <c:v>-0.13222321541642801</c:v>
                </c:pt>
                <c:pt idx="32">
                  <c:v>-0.13193573090767</c:v>
                </c:pt>
                <c:pt idx="33">
                  <c:v>-0.13162757587598101</c:v>
                </c:pt>
                <c:pt idx="34">
                  <c:v>-0.13132097104111601</c:v>
                </c:pt>
                <c:pt idx="35">
                  <c:v>-0.13103612433492001</c:v>
                </c:pt>
                <c:pt idx="36">
                  <c:v>-0.13077389186136601</c:v>
                </c:pt>
                <c:pt idx="37">
                  <c:v>-0.130538860249717</c:v>
                </c:pt>
                <c:pt idx="38">
                  <c:v>-0.13033040341553301</c:v>
                </c:pt>
                <c:pt idx="39">
                  <c:v>-0.1301412862436</c:v>
                </c:pt>
                <c:pt idx="40">
                  <c:v>-0.12997900176141899</c:v>
                </c:pt>
                <c:pt idx="41">
                  <c:v>-0.129825214366491</c:v>
                </c:pt>
                <c:pt idx="42">
                  <c:v>-0.12968710027604</c:v>
                </c:pt>
                <c:pt idx="43">
                  <c:v>-0.12955539586477899</c:v>
                </c:pt>
                <c:pt idx="44">
                  <c:v>-0.12942917331113099</c:v>
                </c:pt>
                <c:pt idx="45">
                  <c:v>-0.12930652414466001</c:v>
                </c:pt>
                <c:pt idx="46">
                  <c:v>-0.12918322037859301</c:v>
                </c:pt>
                <c:pt idx="47">
                  <c:v>-0.12906083268396501</c:v>
                </c:pt>
                <c:pt idx="48">
                  <c:v>-0.128935923740711</c:v>
                </c:pt>
                <c:pt idx="49">
                  <c:v>-0.128808340003391</c:v>
                </c:pt>
                <c:pt idx="50">
                  <c:v>-0.12867929794556099</c:v>
                </c:pt>
                <c:pt idx="51">
                  <c:v>-0.12854628518955399</c:v>
                </c:pt>
                <c:pt idx="52">
                  <c:v>-0.12841025661495001</c:v>
                </c:pt>
                <c:pt idx="53">
                  <c:v>-0.12826730178260601</c:v>
                </c:pt>
                <c:pt idx="54">
                  <c:v>-0.12812250051561699</c:v>
                </c:pt>
                <c:pt idx="55">
                  <c:v>-0.12797039680046199</c:v>
                </c:pt>
                <c:pt idx="56">
                  <c:v>-0.12781421014459701</c:v>
                </c:pt>
                <c:pt idx="57">
                  <c:v>-0.12765274818396999</c:v>
                </c:pt>
                <c:pt idx="58">
                  <c:v>-0.127486083455292</c:v>
                </c:pt>
                <c:pt idx="59">
                  <c:v>-0.127312870331386</c:v>
                </c:pt>
                <c:pt idx="60">
                  <c:v>-0.12713406743431399</c:v>
                </c:pt>
                <c:pt idx="61">
                  <c:v>-0.12694884192870401</c:v>
                </c:pt>
                <c:pt idx="62">
                  <c:v>-0.12574979392555999</c:v>
                </c:pt>
                <c:pt idx="63">
                  <c:v>-0.12456493250858799</c:v>
                </c:pt>
                <c:pt idx="64">
                  <c:v>-0.123211329494021</c:v>
                </c:pt>
                <c:pt idx="65">
                  <c:v>-0.12168746419866799</c:v>
                </c:pt>
                <c:pt idx="66">
                  <c:v>-0.119999037477641</c:v>
                </c:pt>
                <c:pt idx="67">
                  <c:v>-0.118157562895085</c:v>
                </c:pt>
                <c:pt idx="68">
                  <c:v>-0.116191728982876</c:v>
                </c:pt>
                <c:pt idx="69">
                  <c:v>-0.114125326941431</c:v>
                </c:pt>
                <c:pt idx="70">
                  <c:v>-0.112000781656791</c:v>
                </c:pt>
                <c:pt idx="71">
                  <c:v>-0.109871446718561</c:v>
                </c:pt>
              </c:numCache>
            </c:numRef>
          </c:yVal>
          <c:smooth val="1"/>
        </c:ser>
        <c:dLbls>
          <c:showLegendKey val="0"/>
          <c:showVal val="0"/>
          <c:showCatName val="0"/>
          <c:showSerName val="0"/>
          <c:showPercent val="0"/>
          <c:showBubbleSize val="0"/>
        </c:dLbls>
        <c:axId val="111970176"/>
        <c:axId val="111976448"/>
      </c:scatterChart>
      <c:valAx>
        <c:axId val="111970176"/>
        <c:scaling>
          <c:orientation val="minMax"/>
        </c:scaling>
        <c:delete val="0"/>
        <c:axPos val="b"/>
        <c:majorGridlines>
          <c:spPr>
            <a:ln>
              <a:prstDash val="sysDash"/>
            </a:ln>
          </c:spPr>
        </c:majorGridlines>
        <c:title>
          <c:tx>
            <c:rich>
              <a:bodyPr/>
              <a:lstStyle/>
              <a:p>
                <a:pPr>
                  <a:defRPr/>
                </a:pPr>
                <a:r>
                  <a:rPr lang="en-US"/>
                  <a:t>Burnup (GWd/tHM)</a:t>
                </a:r>
              </a:p>
            </c:rich>
          </c:tx>
          <c:layout/>
          <c:overlay val="0"/>
        </c:title>
        <c:numFmt formatCode="General" sourceLinked="1"/>
        <c:majorTickMark val="out"/>
        <c:minorTickMark val="none"/>
        <c:tickLblPos val="low"/>
        <c:crossAx val="111976448"/>
        <c:crosses val="autoZero"/>
        <c:crossBetween val="midCat"/>
        <c:majorUnit val="10"/>
      </c:valAx>
      <c:valAx>
        <c:axId val="111976448"/>
        <c:scaling>
          <c:orientation val="minMax"/>
          <c:min val="-0.15"/>
        </c:scaling>
        <c:delete val="0"/>
        <c:axPos val="l"/>
        <c:majorGridlines>
          <c:spPr>
            <a:ln>
              <a:solidFill>
                <a:schemeClr val="bg1">
                  <a:lumMod val="50000"/>
                </a:schemeClr>
              </a:solidFill>
              <a:prstDash val="sysDash"/>
            </a:ln>
          </c:spPr>
        </c:majorGridlines>
        <c:minorGridlines>
          <c:spPr>
            <a:ln>
              <a:solidFill>
                <a:schemeClr val="bg1">
                  <a:lumMod val="75000"/>
                </a:schemeClr>
              </a:solidFill>
              <a:prstDash val="sysDash"/>
            </a:ln>
          </c:spPr>
        </c:minorGridlines>
        <c:title>
          <c:tx>
            <c:rich>
              <a:bodyPr rot="-5400000" vert="horz"/>
              <a:lstStyle/>
              <a:p>
                <a:pPr>
                  <a:defRPr/>
                </a:pPr>
                <a:r>
                  <a:rPr lang="el-GR"/>
                  <a:t>Δ</a:t>
                </a:r>
                <a:r>
                  <a:rPr lang="en-US"/>
                  <a:t>k-infinity (%)</a:t>
                </a:r>
              </a:p>
            </c:rich>
          </c:tx>
          <c:layout/>
          <c:overlay val="0"/>
        </c:title>
        <c:numFmt formatCode="0%" sourceLinked="0"/>
        <c:majorTickMark val="out"/>
        <c:minorTickMark val="none"/>
        <c:tickLblPos val="nextTo"/>
        <c:crossAx val="111970176"/>
        <c:crosses val="autoZero"/>
        <c:crossBetween val="midCat"/>
        <c:majorUnit val="0.05"/>
      </c:valAx>
      <c:spPr>
        <a:ln>
          <a:solidFill>
            <a:sysClr val="windowText" lastClr="000000"/>
          </a:solidFill>
        </a:ln>
      </c:spPr>
    </c:plotArea>
    <c:legend>
      <c:legendPos val="r"/>
      <c:layout>
        <c:manualLayout>
          <c:xMode val="edge"/>
          <c:yMode val="edge"/>
          <c:x val="0.51066903401780706"/>
          <c:y val="3.1831437736949603E-2"/>
          <c:w val="0.354207194688899"/>
          <c:h val="0.170923711561594"/>
        </c:manualLayout>
      </c:layout>
      <c:overlay val="0"/>
      <c:spPr>
        <a:solidFill>
          <a:schemeClr val="bg1"/>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64173908793839"/>
          <c:y val="2.6167541240086099E-2"/>
          <c:w val="0.77960744582267405"/>
          <c:h val="0.81746872376993496"/>
        </c:manualLayout>
      </c:layout>
      <c:scatterChart>
        <c:scatterStyle val="smoothMarker"/>
        <c:varyColors val="0"/>
        <c:ser>
          <c:idx val="0"/>
          <c:order val="0"/>
          <c:tx>
            <c:strRef>
              <c:f>Sheet2!$F$1</c:f>
              <c:strCache>
                <c:ptCount val="1"/>
                <c:pt idx="0">
                  <c:v>FeCrAl</c:v>
                </c:pt>
              </c:strCache>
            </c:strRef>
          </c:tx>
          <c:marker>
            <c:symbol val="none"/>
          </c:marker>
          <c:xVal>
            <c:numRef>
              <c:f>Sheet2!$B$2:$B$41</c:f>
              <c:numCache>
                <c:formatCode>General</c:formatCode>
                <c:ptCount val="40"/>
                <c:pt idx="0" formatCode="0.00E+00">
                  <c:v>10000000</c:v>
                </c:pt>
                <c:pt idx="1">
                  <c:v>6065500</c:v>
                </c:pt>
                <c:pt idx="2">
                  <c:v>3679000</c:v>
                </c:pt>
                <c:pt idx="3">
                  <c:v>2231000</c:v>
                </c:pt>
                <c:pt idx="4">
                  <c:v>1353000</c:v>
                </c:pt>
                <c:pt idx="5">
                  <c:v>821000</c:v>
                </c:pt>
                <c:pt idx="6">
                  <c:v>500000</c:v>
                </c:pt>
                <c:pt idx="7">
                  <c:v>111000</c:v>
                </c:pt>
                <c:pt idx="8">
                  <c:v>9118</c:v>
                </c:pt>
                <c:pt idx="9">
                  <c:v>5530</c:v>
                </c:pt>
                <c:pt idx="10">
                  <c:v>148.72800000000001</c:v>
                </c:pt>
                <c:pt idx="11">
                  <c:v>48.052</c:v>
                </c:pt>
                <c:pt idx="12">
                  <c:v>27.7</c:v>
                </c:pt>
                <c:pt idx="13">
                  <c:v>15.968</c:v>
                </c:pt>
                <c:pt idx="14">
                  <c:v>9.8770000000000007</c:v>
                </c:pt>
                <c:pt idx="15">
                  <c:v>4</c:v>
                </c:pt>
                <c:pt idx="16">
                  <c:v>3.3</c:v>
                </c:pt>
                <c:pt idx="17">
                  <c:v>2.6</c:v>
                </c:pt>
                <c:pt idx="18">
                  <c:v>2.1</c:v>
                </c:pt>
                <c:pt idx="19">
                  <c:v>1.855</c:v>
                </c:pt>
                <c:pt idx="20">
                  <c:v>1.5</c:v>
                </c:pt>
                <c:pt idx="21">
                  <c:v>1.3</c:v>
                </c:pt>
                <c:pt idx="22">
                  <c:v>1.1499999999999999</c:v>
                </c:pt>
                <c:pt idx="23">
                  <c:v>1.097</c:v>
                </c:pt>
                <c:pt idx="24">
                  <c:v>1.02</c:v>
                </c:pt>
                <c:pt idx="25">
                  <c:v>0.97199999999999998</c:v>
                </c:pt>
                <c:pt idx="26">
                  <c:v>0.95</c:v>
                </c:pt>
                <c:pt idx="27">
                  <c:v>0.85</c:v>
                </c:pt>
                <c:pt idx="28">
                  <c:v>0.625</c:v>
                </c:pt>
                <c:pt idx="29">
                  <c:v>0.35</c:v>
                </c:pt>
                <c:pt idx="30">
                  <c:v>0.28000000000000003</c:v>
                </c:pt>
                <c:pt idx="31">
                  <c:v>0.22</c:v>
                </c:pt>
                <c:pt idx="32">
                  <c:v>0.18</c:v>
                </c:pt>
                <c:pt idx="33">
                  <c:v>0.14000000000000001</c:v>
                </c:pt>
                <c:pt idx="34">
                  <c:v>0.1</c:v>
                </c:pt>
                <c:pt idx="35">
                  <c:v>0.08</c:v>
                </c:pt>
                <c:pt idx="36">
                  <c:v>5.8000000000000003E-2</c:v>
                </c:pt>
                <c:pt idx="37">
                  <c:v>4.2000000000000003E-2</c:v>
                </c:pt>
                <c:pt idx="38">
                  <c:v>0.03</c:v>
                </c:pt>
                <c:pt idx="39">
                  <c:v>1.4999999999999999E-2</c:v>
                </c:pt>
              </c:numCache>
            </c:numRef>
          </c:xVal>
          <c:yVal>
            <c:numRef>
              <c:f>Sheet2!$F$2:$F$41</c:f>
              <c:numCache>
                <c:formatCode>0.00E+00</c:formatCode>
                <c:ptCount val="40"/>
                <c:pt idx="0">
                  <c:v>1.5560739591256799E-2</c:v>
                </c:pt>
                <c:pt idx="1">
                  <c:v>6.5238375463704798E-2</c:v>
                </c:pt>
                <c:pt idx="2">
                  <c:v>0.14854397264428201</c:v>
                </c:pt>
                <c:pt idx="3">
                  <c:v>0.16300426200068399</c:v>
                </c:pt>
                <c:pt idx="4">
                  <c:v>0.15488235013201401</c:v>
                </c:pt>
                <c:pt idx="5">
                  <c:v>0.15458536686555499</c:v>
                </c:pt>
                <c:pt idx="6">
                  <c:v>0.104376805274913</c:v>
                </c:pt>
                <c:pt idx="7">
                  <c:v>6.6895200097515498E-2</c:v>
                </c:pt>
                <c:pt idx="8">
                  <c:v>3.7205545475810599E-2</c:v>
                </c:pt>
                <c:pt idx="9">
                  <c:v>6.3673809324762201E-2</c:v>
                </c:pt>
                <c:pt idx="10">
                  <c:v>3.1964408775216099E-2</c:v>
                </c:pt>
                <c:pt idx="11">
                  <c:v>2.70210304276821E-2</c:v>
                </c:pt>
                <c:pt idx="12">
                  <c:v>2.4689052152852799E-2</c:v>
                </c:pt>
                <c:pt idx="13">
                  <c:v>2.5575767644205299E-2</c:v>
                </c:pt>
                <c:pt idx="14">
                  <c:v>2.3006663182030401E-2</c:v>
                </c:pt>
                <c:pt idx="15">
                  <c:v>2.3890756570849599E-2</c:v>
                </c:pt>
                <c:pt idx="16">
                  <c:v>2.3801070638448302E-2</c:v>
                </c:pt>
                <c:pt idx="17">
                  <c:v>2.4097310417283298E-2</c:v>
                </c:pt>
                <c:pt idx="18">
                  <c:v>2.37529171176959E-2</c:v>
                </c:pt>
                <c:pt idx="19">
                  <c:v>2.4832780742479198E-2</c:v>
                </c:pt>
                <c:pt idx="20">
                  <c:v>2.4947856328734599E-2</c:v>
                </c:pt>
                <c:pt idx="21">
                  <c:v>2.43213798489989E-2</c:v>
                </c:pt>
                <c:pt idx="22">
                  <c:v>2.3785600222164201E-2</c:v>
                </c:pt>
                <c:pt idx="23">
                  <c:v>2.3999018210592998E-2</c:v>
                </c:pt>
                <c:pt idx="24">
                  <c:v>2.4377334204008401E-2</c:v>
                </c:pt>
                <c:pt idx="25">
                  <c:v>2.4570777996994399E-2</c:v>
                </c:pt>
                <c:pt idx="26">
                  <c:v>2.4838870304291299E-2</c:v>
                </c:pt>
                <c:pt idx="27">
                  <c:v>2.5632583129469901E-2</c:v>
                </c:pt>
                <c:pt idx="28">
                  <c:v>2.7487942028958798E-2</c:v>
                </c:pt>
                <c:pt idx="29">
                  <c:v>3.0512382489084899E-2</c:v>
                </c:pt>
                <c:pt idx="30">
                  <c:v>3.7776478292920003E-2</c:v>
                </c:pt>
                <c:pt idx="31">
                  <c:v>4.7046717029431299E-2</c:v>
                </c:pt>
                <c:pt idx="32">
                  <c:v>5.5295925759699299E-2</c:v>
                </c:pt>
                <c:pt idx="33">
                  <c:v>6.02710912003111E-2</c:v>
                </c:pt>
                <c:pt idx="34">
                  <c:v>5.7485058776416402E-2</c:v>
                </c:pt>
                <c:pt idx="35">
                  <c:v>4.9804592613289199E-2</c:v>
                </c:pt>
                <c:pt idx="36">
                  <c:v>3.6408556739519399E-2</c:v>
                </c:pt>
                <c:pt idx="37">
                  <c:v>2.4211209586298899E-2</c:v>
                </c:pt>
                <c:pt idx="38">
                  <c:v>1.1836129211542999E-2</c:v>
                </c:pt>
                <c:pt idx="39">
                  <c:v>1.6461417235978399E-3</c:v>
                </c:pt>
              </c:numCache>
            </c:numRef>
          </c:yVal>
          <c:smooth val="1"/>
        </c:ser>
        <c:ser>
          <c:idx val="1"/>
          <c:order val="1"/>
          <c:tx>
            <c:strRef>
              <c:f>Sheet2!$G$1</c:f>
              <c:strCache>
                <c:ptCount val="1"/>
                <c:pt idx="0">
                  <c:v>Zircaloy-4</c:v>
                </c:pt>
              </c:strCache>
            </c:strRef>
          </c:tx>
          <c:marker>
            <c:symbol val="none"/>
          </c:marker>
          <c:xVal>
            <c:numRef>
              <c:f>Sheet2!$B$2:$B$41</c:f>
              <c:numCache>
                <c:formatCode>General</c:formatCode>
                <c:ptCount val="40"/>
                <c:pt idx="0" formatCode="0.00E+00">
                  <c:v>10000000</c:v>
                </c:pt>
                <c:pt idx="1">
                  <c:v>6065500</c:v>
                </c:pt>
                <c:pt idx="2">
                  <c:v>3679000</c:v>
                </c:pt>
                <c:pt idx="3">
                  <c:v>2231000</c:v>
                </c:pt>
                <c:pt idx="4">
                  <c:v>1353000</c:v>
                </c:pt>
                <c:pt idx="5">
                  <c:v>821000</c:v>
                </c:pt>
                <c:pt idx="6">
                  <c:v>500000</c:v>
                </c:pt>
                <c:pt idx="7">
                  <c:v>111000</c:v>
                </c:pt>
                <c:pt idx="8">
                  <c:v>9118</c:v>
                </c:pt>
                <c:pt idx="9">
                  <c:v>5530</c:v>
                </c:pt>
                <c:pt idx="10">
                  <c:v>148.72800000000001</c:v>
                </c:pt>
                <c:pt idx="11">
                  <c:v>48.052</c:v>
                </c:pt>
                <c:pt idx="12">
                  <c:v>27.7</c:v>
                </c:pt>
                <c:pt idx="13">
                  <c:v>15.968</c:v>
                </c:pt>
                <c:pt idx="14">
                  <c:v>9.8770000000000007</c:v>
                </c:pt>
                <c:pt idx="15">
                  <c:v>4</c:v>
                </c:pt>
                <c:pt idx="16">
                  <c:v>3.3</c:v>
                </c:pt>
                <c:pt idx="17">
                  <c:v>2.6</c:v>
                </c:pt>
                <c:pt idx="18">
                  <c:v>2.1</c:v>
                </c:pt>
                <c:pt idx="19">
                  <c:v>1.855</c:v>
                </c:pt>
                <c:pt idx="20">
                  <c:v>1.5</c:v>
                </c:pt>
                <c:pt idx="21">
                  <c:v>1.3</c:v>
                </c:pt>
                <c:pt idx="22">
                  <c:v>1.1499999999999999</c:v>
                </c:pt>
                <c:pt idx="23">
                  <c:v>1.097</c:v>
                </c:pt>
                <c:pt idx="24">
                  <c:v>1.02</c:v>
                </c:pt>
                <c:pt idx="25">
                  <c:v>0.97199999999999998</c:v>
                </c:pt>
                <c:pt idx="26">
                  <c:v>0.95</c:v>
                </c:pt>
                <c:pt idx="27">
                  <c:v>0.85</c:v>
                </c:pt>
                <c:pt idx="28">
                  <c:v>0.625</c:v>
                </c:pt>
                <c:pt idx="29">
                  <c:v>0.35</c:v>
                </c:pt>
                <c:pt idx="30">
                  <c:v>0.28000000000000003</c:v>
                </c:pt>
                <c:pt idx="31">
                  <c:v>0.22</c:v>
                </c:pt>
                <c:pt idx="32">
                  <c:v>0.18</c:v>
                </c:pt>
                <c:pt idx="33">
                  <c:v>0.14000000000000001</c:v>
                </c:pt>
                <c:pt idx="34">
                  <c:v>0.1</c:v>
                </c:pt>
                <c:pt idx="35">
                  <c:v>0.08</c:v>
                </c:pt>
                <c:pt idx="36">
                  <c:v>5.8000000000000003E-2</c:v>
                </c:pt>
                <c:pt idx="37">
                  <c:v>4.2000000000000003E-2</c:v>
                </c:pt>
                <c:pt idx="38">
                  <c:v>0.03</c:v>
                </c:pt>
                <c:pt idx="39">
                  <c:v>1.4999999999999999E-2</c:v>
                </c:pt>
              </c:numCache>
            </c:numRef>
          </c:xVal>
          <c:yVal>
            <c:numRef>
              <c:f>Sheet2!$G$2:$G$41</c:f>
              <c:numCache>
                <c:formatCode>General</c:formatCode>
                <c:ptCount val="40"/>
                <c:pt idx="0">
                  <c:v>1.5127670984471099E-2</c:v>
                </c:pt>
                <c:pt idx="1">
                  <c:v>6.3155650051891499E-2</c:v>
                </c:pt>
                <c:pt idx="2">
                  <c:v>0.141757593940149</c:v>
                </c:pt>
                <c:pt idx="3">
                  <c:v>0.158256900684663</c:v>
                </c:pt>
                <c:pt idx="4">
                  <c:v>0.149466626769271</c:v>
                </c:pt>
                <c:pt idx="5">
                  <c:v>0.14700339729765299</c:v>
                </c:pt>
                <c:pt idx="6">
                  <c:v>9.9004392971611496E-2</c:v>
                </c:pt>
                <c:pt idx="7">
                  <c:v>6.3351094003666994E-2</c:v>
                </c:pt>
                <c:pt idx="8">
                  <c:v>3.5581492521970799E-2</c:v>
                </c:pt>
                <c:pt idx="9">
                  <c:v>6.0830801368689201E-2</c:v>
                </c:pt>
                <c:pt idx="10">
                  <c:v>3.10591554627428E-2</c:v>
                </c:pt>
                <c:pt idx="11">
                  <c:v>2.65809144149462E-2</c:v>
                </c:pt>
                <c:pt idx="12">
                  <c:v>2.4536943523491998E-2</c:v>
                </c:pt>
                <c:pt idx="13">
                  <c:v>2.5414724806280101E-2</c:v>
                </c:pt>
                <c:pt idx="14">
                  <c:v>2.3163919624279002E-2</c:v>
                </c:pt>
                <c:pt idx="15">
                  <c:v>2.4040200901374601E-2</c:v>
                </c:pt>
                <c:pt idx="16">
                  <c:v>2.3946420859431099E-2</c:v>
                </c:pt>
                <c:pt idx="17">
                  <c:v>2.4228844030627101E-2</c:v>
                </c:pt>
                <c:pt idx="18">
                  <c:v>2.3988955846220801E-2</c:v>
                </c:pt>
                <c:pt idx="19">
                  <c:v>2.5007992022169599E-2</c:v>
                </c:pt>
                <c:pt idx="20">
                  <c:v>2.5178539724761501E-2</c:v>
                </c:pt>
                <c:pt idx="21">
                  <c:v>2.4742816457609999E-2</c:v>
                </c:pt>
                <c:pt idx="22">
                  <c:v>2.4372361953449499E-2</c:v>
                </c:pt>
                <c:pt idx="23">
                  <c:v>2.4588022822004101E-2</c:v>
                </c:pt>
                <c:pt idx="24">
                  <c:v>2.49464428715181E-2</c:v>
                </c:pt>
                <c:pt idx="25">
                  <c:v>2.5137283727660699E-2</c:v>
                </c:pt>
                <c:pt idx="26">
                  <c:v>2.5429853112093798E-2</c:v>
                </c:pt>
                <c:pt idx="27">
                  <c:v>2.6353211962406E-2</c:v>
                </c:pt>
                <c:pt idx="28">
                  <c:v>2.9020185183997401E-2</c:v>
                </c:pt>
                <c:pt idx="29">
                  <c:v>3.4181172082143198E-2</c:v>
                </c:pt>
                <c:pt idx="30">
                  <c:v>4.43009620698731E-2</c:v>
                </c:pt>
                <c:pt idx="31">
                  <c:v>5.7065816515859E-2</c:v>
                </c:pt>
                <c:pt idx="32">
                  <c:v>6.8818438172526905E-2</c:v>
                </c:pt>
                <c:pt idx="33">
                  <c:v>7.6774812258208106E-2</c:v>
                </c:pt>
                <c:pt idx="34">
                  <c:v>7.4301559274124296E-2</c:v>
                </c:pt>
                <c:pt idx="35">
                  <c:v>6.5032578464540997E-2</c:v>
                </c:pt>
                <c:pt idx="36">
                  <c:v>4.7973436970754402E-2</c:v>
                </c:pt>
                <c:pt idx="37">
                  <c:v>3.2099407888164101E-2</c:v>
                </c:pt>
                <c:pt idx="38">
                  <c:v>1.57800447402222E-2</c:v>
                </c:pt>
                <c:pt idx="39">
                  <c:v>2.20694503037324E-3</c:v>
                </c:pt>
              </c:numCache>
            </c:numRef>
          </c:yVal>
          <c:smooth val="1"/>
        </c:ser>
        <c:dLbls>
          <c:showLegendKey val="0"/>
          <c:showVal val="0"/>
          <c:showCatName val="0"/>
          <c:showSerName val="0"/>
          <c:showPercent val="0"/>
          <c:showBubbleSize val="0"/>
        </c:dLbls>
        <c:axId val="115917568"/>
        <c:axId val="115919488"/>
      </c:scatterChart>
      <c:valAx>
        <c:axId val="115917568"/>
        <c:scaling>
          <c:logBase val="10"/>
          <c:orientation val="minMax"/>
        </c:scaling>
        <c:delete val="0"/>
        <c:axPos val="b"/>
        <c:minorGridlines>
          <c:spPr>
            <a:ln>
              <a:prstDash val="dash"/>
            </a:ln>
          </c:spPr>
        </c:minorGridlines>
        <c:title>
          <c:tx>
            <c:rich>
              <a:bodyPr/>
              <a:lstStyle/>
              <a:p>
                <a:pPr>
                  <a:defRPr/>
                </a:pPr>
                <a:r>
                  <a:rPr lang="en-US"/>
                  <a:t>Neutron Energy [eV]</a:t>
                </a:r>
              </a:p>
            </c:rich>
          </c:tx>
          <c:layout/>
          <c:overlay val="0"/>
        </c:title>
        <c:numFmt formatCode="0.E+00" sourceLinked="0"/>
        <c:majorTickMark val="out"/>
        <c:minorTickMark val="none"/>
        <c:tickLblPos val="nextTo"/>
        <c:crossAx val="115919488"/>
        <c:crossesAt val="1E-3"/>
        <c:crossBetween val="midCat"/>
      </c:valAx>
      <c:valAx>
        <c:axId val="115919488"/>
        <c:scaling>
          <c:orientation val="minMax"/>
        </c:scaling>
        <c:delete val="0"/>
        <c:axPos val="l"/>
        <c:majorGridlines>
          <c:spPr>
            <a:ln w="3175">
              <a:solidFill>
                <a:schemeClr val="tx1"/>
              </a:solidFill>
              <a:prstDash val="sysDash"/>
            </a:ln>
          </c:spPr>
        </c:majorGridlines>
        <c:title>
          <c:tx>
            <c:rich>
              <a:bodyPr rot="-5400000" vert="horz"/>
              <a:lstStyle/>
              <a:p>
                <a:pPr>
                  <a:defRPr/>
                </a:pPr>
                <a:r>
                  <a:rPr lang="en-US"/>
                  <a:t>Normalized Neutron Flux per Unit Lethargy</a:t>
                </a:r>
              </a:p>
            </c:rich>
          </c:tx>
          <c:layout/>
          <c:overlay val="0"/>
        </c:title>
        <c:numFmt formatCode="#,##0.00" sourceLinked="0"/>
        <c:majorTickMark val="out"/>
        <c:minorTickMark val="none"/>
        <c:tickLblPos val="nextTo"/>
        <c:crossAx val="115917568"/>
        <c:crossesAt val="1E-4"/>
        <c:crossBetween val="midCat"/>
      </c:valAx>
      <c:spPr>
        <a:ln>
          <a:solidFill>
            <a:schemeClr val="accent3">
              <a:lumMod val="50000"/>
            </a:schemeClr>
          </a:solidFill>
        </a:ln>
      </c:spPr>
    </c:plotArea>
    <c:legend>
      <c:legendPos val="r"/>
      <c:layout>
        <c:manualLayout>
          <c:xMode val="edge"/>
          <c:yMode val="edge"/>
          <c:x val="0.16206252874329799"/>
          <c:y val="0.124781759443958"/>
          <c:w val="0.20049622568369099"/>
          <c:h val="9.9015895791948805E-2"/>
        </c:manualLayout>
      </c:layout>
      <c:overlay val="0"/>
      <c:spPr>
        <a:solidFill>
          <a:schemeClr val="bg1"/>
        </a:solidFill>
        <a:ln>
          <a:solidFill>
            <a:sysClr val="windowText" lastClr="000000"/>
          </a:solidFill>
        </a:ln>
        <a:effectLst>
          <a:outerShdw dist="38100" dir="2700000" sx="104000" sy="104000" algn="tl" rotWithShape="0">
            <a:prstClr val="black"/>
          </a:outerShdw>
        </a:effectLst>
      </c:spPr>
    </c:legend>
    <c:plotVisOnly val="1"/>
    <c:dispBlanksAs val="gap"/>
    <c:showDLblsOverMax val="0"/>
  </c:chart>
  <c:spPr>
    <a:ln>
      <a:solidFill>
        <a:sysClr val="window" lastClr="FFFFFF"/>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2">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217318471259"/>
          <c:y val="5.1400639451079401E-2"/>
          <c:w val="0.85168659534895197"/>
          <c:h val="0.78055508459539702"/>
        </c:manualLayout>
      </c:layout>
      <c:scatterChart>
        <c:scatterStyle val="smoothMarker"/>
        <c:varyColors val="0"/>
        <c:ser>
          <c:idx val="0"/>
          <c:order val="0"/>
          <c:tx>
            <c:strRef>
              <c:f>'Full Core'!$R$4</c:f>
              <c:strCache>
                <c:ptCount val="1"/>
                <c:pt idx="0">
                  <c:v>Zircaloy</c:v>
                </c:pt>
              </c:strCache>
            </c:strRef>
          </c:tx>
          <c:marker>
            <c:symbol val="diamond"/>
            <c:size val="5"/>
          </c:marker>
          <c:xVal>
            <c:numRef>
              <c:f>'Full Core'!$Q$5:$Q$20</c:f>
              <c:numCache>
                <c:formatCode>0.00</c:formatCode>
                <c:ptCount val="16"/>
                <c:pt idx="0">
                  <c:v>0</c:v>
                </c:pt>
                <c:pt idx="1">
                  <c:v>4.1207462408376951</c:v>
                </c:pt>
                <c:pt idx="2">
                  <c:v>20.603731204188481</c:v>
                </c:pt>
                <c:pt idx="3">
                  <c:v>41.207462408376948</c:v>
                </c:pt>
                <c:pt idx="4">
                  <c:v>82.414924816753938</c:v>
                </c:pt>
                <c:pt idx="5">
                  <c:v>123.62238722513089</c:v>
                </c:pt>
                <c:pt idx="6">
                  <c:v>164.82984963350799</c:v>
                </c:pt>
                <c:pt idx="7">
                  <c:v>206.0373120418848</c:v>
                </c:pt>
                <c:pt idx="8">
                  <c:v>247.24477445026179</c:v>
                </c:pt>
                <c:pt idx="9">
                  <c:v>288.45223685863863</c:v>
                </c:pt>
                <c:pt idx="10">
                  <c:v>329.65969926701581</c:v>
                </c:pt>
                <c:pt idx="11">
                  <c:v>370.86716167539271</c:v>
                </c:pt>
                <c:pt idx="12">
                  <c:v>412.07462408376972</c:v>
                </c:pt>
                <c:pt idx="13">
                  <c:v>453.28208649214662</c:v>
                </c:pt>
                <c:pt idx="14">
                  <c:v>494.48954890052352</c:v>
                </c:pt>
                <c:pt idx="15">
                  <c:v>527.45551882722498</c:v>
                </c:pt>
              </c:numCache>
            </c:numRef>
          </c:xVal>
          <c:yVal>
            <c:numRef>
              <c:f>'Full Core'!$R$5:$R$21</c:f>
              <c:numCache>
                <c:formatCode>General</c:formatCode>
                <c:ptCount val="17"/>
                <c:pt idx="0">
                  <c:v>1.0539000000000001</c:v>
                </c:pt>
                <c:pt idx="1">
                  <c:v>1.0527</c:v>
                </c:pt>
                <c:pt idx="2">
                  <c:v>1.0519000000000001</c:v>
                </c:pt>
                <c:pt idx="3">
                  <c:v>1.0508999999999999</c:v>
                </c:pt>
                <c:pt idx="4">
                  <c:v>1.0484</c:v>
                </c:pt>
                <c:pt idx="5">
                  <c:v>1.0459000000000001</c:v>
                </c:pt>
                <c:pt idx="6">
                  <c:v>1.0441</c:v>
                </c:pt>
                <c:pt idx="7">
                  <c:v>1.0427999999999999</c:v>
                </c:pt>
                <c:pt idx="8">
                  <c:v>1.0414000000000001</c:v>
                </c:pt>
                <c:pt idx="9">
                  <c:v>1.0391999999999999</c:v>
                </c:pt>
                <c:pt idx="10">
                  <c:v>1.0357000000000001</c:v>
                </c:pt>
                <c:pt idx="11">
                  <c:v>1.0306</c:v>
                </c:pt>
                <c:pt idx="12">
                  <c:v>1.0239</c:v>
                </c:pt>
                <c:pt idx="13">
                  <c:v>1.0161</c:v>
                </c:pt>
                <c:pt idx="14">
                  <c:v>1.0073000000000001</c:v>
                </c:pt>
                <c:pt idx="15">
                  <c:v>1.0003</c:v>
                </c:pt>
                <c:pt idx="16">
                  <c:v>0.99319999999999997</c:v>
                </c:pt>
              </c:numCache>
            </c:numRef>
          </c:yVal>
          <c:smooth val="1"/>
        </c:ser>
        <c:ser>
          <c:idx val="2"/>
          <c:order val="1"/>
          <c:tx>
            <c:strRef>
              <c:f>'Full Core'!$U$4</c:f>
              <c:strCache>
                <c:ptCount val="1"/>
                <c:pt idx="0">
                  <c:v>FeCrAl  Case 1 (300 μm, 4.78% U-235)</c:v>
                </c:pt>
              </c:strCache>
            </c:strRef>
          </c:tx>
          <c:marker>
            <c:symbol val="triangle"/>
            <c:size val="5"/>
          </c:marker>
          <c:xVal>
            <c:numRef>
              <c:f>'Full Core'!$T$5:$T$18</c:f>
              <c:numCache>
                <c:formatCode>0.000</c:formatCode>
                <c:ptCount val="14"/>
                <c:pt idx="0" formatCode="General">
                  <c:v>0</c:v>
                </c:pt>
                <c:pt idx="1">
                  <c:v>4.8025221151832467</c:v>
                </c:pt>
                <c:pt idx="2">
                  <c:v>24.01261057591622</c:v>
                </c:pt>
                <c:pt idx="3">
                  <c:v>48.02522115183244</c:v>
                </c:pt>
                <c:pt idx="4">
                  <c:v>96.050442303664852</c:v>
                </c:pt>
                <c:pt idx="5">
                  <c:v>144.07566345549739</c:v>
                </c:pt>
                <c:pt idx="6">
                  <c:v>192.10088460732979</c:v>
                </c:pt>
                <c:pt idx="7">
                  <c:v>240.1261057591623</c:v>
                </c:pt>
                <c:pt idx="8">
                  <c:v>288.15132691099473</c:v>
                </c:pt>
                <c:pt idx="9">
                  <c:v>336.17654806282712</c:v>
                </c:pt>
                <c:pt idx="10">
                  <c:v>384.20176921465969</c:v>
                </c:pt>
                <c:pt idx="11">
                  <c:v>432.22699036649198</c:v>
                </c:pt>
                <c:pt idx="12">
                  <c:v>480.25221151832471</c:v>
                </c:pt>
                <c:pt idx="13">
                  <c:v>527.45572113624928</c:v>
                </c:pt>
              </c:numCache>
            </c:numRef>
          </c:xVal>
          <c:yVal>
            <c:numRef>
              <c:f>'Full Core'!$U$5:$U$18</c:f>
              <c:numCache>
                <c:formatCode>General</c:formatCode>
                <c:ptCount val="14"/>
                <c:pt idx="0">
                  <c:v>1.0350729999999999</c:v>
                </c:pt>
                <c:pt idx="1">
                  <c:v>1.033811</c:v>
                </c:pt>
                <c:pt idx="2">
                  <c:v>1.0333680000000001</c:v>
                </c:pt>
                <c:pt idx="3">
                  <c:v>1.0326660000000001</c:v>
                </c:pt>
                <c:pt idx="4">
                  <c:v>1.0306649999999999</c:v>
                </c:pt>
                <c:pt idx="5">
                  <c:v>1.0281039999999999</c:v>
                </c:pt>
                <c:pt idx="6">
                  <c:v>1.0251920000000001</c:v>
                </c:pt>
                <c:pt idx="7">
                  <c:v>1.0220849999999999</c:v>
                </c:pt>
                <c:pt idx="8">
                  <c:v>1.018858</c:v>
                </c:pt>
                <c:pt idx="9">
                  <c:v>1.0155179999999999</c:v>
                </c:pt>
                <c:pt idx="10">
                  <c:v>1.012046</c:v>
                </c:pt>
                <c:pt idx="11">
                  <c:v>1.0083470000000001</c:v>
                </c:pt>
                <c:pt idx="12">
                  <c:v>1.004373</c:v>
                </c:pt>
                <c:pt idx="13">
                  <c:v>1.000092</c:v>
                </c:pt>
              </c:numCache>
            </c:numRef>
          </c:yVal>
          <c:smooth val="1"/>
        </c:ser>
        <c:ser>
          <c:idx val="1"/>
          <c:order val="2"/>
          <c:tx>
            <c:strRef>
              <c:f>'Full Core'!$S$4</c:f>
              <c:strCache>
                <c:ptCount val="1"/>
                <c:pt idx="0">
                  <c:v>FeCrAl  Case 2 (600 μm, 6.53% U-235)</c:v>
                </c:pt>
              </c:strCache>
            </c:strRef>
          </c:tx>
          <c:marker>
            <c:symbol val="square"/>
            <c:size val="5"/>
          </c:marker>
          <c:xVal>
            <c:numRef>
              <c:f>'Full Core'!$Q$5:$Q$20</c:f>
              <c:numCache>
                <c:formatCode>0.00</c:formatCode>
                <c:ptCount val="16"/>
                <c:pt idx="0">
                  <c:v>0</c:v>
                </c:pt>
                <c:pt idx="1">
                  <c:v>4.1207462408376951</c:v>
                </c:pt>
                <c:pt idx="2">
                  <c:v>20.603731204188481</c:v>
                </c:pt>
                <c:pt idx="3">
                  <c:v>41.207462408376948</c:v>
                </c:pt>
                <c:pt idx="4">
                  <c:v>82.414924816753938</c:v>
                </c:pt>
                <c:pt idx="5">
                  <c:v>123.62238722513089</c:v>
                </c:pt>
                <c:pt idx="6">
                  <c:v>164.82984963350799</c:v>
                </c:pt>
                <c:pt idx="7">
                  <c:v>206.0373120418848</c:v>
                </c:pt>
                <c:pt idx="8">
                  <c:v>247.24477445026179</c:v>
                </c:pt>
                <c:pt idx="9">
                  <c:v>288.45223685863863</c:v>
                </c:pt>
                <c:pt idx="10">
                  <c:v>329.65969926701581</c:v>
                </c:pt>
                <c:pt idx="11">
                  <c:v>370.86716167539271</c:v>
                </c:pt>
                <c:pt idx="12">
                  <c:v>412.07462408376972</c:v>
                </c:pt>
                <c:pt idx="13">
                  <c:v>453.28208649214662</c:v>
                </c:pt>
                <c:pt idx="14">
                  <c:v>494.48954890052352</c:v>
                </c:pt>
                <c:pt idx="15">
                  <c:v>527.45551882722498</c:v>
                </c:pt>
              </c:numCache>
            </c:numRef>
          </c:xVal>
          <c:yVal>
            <c:numRef>
              <c:f>'Full Core'!$S$5:$S$20</c:f>
              <c:numCache>
                <c:formatCode>General</c:formatCode>
                <c:ptCount val="16"/>
                <c:pt idx="0">
                  <c:v>1.051439</c:v>
                </c:pt>
                <c:pt idx="1">
                  <c:v>1.0499529999999999</c:v>
                </c:pt>
                <c:pt idx="2">
                  <c:v>1.0489029999999999</c:v>
                </c:pt>
                <c:pt idx="3">
                  <c:v>1.0474589999999999</c:v>
                </c:pt>
                <c:pt idx="4">
                  <c:v>1.0442959999999999</c:v>
                </c:pt>
                <c:pt idx="5">
                  <c:v>1.0407979999999999</c:v>
                </c:pt>
                <c:pt idx="6">
                  <c:v>1.0370950000000001</c:v>
                </c:pt>
                <c:pt idx="7">
                  <c:v>1.0332600000000001</c:v>
                </c:pt>
                <c:pt idx="8">
                  <c:v>1.0293829999999999</c:v>
                </c:pt>
                <c:pt idx="9">
                  <c:v>1.025417</c:v>
                </c:pt>
                <c:pt idx="10">
                  <c:v>1.021366</c:v>
                </c:pt>
                <c:pt idx="11">
                  <c:v>1.017223</c:v>
                </c:pt>
                <c:pt idx="12">
                  <c:v>1.0129889999999999</c:v>
                </c:pt>
                <c:pt idx="13">
                  <c:v>1.0085850000000001</c:v>
                </c:pt>
                <c:pt idx="14">
                  <c:v>1.004</c:v>
                </c:pt>
                <c:pt idx="15">
                  <c:v>1.000154</c:v>
                </c:pt>
              </c:numCache>
            </c:numRef>
          </c:yVal>
          <c:smooth val="1"/>
        </c:ser>
        <c:dLbls>
          <c:showLegendKey val="0"/>
          <c:showVal val="0"/>
          <c:showCatName val="0"/>
          <c:showSerName val="0"/>
          <c:showPercent val="0"/>
          <c:showBubbleSize val="0"/>
        </c:dLbls>
        <c:axId val="123490688"/>
        <c:axId val="123492608"/>
      </c:scatterChart>
      <c:valAx>
        <c:axId val="123490688"/>
        <c:scaling>
          <c:orientation val="minMax"/>
          <c:max val="550"/>
        </c:scaling>
        <c:delete val="0"/>
        <c:axPos val="b"/>
        <c:majorGridlines>
          <c:spPr>
            <a:ln>
              <a:prstDash val="sysDash"/>
            </a:ln>
          </c:spPr>
        </c:majorGridlines>
        <c:title>
          <c:tx>
            <c:rich>
              <a:bodyPr/>
              <a:lstStyle/>
              <a:p>
                <a:pPr>
                  <a:defRPr/>
                </a:pPr>
                <a:r>
                  <a:rPr lang="en-US"/>
                  <a:t>EFPD</a:t>
                </a:r>
              </a:p>
            </c:rich>
          </c:tx>
          <c:layout/>
          <c:overlay val="0"/>
        </c:title>
        <c:numFmt formatCode="0" sourceLinked="0"/>
        <c:majorTickMark val="out"/>
        <c:minorTickMark val="none"/>
        <c:tickLblPos val="low"/>
        <c:spPr>
          <a:ln w="12700">
            <a:solidFill>
              <a:schemeClr val="tx1"/>
            </a:solidFill>
          </a:ln>
        </c:spPr>
        <c:crossAx val="123492608"/>
        <c:crossesAt val="1"/>
        <c:crossBetween val="midCat"/>
        <c:majorUnit val="50"/>
      </c:valAx>
      <c:valAx>
        <c:axId val="123492608"/>
        <c:scaling>
          <c:orientation val="minMax"/>
        </c:scaling>
        <c:delete val="0"/>
        <c:axPos val="l"/>
        <c:majorGridlines>
          <c:spPr>
            <a:ln>
              <a:prstDash val="sysDash"/>
            </a:ln>
          </c:spPr>
        </c:majorGridlines>
        <c:title>
          <c:tx>
            <c:rich>
              <a:bodyPr rot="-5400000" vert="horz"/>
              <a:lstStyle/>
              <a:p>
                <a:pPr>
                  <a:defRPr/>
                </a:pPr>
                <a:r>
                  <a:rPr lang="en-US"/>
                  <a:t>k-effective</a:t>
                </a:r>
              </a:p>
            </c:rich>
          </c:tx>
          <c:layout/>
          <c:overlay val="0"/>
        </c:title>
        <c:numFmt formatCode="#,##0.00" sourceLinked="0"/>
        <c:majorTickMark val="out"/>
        <c:minorTickMark val="none"/>
        <c:tickLblPos val="nextTo"/>
        <c:crossAx val="123490688"/>
        <c:crossesAt val="0"/>
        <c:crossBetween val="midCat"/>
      </c:valAx>
      <c:spPr>
        <a:ln>
          <a:solidFill>
            <a:schemeClr val="tx1"/>
          </a:solidFill>
        </a:ln>
      </c:spPr>
    </c:plotArea>
    <c:legend>
      <c:legendPos val="r"/>
      <c:layout>
        <c:manualLayout>
          <c:xMode val="edge"/>
          <c:yMode val="edge"/>
          <c:x val="0.43785371553659502"/>
          <c:y val="2.1597750957144401E-2"/>
          <c:w val="0.52953412693971502"/>
          <c:h val="0.19198916918263401"/>
        </c:manualLayout>
      </c:layout>
      <c:overlay val="0"/>
      <c:spPr>
        <a:solidFill>
          <a:schemeClr val="bg1"/>
        </a:solidFill>
        <a:ln>
          <a:solidFill>
            <a:sysClr val="windowText" lastClr="000000"/>
          </a:solidFill>
        </a:ln>
        <a:effectLst>
          <a:outerShdw sx="105000" sy="105000" algn="tl" rotWithShape="0">
            <a:prstClr val="black"/>
          </a:outerShdw>
        </a:effectLst>
      </c:spPr>
    </c:legend>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15542858279997"/>
          <c:y val="5.1400554097404502E-2"/>
          <c:w val="0.82680490500674497"/>
          <c:h val="0.79800076529317099"/>
        </c:manualLayout>
      </c:layout>
      <c:scatterChart>
        <c:scatterStyle val="smoothMarker"/>
        <c:varyColors val="0"/>
        <c:ser>
          <c:idx val="0"/>
          <c:order val="0"/>
          <c:tx>
            <c:strRef>
              <c:f>Zirc_MOC!$T$3</c:f>
              <c:strCache>
                <c:ptCount val="1"/>
                <c:pt idx="0">
                  <c:v>Zircaloy</c:v>
                </c:pt>
              </c:strCache>
            </c:strRef>
          </c:tx>
          <c:marker>
            <c:symbol val="diamond"/>
            <c:size val="5"/>
          </c:marker>
          <c:xVal>
            <c:numRef>
              <c:f>Zirc_MOC!$S$4:$S$27</c:f>
              <c:numCache>
                <c:formatCode>General</c:formatCode>
                <c:ptCount val="24"/>
                <c:pt idx="0">
                  <c:v>4</c:v>
                </c:pt>
                <c:pt idx="1">
                  <c:v>5</c:v>
                </c:pt>
                <c:pt idx="2">
                  <c:v>6</c:v>
                </c:pt>
                <c:pt idx="3">
                  <c:v>7</c:v>
                </c:pt>
                <c:pt idx="4">
                  <c:v>8</c:v>
                </c:pt>
                <c:pt idx="5">
                  <c:v>9</c:v>
                </c:pt>
                <c:pt idx="6">
                  <c:v>10</c:v>
                </c:pt>
                <c:pt idx="7">
                  <c:v>11</c:v>
                </c:pt>
                <c:pt idx="8">
                  <c:v>12</c:v>
                </c:pt>
                <c:pt idx="9">
                  <c:v>13</c:v>
                </c:pt>
                <c:pt idx="10">
                  <c:v>14</c:v>
                </c:pt>
                <c:pt idx="11">
                  <c:v>15</c:v>
                </c:pt>
                <c:pt idx="12">
                  <c:v>16</c:v>
                </c:pt>
                <c:pt idx="13">
                  <c:v>17</c:v>
                </c:pt>
                <c:pt idx="14">
                  <c:v>18</c:v>
                </c:pt>
                <c:pt idx="15">
                  <c:v>19</c:v>
                </c:pt>
                <c:pt idx="16">
                  <c:v>20</c:v>
                </c:pt>
                <c:pt idx="17">
                  <c:v>21</c:v>
                </c:pt>
                <c:pt idx="18">
                  <c:v>22</c:v>
                </c:pt>
                <c:pt idx="19">
                  <c:v>23</c:v>
                </c:pt>
                <c:pt idx="20">
                  <c:v>24</c:v>
                </c:pt>
                <c:pt idx="21">
                  <c:v>25</c:v>
                </c:pt>
                <c:pt idx="22">
                  <c:v>26</c:v>
                </c:pt>
                <c:pt idx="23">
                  <c:v>27</c:v>
                </c:pt>
              </c:numCache>
            </c:numRef>
          </c:xVal>
          <c:yVal>
            <c:numRef>
              <c:f>Zirc_MOC!$T$4:$T$27</c:f>
              <c:numCache>
                <c:formatCode>0%</c:formatCode>
                <c:ptCount val="24"/>
                <c:pt idx="0">
                  <c:v>1.6637180518163999E-2</c:v>
                </c:pt>
                <c:pt idx="1">
                  <c:v>1.7926762467512899E-2</c:v>
                </c:pt>
                <c:pt idx="2">
                  <c:v>2.0226448958660999E-2</c:v>
                </c:pt>
                <c:pt idx="3">
                  <c:v>2.3086488817407502E-2</c:v>
                </c:pt>
                <c:pt idx="4">
                  <c:v>3.0280293229841E-2</c:v>
                </c:pt>
                <c:pt idx="5">
                  <c:v>4.3988205540598999E-2</c:v>
                </c:pt>
                <c:pt idx="6">
                  <c:v>7.0077153479482096E-2</c:v>
                </c:pt>
                <c:pt idx="7">
                  <c:v>0.110651142733938</c:v>
                </c:pt>
                <c:pt idx="8">
                  <c:v>0.16010838781860801</c:v>
                </c:pt>
                <c:pt idx="9">
                  <c:v>0.21171952029649299</c:v>
                </c:pt>
                <c:pt idx="10">
                  <c:v>0.26184655548174302</c:v>
                </c:pt>
                <c:pt idx="11">
                  <c:v>0.311635140962437</c:v>
                </c:pt>
                <c:pt idx="12">
                  <c:v>0.35339650128783401</c:v>
                </c:pt>
                <c:pt idx="13">
                  <c:v>0.38465799564117797</c:v>
                </c:pt>
                <c:pt idx="14">
                  <c:v>0.41393214689463098</c:v>
                </c:pt>
                <c:pt idx="15">
                  <c:v>0.44016339755020201</c:v>
                </c:pt>
                <c:pt idx="16">
                  <c:v>0.46470939244548498</c:v>
                </c:pt>
                <c:pt idx="17">
                  <c:v>0.485786044776989</c:v>
                </c:pt>
                <c:pt idx="18">
                  <c:v>0.50325373238698001</c:v>
                </c:pt>
                <c:pt idx="19">
                  <c:v>0.52142197825250902</c:v>
                </c:pt>
                <c:pt idx="20">
                  <c:v>0.53875668682913203</c:v>
                </c:pt>
                <c:pt idx="21">
                  <c:v>0.55500600212113804</c:v>
                </c:pt>
                <c:pt idx="22">
                  <c:v>0.56786557579571795</c:v>
                </c:pt>
                <c:pt idx="23">
                  <c:v>0.56748633497663203</c:v>
                </c:pt>
              </c:numCache>
            </c:numRef>
          </c:yVal>
          <c:smooth val="1"/>
        </c:ser>
        <c:ser>
          <c:idx val="1"/>
          <c:order val="1"/>
          <c:tx>
            <c:strRef>
              <c:f>Zirc_MOC!$U$3</c:f>
              <c:strCache>
                <c:ptCount val="1"/>
                <c:pt idx="0">
                  <c:v>FeCrAl</c:v>
                </c:pt>
              </c:strCache>
            </c:strRef>
          </c:tx>
          <c:marker>
            <c:symbol val="square"/>
            <c:size val="5"/>
          </c:marker>
          <c:xVal>
            <c:numRef>
              <c:f>Zirc_MOC!$S$4:$S$27</c:f>
              <c:numCache>
                <c:formatCode>General</c:formatCode>
                <c:ptCount val="24"/>
                <c:pt idx="0">
                  <c:v>4</c:v>
                </c:pt>
                <c:pt idx="1">
                  <c:v>5</c:v>
                </c:pt>
                <c:pt idx="2">
                  <c:v>6</c:v>
                </c:pt>
                <c:pt idx="3">
                  <c:v>7</c:v>
                </c:pt>
                <c:pt idx="4">
                  <c:v>8</c:v>
                </c:pt>
                <c:pt idx="5">
                  <c:v>9</c:v>
                </c:pt>
                <c:pt idx="6">
                  <c:v>10</c:v>
                </c:pt>
                <c:pt idx="7">
                  <c:v>11</c:v>
                </c:pt>
                <c:pt idx="8">
                  <c:v>12</c:v>
                </c:pt>
                <c:pt idx="9">
                  <c:v>13</c:v>
                </c:pt>
                <c:pt idx="10">
                  <c:v>14</c:v>
                </c:pt>
                <c:pt idx="11">
                  <c:v>15</c:v>
                </c:pt>
                <c:pt idx="12">
                  <c:v>16</c:v>
                </c:pt>
                <c:pt idx="13">
                  <c:v>17</c:v>
                </c:pt>
                <c:pt idx="14">
                  <c:v>18</c:v>
                </c:pt>
                <c:pt idx="15">
                  <c:v>19</c:v>
                </c:pt>
                <c:pt idx="16">
                  <c:v>20</c:v>
                </c:pt>
                <c:pt idx="17">
                  <c:v>21</c:v>
                </c:pt>
                <c:pt idx="18">
                  <c:v>22</c:v>
                </c:pt>
                <c:pt idx="19">
                  <c:v>23</c:v>
                </c:pt>
                <c:pt idx="20">
                  <c:v>24</c:v>
                </c:pt>
                <c:pt idx="21">
                  <c:v>25</c:v>
                </c:pt>
                <c:pt idx="22">
                  <c:v>26</c:v>
                </c:pt>
                <c:pt idx="23">
                  <c:v>27</c:v>
                </c:pt>
              </c:numCache>
            </c:numRef>
          </c:xVal>
          <c:yVal>
            <c:numRef>
              <c:f>Zirc_MOC!$U$4:$U$27</c:f>
              <c:numCache>
                <c:formatCode>0%</c:formatCode>
                <c:ptCount val="24"/>
                <c:pt idx="0">
                  <c:v>1.6607577823619098E-2</c:v>
                </c:pt>
                <c:pt idx="1">
                  <c:v>1.79468083866531E-2</c:v>
                </c:pt>
                <c:pt idx="2">
                  <c:v>2.05234082724375E-2</c:v>
                </c:pt>
                <c:pt idx="3">
                  <c:v>2.3810705919373398E-2</c:v>
                </c:pt>
                <c:pt idx="4">
                  <c:v>3.4403342540470699E-2</c:v>
                </c:pt>
                <c:pt idx="5">
                  <c:v>4.9409228115567E-2</c:v>
                </c:pt>
                <c:pt idx="6">
                  <c:v>7.8798876496159798E-2</c:v>
                </c:pt>
                <c:pt idx="7">
                  <c:v>0.12368099017516899</c:v>
                </c:pt>
                <c:pt idx="8">
                  <c:v>0.166766779716327</c:v>
                </c:pt>
                <c:pt idx="9">
                  <c:v>0.21368670093120301</c:v>
                </c:pt>
                <c:pt idx="10">
                  <c:v>0.26371816836241102</c:v>
                </c:pt>
                <c:pt idx="11">
                  <c:v>0.302979849189423</c:v>
                </c:pt>
                <c:pt idx="12">
                  <c:v>0.33264524550423702</c:v>
                </c:pt>
                <c:pt idx="13">
                  <c:v>0.36896052585573902</c:v>
                </c:pt>
                <c:pt idx="14">
                  <c:v>0.40028716944629</c:v>
                </c:pt>
                <c:pt idx="15">
                  <c:v>0.42286143841124502</c:v>
                </c:pt>
                <c:pt idx="16">
                  <c:v>0.450879223337179</c:v>
                </c:pt>
                <c:pt idx="17">
                  <c:v>0.48241483398016399</c:v>
                </c:pt>
                <c:pt idx="18">
                  <c:v>0.50812978567182898</c:v>
                </c:pt>
                <c:pt idx="19">
                  <c:v>0.52469494073633804</c:v>
                </c:pt>
                <c:pt idx="20">
                  <c:v>0.54062282204584899</c:v>
                </c:pt>
                <c:pt idx="21">
                  <c:v>0.55658904700301903</c:v>
                </c:pt>
                <c:pt idx="22">
                  <c:v>0.56814365465076999</c:v>
                </c:pt>
                <c:pt idx="23">
                  <c:v>0.565524632005874</c:v>
                </c:pt>
              </c:numCache>
            </c:numRef>
          </c:yVal>
          <c:smooth val="1"/>
        </c:ser>
        <c:dLbls>
          <c:showLegendKey val="0"/>
          <c:showVal val="0"/>
          <c:showCatName val="0"/>
          <c:showSerName val="0"/>
          <c:showPercent val="0"/>
          <c:showBubbleSize val="0"/>
        </c:dLbls>
        <c:axId val="134755456"/>
        <c:axId val="134757376"/>
      </c:scatterChart>
      <c:valAx>
        <c:axId val="134755456"/>
        <c:scaling>
          <c:orientation val="minMax"/>
        </c:scaling>
        <c:delete val="0"/>
        <c:axPos val="b"/>
        <c:majorGridlines>
          <c:spPr>
            <a:ln>
              <a:prstDash val="sysDash"/>
            </a:ln>
          </c:spPr>
        </c:majorGridlines>
        <c:title>
          <c:tx>
            <c:rich>
              <a:bodyPr/>
              <a:lstStyle/>
              <a:p>
                <a:pPr>
                  <a:defRPr/>
                </a:pPr>
                <a:r>
                  <a:rPr lang="en-US"/>
                  <a:t>Axial Fuel Node</a:t>
                </a:r>
              </a:p>
            </c:rich>
          </c:tx>
          <c:layout/>
          <c:overlay val="0"/>
        </c:title>
        <c:numFmt formatCode="General" sourceLinked="1"/>
        <c:majorTickMark val="out"/>
        <c:minorTickMark val="none"/>
        <c:tickLblPos val="nextTo"/>
        <c:crossAx val="134757376"/>
        <c:crosses val="autoZero"/>
        <c:crossBetween val="midCat"/>
      </c:valAx>
      <c:valAx>
        <c:axId val="134757376"/>
        <c:scaling>
          <c:orientation val="minMax"/>
        </c:scaling>
        <c:delete val="0"/>
        <c:axPos val="l"/>
        <c:majorGridlines>
          <c:spPr>
            <a:ln>
              <a:prstDash val="sysDash"/>
            </a:ln>
          </c:spPr>
        </c:majorGridlines>
        <c:title>
          <c:tx>
            <c:rich>
              <a:bodyPr rot="-5400000" vert="horz"/>
              <a:lstStyle/>
              <a:p>
                <a:pPr>
                  <a:defRPr/>
                </a:pPr>
                <a:r>
                  <a:rPr lang="en-US"/>
                  <a:t>Coolant Void</a:t>
                </a:r>
              </a:p>
            </c:rich>
          </c:tx>
          <c:layout/>
          <c:overlay val="0"/>
        </c:title>
        <c:numFmt formatCode="0%" sourceLinked="1"/>
        <c:majorTickMark val="out"/>
        <c:minorTickMark val="none"/>
        <c:tickLblPos val="nextTo"/>
        <c:crossAx val="134755456"/>
        <c:crosses val="autoZero"/>
        <c:crossBetween val="midCat"/>
      </c:valAx>
      <c:spPr>
        <a:ln>
          <a:solidFill>
            <a:sysClr val="windowText" lastClr="000000"/>
          </a:solidFill>
        </a:ln>
      </c:spPr>
    </c:plotArea>
    <c:legend>
      <c:legendPos val="r"/>
      <c:layout>
        <c:manualLayout>
          <c:xMode val="edge"/>
          <c:yMode val="edge"/>
          <c:x val="0.144478219086874"/>
          <c:y val="0.12954818740346499"/>
          <c:w val="0.20962554680664899"/>
          <c:h val="0.12576771653543301"/>
        </c:manualLayout>
      </c:layout>
      <c:overlay val="0"/>
      <c:spPr>
        <a:solidFill>
          <a:schemeClr val="bg1"/>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286606432759201"/>
          <c:y val="2.7675826236006201E-2"/>
          <c:w val="0.82611178726299905"/>
          <c:h val="0.81789490599389403"/>
        </c:manualLayout>
      </c:layout>
      <c:scatterChart>
        <c:scatterStyle val="smoothMarker"/>
        <c:varyColors val="0"/>
        <c:ser>
          <c:idx val="3"/>
          <c:order val="0"/>
          <c:tx>
            <c:strRef>
              <c:f>Sheet4!$V$2</c:f>
              <c:strCache>
                <c:ptCount val="1"/>
                <c:pt idx="0">
                  <c:v>Cladding: Zircaloy   CB: Zircaloy</c:v>
                </c:pt>
              </c:strCache>
            </c:strRef>
          </c:tx>
          <c:spPr>
            <a:ln>
              <a:solidFill>
                <a:schemeClr val="tx1"/>
              </a:solidFill>
            </a:ln>
          </c:spPr>
          <c:marker>
            <c:symbol val="none"/>
          </c:marker>
          <c:xVal>
            <c:numRef>
              <c:f>Sheet4!$M$3:$M$54</c:f>
              <c:numCache>
                <c:formatCode>0.0</c:formatCode>
                <c:ptCount val="52"/>
                <c:pt idx="0">
                  <c:v>0</c:v>
                </c:pt>
                <c:pt idx="1">
                  <c:v>4.291666666666667</c:v>
                </c:pt>
                <c:pt idx="2">
                  <c:v>21.416666666666671</c:v>
                </c:pt>
                <c:pt idx="3">
                  <c:v>42.833333333333343</c:v>
                </c:pt>
                <c:pt idx="4">
                  <c:v>64.2916666666667</c:v>
                </c:pt>
                <c:pt idx="5">
                  <c:v>85.7083333333333</c:v>
                </c:pt>
                <c:pt idx="6">
                  <c:v>107.125</c:v>
                </c:pt>
                <c:pt idx="7">
                  <c:v>128.5416666666666</c:v>
                </c:pt>
                <c:pt idx="8">
                  <c:v>149.9583333333334</c:v>
                </c:pt>
                <c:pt idx="9">
                  <c:v>171.4166666666666</c:v>
                </c:pt>
                <c:pt idx="10">
                  <c:v>192.8333333333334</c:v>
                </c:pt>
                <c:pt idx="11">
                  <c:v>214.25</c:v>
                </c:pt>
                <c:pt idx="12">
                  <c:v>235.6666666666666</c:v>
                </c:pt>
                <c:pt idx="13">
                  <c:v>257.08333333333331</c:v>
                </c:pt>
                <c:pt idx="14">
                  <c:v>278.5</c:v>
                </c:pt>
                <c:pt idx="15">
                  <c:v>299.95833333333331</c:v>
                </c:pt>
                <c:pt idx="16">
                  <c:v>321.375</c:v>
                </c:pt>
                <c:pt idx="17">
                  <c:v>342.79166666666669</c:v>
                </c:pt>
                <c:pt idx="18">
                  <c:v>364.20833333333331</c:v>
                </c:pt>
                <c:pt idx="19">
                  <c:v>385.625</c:v>
                </c:pt>
                <c:pt idx="20">
                  <c:v>407.08333333333331</c:v>
                </c:pt>
                <c:pt idx="21">
                  <c:v>428.5</c:v>
                </c:pt>
                <c:pt idx="22">
                  <c:v>449.91666666666669</c:v>
                </c:pt>
                <c:pt idx="23">
                  <c:v>471.33333333333331</c:v>
                </c:pt>
                <c:pt idx="24">
                  <c:v>492.75</c:v>
                </c:pt>
                <c:pt idx="25">
                  <c:v>514.20833333333371</c:v>
                </c:pt>
                <c:pt idx="26">
                  <c:v>535.625</c:v>
                </c:pt>
                <c:pt idx="27">
                  <c:v>557.04166666666663</c:v>
                </c:pt>
                <c:pt idx="28">
                  <c:v>578.45833333333337</c:v>
                </c:pt>
                <c:pt idx="29">
                  <c:v>599.875</c:v>
                </c:pt>
                <c:pt idx="30">
                  <c:v>621.33333333333337</c:v>
                </c:pt>
                <c:pt idx="31">
                  <c:v>642.75</c:v>
                </c:pt>
                <c:pt idx="32">
                  <c:v>664.16666666666663</c:v>
                </c:pt>
                <c:pt idx="33">
                  <c:v>685.58333333333371</c:v>
                </c:pt>
                <c:pt idx="34">
                  <c:v>707</c:v>
                </c:pt>
                <c:pt idx="35">
                  <c:v>728.45833333333337</c:v>
                </c:pt>
                <c:pt idx="36">
                  <c:v>749.875</c:v>
                </c:pt>
                <c:pt idx="37">
                  <c:v>771.29166666666686</c:v>
                </c:pt>
                <c:pt idx="38">
                  <c:v>792.70833333333371</c:v>
                </c:pt>
                <c:pt idx="39">
                  <c:v>814.125</c:v>
                </c:pt>
                <c:pt idx="40">
                  <c:v>835.54166666666663</c:v>
                </c:pt>
                <c:pt idx="41">
                  <c:v>857</c:v>
                </c:pt>
                <c:pt idx="42">
                  <c:v>964.125</c:v>
                </c:pt>
                <c:pt idx="43">
                  <c:v>1071.25</c:v>
                </c:pt>
                <c:pt idx="44">
                  <c:v>1178.375</c:v>
                </c:pt>
                <c:pt idx="45">
                  <c:v>1285.5</c:v>
                </c:pt>
                <c:pt idx="46">
                  <c:v>1392.583333333333</c:v>
                </c:pt>
                <c:pt idx="47">
                  <c:v>1499.708333333333</c:v>
                </c:pt>
                <c:pt idx="48">
                  <c:v>1606.833333333333</c:v>
                </c:pt>
                <c:pt idx="49">
                  <c:v>1713.958333333333</c:v>
                </c:pt>
                <c:pt idx="50">
                  <c:v>1821.083333333333</c:v>
                </c:pt>
                <c:pt idx="51">
                  <c:v>1928.208333333333</c:v>
                </c:pt>
              </c:numCache>
            </c:numRef>
          </c:xVal>
          <c:yVal>
            <c:numRef>
              <c:f>Sheet4!$V$3:$V$54</c:f>
              <c:numCache>
                <c:formatCode>General</c:formatCode>
                <c:ptCount val="52"/>
                <c:pt idx="0">
                  <c:v>0</c:v>
                </c:pt>
                <c:pt idx="1">
                  <c:v>0</c:v>
                </c:pt>
                <c:pt idx="2">
                  <c:v>0</c:v>
                </c:pt>
                <c:pt idx="3">
                  <c:v>0</c:v>
                </c:pt>
                <c:pt idx="4">
                  <c:v>0</c:v>
                </c:pt>
                <c:pt idx="5">
                  <c:v>0</c:v>
                </c:pt>
                <c:pt idx="6">
                  <c:v>0</c:v>
                </c:pt>
                <c:pt idx="7">
                  <c:v>0</c:v>
                </c:pt>
                <c:pt idx="8">
                  <c:v>0</c:v>
                </c:pt>
                <c:pt idx="9">
                  <c:v>0</c:v>
                </c:pt>
                <c:pt idx="10">
                  <c:v>0</c:v>
                </c:pt>
                <c:pt idx="11">
                  <c:v>0</c:v>
                </c:pt>
                <c:pt idx="12">
                  <c:v>0</c:v>
                </c:pt>
                <c:pt idx="13">
                  <c:v>0</c:v>
                </c:pt>
                <c:pt idx="14">
                  <c:v>0</c:v>
                </c:pt>
                <c:pt idx="15">
                  <c:v>0</c:v>
                </c:pt>
                <c:pt idx="16">
                  <c:v>0</c:v>
                </c:pt>
                <c:pt idx="17">
                  <c:v>0</c:v>
                </c:pt>
                <c:pt idx="18">
                  <c:v>0</c:v>
                </c:pt>
                <c:pt idx="19">
                  <c:v>0</c:v>
                </c:pt>
                <c:pt idx="20">
                  <c:v>0</c:v>
                </c:pt>
                <c:pt idx="21">
                  <c:v>0</c:v>
                </c:pt>
                <c:pt idx="22">
                  <c:v>0</c:v>
                </c:pt>
                <c:pt idx="23">
                  <c:v>0</c:v>
                </c:pt>
                <c:pt idx="24">
                  <c:v>0</c:v>
                </c:pt>
                <c:pt idx="25">
                  <c:v>0</c:v>
                </c:pt>
                <c:pt idx="26">
                  <c:v>0</c:v>
                </c:pt>
                <c:pt idx="27">
                  <c:v>0</c:v>
                </c:pt>
                <c:pt idx="28">
                  <c:v>0</c:v>
                </c:pt>
                <c:pt idx="29">
                  <c:v>0</c:v>
                </c:pt>
                <c:pt idx="30">
                  <c:v>0</c:v>
                </c:pt>
                <c:pt idx="31">
                  <c:v>0</c:v>
                </c:pt>
                <c:pt idx="32">
                  <c:v>0</c:v>
                </c:pt>
                <c:pt idx="33">
                  <c:v>0</c:v>
                </c:pt>
                <c:pt idx="34">
                  <c:v>0</c:v>
                </c:pt>
                <c:pt idx="35">
                  <c:v>0</c:v>
                </c:pt>
                <c:pt idx="36">
                  <c:v>0</c:v>
                </c:pt>
                <c:pt idx="37">
                  <c:v>0</c:v>
                </c:pt>
                <c:pt idx="38">
                  <c:v>0</c:v>
                </c:pt>
                <c:pt idx="39">
                  <c:v>0</c:v>
                </c:pt>
                <c:pt idx="40">
                  <c:v>0</c:v>
                </c:pt>
                <c:pt idx="41">
                  <c:v>0</c:v>
                </c:pt>
                <c:pt idx="42">
                  <c:v>0</c:v>
                </c:pt>
                <c:pt idx="43">
                  <c:v>0</c:v>
                </c:pt>
                <c:pt idx="44">
                  <c:v>0</c:v>
                </c:pt>
                <c:pt idx="45">
                  <c:v>0</c:v>
                </c:pt>
                <c:pt idx="46">
                  <c:v>0</c:v>
                </c:pt>
                <c:pt idx="47">
                  <c:v>0</c:v>
                </c:pt>
                <c:pt idx="48">
                  <c:v>0</c:v>
                </c:pt>
                <c:pt idx="49">
                  <c:v>0</c:v>
                </c:pt>
                <c:pt idx="50">
                  <c:v>0</c:v>
                </c:pt>
                <c:pt idx="51">
                  <c:v>0</c:v>
                </c:pt>
              </c:numCache>
            </c:numRef>
          </c:yVal>
          <c:smooth val="1"/>
        </c:ser>
        <c:ser>
          <c:idx val="0"/>
          <c:order val="1"/>
          <c:tx>
            <c:strRef>
              <c:f>Sheet4!$S$2</c:f>
              <c:strCache>
                <c:ptCount val="1"/>
                <c:pt idx="0">
                  <c:v>Cladding: FeCrAl   CB: SiC</c:v>
                </c:pt>
              </c:strCache>
            </c:strRef>
          </c:tx>
          <c:marker>
            <c:symbol val="diamond"/>
            <c:size val="5"/>
          </c:marker>
          <c:xVal>
            <c:numRef>
              <c:f>Sheet4!$M$3:$M$54</c:f>
              <c:numCache>
                <c:formatCode>0.0</c:formatCode>
                <c:ptCount val="52"/>
                <c:pt idx="0">
                  <c:v>0</c:v>
                </c:pt>
                <c:pt idx="1">
                  <c:v>4.291666666666667</c:v>
                </c:pt>
                <c:pt idx="2">
                  <c:v>21.416666666666671</c:v>
                </c:pt>
                <c:pt idx="3">
                  <c:v>42.833333333333343</c:v>
                </c:pt>
                <c:pt idx="4">
                  <c:v>64.2916666666667</c:v>
                </c:pt>
                <c:pt idx="5">
                  <c:v>85.7083333333333</c:v>
                </c:pt>
                <c:pt idx="6">
                  <c:v>107.125</c:v>
                </c:pt>
                <c:pt idx="7">
                  <c:v>128.5416666666666</c:v>
                </c:pt>
                <c:pt idx="8">
                  <c:v>149.9583333333334</c:v>
                </c:pt>
                <c:pt idx="9">
                  <c:v>171.4166666666666</c:v>
                </c:pt>
                <c:pt idx="10">
                  <c:v>192.8333333333334</c:v>
                </c:pt>
                <c:pt idx="11">
                  <c:v>214.25</c:v>
                </c:pt>
                <c:pt idx="12">
                  <c:v>235.6666666666666</c:v>
                </c:pt>
                <c:pt idx="13">
                  <c:v>257.08333333333331</c:v>
                </c:pt>
                <c:pt idx="14">
                  <c:v>278.5</c:v>
                </c:pt>
                <c:pt idx="15">
                  <c:v>299.95833333333331</c:v>
                </c:pt>
                <c:pt idx="16">
                  <c:v>321.375</c:v>
                </c:pt>
                <c:pt idx="17">
                  <c:v>342.79166666666669</c:v>
                </c:pt>
                <c:pt idx="18">
                  <c:v>364.20833333333331</c:v>
                </c:pt>
                <c:pt idx="19">
                  <c:v>385.625</c:v>
                </c:pt>
                <c:pt idx="20">
                  <c:v>407.08333333333331</c:v>
                </c:pt>
                <c:pt idx="21">
                  <c:v>428.5</c:v>
                </c:pt>
                <c:pt idx="22">
                  <c:v>449.91666666666669</c:v>
                </c:pt>
                <c:pt idx="23">
                  <c:v>471.33333333333331</c:v>
                </c:pt>
                <c:pt idx="24">
                  <c:v>492.75</c:v>
                </c:pt>
                <c:pt idx="25">
                  <c:v>514.20833333333371</c:v>
                </c:pt>
                <c:pt idx="26">
                  <c:v>535.625</c:v>
                </c:pt>
                <c:pt idx="27">
                  <c:v>557.04166666666663</c:v>
                </c:pt>
                <c:pt idx="28">
                  <c:v>578.45833333333337</c:v>
                </c:pt>
                <c:pt idx="29">
                  <c:v>599.875</c:v>
                </c:pt>
                <c:pt idx="30">
                  <c:v>621.33333333333337</c:v>
                </c:pt>
                <c:pt idx="31">
                  <c:v>642.75</c:v>
                </c:pt>
                <c:pt idx="32">
                  <c:v>664.16666666666663</c:v>
                </c:pt>
                <c:pt idx="33">
                  <c:v>685.58333333333371</c:v>
                </c:pt>
                <c:pt idx="34">
                  <c:v>707</c:v>
                </c:pt>
                <c:pt idx="35">
                  <c:v>728.45833333333337</c:v>
                </c:pt>
                <c:pt idx="36">
                  <c:v>749.875</c:v>
                </c:pt>
                <c:pt idx="37">
                  <c:v>771.29166666666686</c:v>
                </c:pt>
                <c:pt idx="38">
                  <c:v>792.70833333333371</c:v>
                </c:pt>
                <c:pt idx="39">
                  <c:v>814.125</c:v>
                </c:pt>
                <c:pt idx="40">
                  <c:v>835.54166666666663</c:v>
                </c:pt>
                <c:pt idx="41">
                  <c:v>857</c:v>
                </c:pt>
                <c:pt idx="42">
                  <c:v>964.125</c:v>
                </c:pt>
                <c:pt idx="43">
                  <c:v>1071.25</c:v>
                </c:pt>
                <c:pt idx="44">
                  <c:v>1178.375</c:v>
                </c:pt>
                <c:pt idx="45">
                  <c:v>1285.5</c:v>
                </c:pt>
                <c:pt idx="46">
                  <c:v>1392.583333333333</c:v>
                </c:pt>
                <c:pt idx="47">
                  <c:v>1499.708333333333</c:v>
                </c:pt>
                <c:pt idx="48">
                  <c:v>1606.833333333333</c:v>
                </c:pt>
                <c:pt idx="49">
                  <c:v>1713.958333333333</c:v>
                </c:pt>
                <c:pt idx="50">
                  <c:v>1821.083333333333</c:v>
                </c:pt>
                <c:pt idx="51">
                  <c:v>1928.208333333333</c:v>
                </c:pt>
              </c:numCache>
            </c:numRef>
          </c:xVal>
          <c:yVal>
            <c:numRef>
              <c:f>Sheet4!$S$3:$S$54</c:f>
              <c:numCache>
                <c:formatCode>General</c:formatCode>
                <c:ptCount val="52"/>
                <c:pt idx="0">
                  <c:v>-0.33914321033998501</c:v>
                </c:pt>
                <c:pt idx="1">
                  <c:v>4.5283031555005203E-2</c:v>
                </c:pt>
                <c:pt idx="2">
                  <c:v>-0.224706626556333</c:v>
                </c:pt>
                <c:pt idx="3">
                  <c:v>-0.40476557741263303</c:v>
                </c:pt>
                <c:pt idx="4">
                  <c:v>-0.586996196460008</c:v>
                </c:pt>
                <c:pt idx="5">
                  <c:v>-0.76333078105866103</c:v>
                </c:pt>
                <c:pt idx="6">
                  <c:v>-0.946006188284783</c:v>
                </c:pt>
                <c:pt idx="7">
                  <c:v>-1.139083149726805</c:v>
                </c:pt>
                <c:pt idx="8">
                  <c:v>-1.342051481102805</c:v>
                </c:pt>
                <c:pt idx="9">
                  <c:v>-1.553442753005134</c:v>
                </c:pt>
                <c:pt idx="10">
                  <c:v>-1.7725234109357471</c:v>
                </c:pt>
                <c:pt idx="11">
                  <c:v>-1.9982351453495599</c:v>
                </c:pt>
                <c:pt idx="12">
                  <c:v>-2.231524947007546</c:v>
                </c:pt>
                <c:pt idx="13">
                  <c:v>-2.472470666058578</c:v>
                </c:pt>
                <c:pt idx="14">
                  <c:v>-2.7195815918391122</c:v>
                </c:pt>
                <c:pt idx="15">
                  <c:v>-2.9710567472164962</c:v>
                </c:pt>
                <c:pt idx="16">
                  <c:v>-3.2249631586162302</c:v>
                </c:pt>
                <c:pt idx="17">
                  <c:v>-3.477474141012237</c:v>
                </c:pt>
                <c:pt idx="18">
                  <c:v>-3.7248543785559098</c:v>
                </c:pt>
                <c:pt idx="19">
                  <c:v>-3.9611428240360369</c:v>
                </c:pt>
                <c:pt idx="20">
                  <c:v>-4.1820528309615916</c:v>
                </c:pt>
                <c:pt idx="21">
                  <c:v>-4.3846916335228858</c:v>
                </c:pt>
                <c:pt idx="22">
                  <c:v>-4.562036588425685</c:v>
                </c:pt>
                <c:pt idx="23">
                  <c:v>-4.707165401288643</c:v>
                </c:pt>
                <c:pt idx="24">
                  <c:v>-4.8124627719409956</c:v>
                </c:pt>
                <c:pt idx="25">
                  <c:v>-4.8684799259888214</c:v>
                </c:pt>
                <c:pt idx="26">
                  <c:v>-4.8697292064144069</c:v>
                </c:pt>
                <c:pt idx="27">
                  <c:v>-4.8120421730144454</c:v>
                </c:pt>
                <c:pt idx="28">
                  <c:v>-4.6956828172019849</c:v>
                </c:pt>
                <c:pt idx="29">
                  <c:v>-4.5227924010192169</c:v>
                </c:pt>
                <c:pt idx="30">
                  <c:v>-4.3009814105940487</c:v>
                </c:pt>
                <c:pt idx="31">
                  <c:v>-4.0391836972674966</c:v>
                </c:pt>
                <c:pt idx="32">
                  <c:v>-3.7474919465178971</c:v>
                </c:pt>
                <c:pt idx="33">
                  <c:v>-3.4395526154829681</c:v>
                </c:pt>
                <c:pt idx="34">
                  <c:v>-3.127483942118328</c:v>
                </c:pt>
                <c:pt idx="35">
                  <c:v>-2.8218378841653751</c:v>
                </c:pt>
                <c:pt idx="36">
                  <c:v>-2.538107922776506</c:v>
                </c:pt>
                <c:pt idx="37">
                  <c:v>-2.2697536215192109</c:v>
                </c:pt>
                <c:pt idx="38">
                  <c:v>-2.02352105396794</c:v>
                </c:pt>
                <c:pt idx="39">
                  <c:v>-1.801556743755437</c:v>
                </c:pt>
                <c:pt idx="40">
                  <c:v>-1.6039039392930989</c:v>
                </c:pt>
                <c:pt idx="41">
                  <c:v>-1.4302329445910771</c:v>
                </c:pt>
                <c:pt idx="42">
                  <c:v>-0.81151963390989201</c:v>
                </c:pt>
                <c:pt idx="43">
                  <c:v>-0.42286655750289898</c:v>
                </c:pt>
                <c:pt idx="44">
                  <c:v>-8.4582180179572697E-2</c:v>
                </c:pt>
                <c:pt idx="45">
                  <c:v>0.26410939064143402</c:v>
                </c:pt>
                <c:pt idx="46">
                  <c:v>0.63091012694659698</c:v>
                </c:pt>
                <c:pt idx="47">
                  <c:v>1.0108072950337781</c:v>
                </c:pt>
                <c:pt idx="48">
                  <c:v>1.4027947009748041</c:v>
                </c:pt>
                <c:pt idx="49">
                  <c:v>1.8027917930725621</c:v>
                </c:pt>
                <c:pt idx="50">
                  <c:v>2.2095648550529381</c:v>
                </c:pt>
                <c:pt idx="51">
                  <c:v>2.6219042365086911</c:v>
                </c:pt>
              </c:numCache>
            </c:numRef>
          </c:yVal>
          <c:smooth val="1"/>
        </c:ser>
        <c:ser>
          <c:idx val="1"/>
          <c:order val="2"/>
          <c:tx>
            <c:strRef>
              <c:f>Sheet4!$T$2</c:f>
              <c:strCache>
                <c:ptCount val="1"/>
                <c:pt idx="0">
                  <c:v>Cladding: FeCrAl   CB: SiC/Cr/Ni</c:v>
                </c:pt>
              </c:strCache>
            </c:strRef>
          </c:tx>
          <c:marker>
            <c:symbol val="square"/>
            <c:size val="5"/>
          </c:marker>
          <c:xVal>
            <c:numRef>
              <c:f>Sheet4!$M$3:$M$54</c:f>
              <c:numCache>
                <c:formatCode>0.0</c:formatCode>
                <c:ptCount val="52"/>
                <c:pt idx="0">
                  <c:v>0</c:v>
                </c:pt>
                <c:pt idx="1">
                  <c:v>4.291666666666667</c:v>
                </c:pt>
                <c:pt idx="2">
                  <c:v>21.416666666666671</c:v>
                </c:pt>
                <c:pt idx="3">
                  <c:v>42.833333333333343</c:v>
                </c:pt>
                <c:pt idx="4">
                  <c:v>64.2916666666667</c:v>
                </c:pt>
                <c:pt idx="5">
                  <c:v>85.7083333333333</c:v>
                </c:pt>
                <c:pt idx="6">
                  <c:v>107.125</c:v>
                </c:pt>
                <c:pt idx="7">
                  <c:v>128.5416666666666</c:v>
                </c:pt>
                <c:pt idx="8">
                  <c:v>149.9583333333334</c:v>
                </c:pt>
                <c:pt idx="9">
                  <c:v>171.4166666666666</c:v>
                </c:pt>
                <c:pt idx="10">
                  <c:v>192.8333333333334</c:v>
                </c:pt>
                <c:pt idx="11">
                  <c:v>214.25</c:v>
                </c:pt>
                <c:pt idx="12">
                  <c:v>235.6666666666666</c:v>
                </c:pt>
                <c:pt idx="13">
                  <c:v>257.08333333333331</c:v>
                </c:pt>
                <c:pt idx="14">
                  <c:v>278.5</c:v>
                </c:pt>
                <c:pt idx="15">
                  <c:v>299.95833333333331</c:v>
                </c:pt>
                <c:pt idx="16">
                  <c:v>321.375</c:v>
                </c:pt>
                <c:pt idx="17">
                  <c:v>342.79166666666669</c:v>
                </c:pt>
                <c:pt idx="18">
                  <c:v>364.20833333333331</c:v>
                </c:pt>
                <c:pt idx="19">
                  <c:v>385.625</c:v>
                </c:pt>
                <c:pt idx="20">
                  <c:v>407.08333333333331</c:v>
                </c:pt>
                <c:pt idx="21">
                  <c:v>428.5</c:v>
                </c:pt>
                <c:pt idx="22">
                  <c:v>449.91666666666669</c:v>
                </c:pt>
                <c:pt idx="23">
                  <c:v>471.33333333333331</c:v>
                </c:pt>
                <c:pt idx="24">
                  <c:v>492.75</c:v>
                </c:pt>
                <c:pt idx="25">
                  <c:v>514.20833333333371</c:v>
                </c:pt>
                <c:pt idx="26">
                  <c:v>535.625</c:v>
                </c:pt>
                <c:pt idx="27">
                  <c:v>557.04166666666663</c:v>
                </c:pt>
                <c:pt idx="28">
                  <c:v>578.45833333333337</c:v>
                </c:pt>
                <c:pt idx="29">
                  <c:v>599.875</c:v>
                </c:pt>
                <c:pt idx="30">
                  <c:v>621.33333333333337</c:v>
                </c:pt>
                <c:pt idx="31">
                  <c:v>642.75</c:v>
                </c:pt>
                <c:pt idx="32">
                  <c:v>664.16666666666663</c:v>
                </c:pt>
                <c:pt idx="33">
                  <c:v>685.58333333333371</c:v>
                </c:pt>
                <c:pt idx="34">
                  <c:v>707</c:v>
                </c:pt>
                <c:pt idx="35">
                  <c:v>728.45833333333337</c:v>
                </c:pt>
                <c:pt idx="36">
                  <c:v>749.875</c:v>
                </c:pt>
                <c:pt idx="37">
                  <c:v>771.29166666666686</c:v>
                </c:pt>
                <c:pt idx="38">
                  <c:v>792.70833333333371</c:v>
                </c:pt>
                <c:pt idx="39">
                  <c:v>814.125</c:v>
                </c:pt>
                <c:pt idx="40">
                  <c:v>835.54166666666663</c:v>
                </c:pt>
                <c:pt idx="41">
                  <c:v>857</c:v>
                </c:pt>
                <c:pt idx="42">
                  <c:v>964.125</c:v>
                </c:pt>
                <c:pt idx="43">
                  <c:v>1071.25</c:v>
                </c:pt>
                <c:pt idx="44">
                  <c:v>1178.375</c:v>
                </c:pt>
                <c:pt idx="45">
                  <c:v>1285.5</c:v>
                </c:pt>
                <c:pt idx="46">
                  <c:v>1392.583333333333</c:v>
                </c:pt>
                <c:pt idx="47">
                  <c:v>1499.708333333333</c:v>
                </c:pt>
                <c:pt idx="48">
                  <c:v>1606.833333333333</c:v>
                </c:pt>
                <c:pt idx="49">
                  <c:v>1713.958333333333</c:v>
                </c:pt>
                <c:pt idx="50">
                  <c:v>1821.083333333333</c:v>
                </c:pt>
                <c:pt idx="51">
                  <c:v>1928.208333333333</c:v>
                </c:pt>
              </c:numCache>
            </c:numRef>
          </c:xVal>
          <c:yVal>
            <c:numRef>
              <c:f>Sheet4!$T$3:$T$54</c:f>
              <c:numCache>
                <c:formatCode>General</c:formatCode>
                <c:ptCount val="52"/>
                <c:pt idx="0">
                  <c:v>-1.166012820500981</c:v>
                </c:pt>
                <c:pt idx="1">
                  <c:v>-0.77221752581501601</c:v>
                </c:pt>
                <c:pt idx="2">
                  <c:v>-1.027286621050475</c:v>
                </c:pt>
                <c:pt idx="3">
                  <c:v>-1.192975009086344</c:v>
                </c:pt>
                <c:pt idx="4">
                  <c:v>-1.3621470651896881</c:v>
                </c:pt>
                <c:pt idx="5">
                  <c:v>-1.527177978831475</c:v>
                </c:pt>
                <c:pt idx="6">
                  <c:v>-1.7003732466345769</c:v>
                </c:pt>
                <c:pt idx="7">
                  <c:v>-1.88550914652162</c:v>
                </c:pt>
                <c:pt idx="8">
                  <c:v>-2.0815345498931799</c:v>
                </c:pt>
                <c:pt idx="9">
                  <c:v>-2.2867234118641542</c:v>
                </c:pt>
                <c:pt idx="10">
                  <c:v>-2.5001210898542201</c:v>
                </c:pt>
                <c:pt idx="11">
                  <c:v>-2.720914963533434</c:v>
                </c:pt>
                <c:pt idx="12">
                  <c:v>-2.949984976159385</c:v>
                </c:pt>
                <c:pt idx="13">
                  <c:v>-3.1873442192706332</c:v>
                </c:pt>
                <c:pt idx="14">
                  <c:v>-3.43140380480517</c:v>
                </c:pt>
                <c:pt idx="15">
                  <c:v>-3.6800763915314718</c:v>
                </c:pt>
                <c:pt idx="16">
                  <c:v>-3.9312216651815892</c:v>
                </c:pt>
                <c:pt idx="17">
                  <c:v>-4.1812828051604622</c:v>
                </c:pt>
                <c:pt idx="18">
                  <c:v>-4.4265630570749384</c:v>
                </c:pt>
                <c:pt idx="19">
                  <c:v>-4.6607153801849641</c:v>
                </c:pt>
                <c:pt idx="20">
                  <c:v>-4.8800773321674793</c:v>
                </c:pt>
                <c:pt idx="21">
                  <c:v>-5.0815946969004209</c:v>
                </c:pt>
                <c:pt idx="22">
                  <c:v>-5.2582496980872584</c:v>
                </c:pt>
                <c:pt idx="23">
                  <c:v>-5.4031832755448024</c:v>
                </c:pt>
                <c:pt idx="24">
                  <c:v>-5.5087864022518556</c:v>
                </c:pt>
                <c:pt idx="25">
                  <c:v>-5.5655656704788381</c:v>
                </c:pt>
                <c:pt idx="26">
                  <c:v>-5.568091963818957</c:v>
                </c:pt>
                <c:pt idx="27">
                  <c:v>-5.5121991898623239</c:v>
                </c:pt>
                <c:pt idx="28">
                  <c:v>-5.3979698757887453</c:v>
                </c:pt>
                <c:pt idx="29">
                  <c:v>-5.2276150040801426</c:v>
                </c:pt>
                <c:pt idx="30">
                  <c:v>-5.0085053336320779</c:v>
                </c:pt>
                <c:pt idx="31">
                  <c:v>-4.7496077840954767</c:v>
                </c:pt>
                <c:pt idx="32">
                  <c:v>-4.4610992611651552</c:v>
                </c:pt>
                <c:pt idx="33">
                  <c:v>-4.1565762076488566</c:v>
                </c:pt>
                <c:pt idx="34">
                  <c:v>-3.848242283017528</c:v>
                </c:pt>
                <c:pt idx="35">
                  <c:v>-3.5458035424601682</c:v>
                </c:pt>
                <c:pt idx="36">
                  <c:v>-3.2651368007040751</c:v>
                </c:pt>
                <c:pt idx="37">
                  <c:v>-2.9995012080202348</c:v>
                </c:pt>
                <c:pt idx="38">
                  <c:v>-2.7559043490944508</c:v>
                </c:pt>
                <c:pt idx="39">
                  <c:v>-2.5363039326714878</c:v>
                </c:pt>
                <c:pt idx="40">
                  <c:v>-2.3406474585341628</c:v>
                </c:pt>
                <c:pt idx="41">
                  <c:v>-2.1686007411659061</c:v>
                </c:pt>
                <c:pt idx="42">
                  <c:v>-1.554627616757666</c:v>
                </c:pt>
                <c:pt idx="43">
                  <c:v>-1.166960183322673</c:v>
                </c:pt>
                <c:pt idx="44">
                  <c:v>-0.82829723615233697</c:v>
                </c:pt>
                <c:pt idx="45">
                  <c:v>-0.47883541134739599</c:v>
                </c:pt>
                <c:pt idx="46">
                  <c:v>-0.11140530822204101</c:v>
                </c:pt>
                <c:pt idx="47">
                  <c:v>0.26926899515856501</c:v>
                </c:pt>
                <c:pt idx="48">
                  <c:v>0.66220414457653798</c:v>
                </c:pt>
                <c:pt idx="49">
                  <c:v>1.063596513168598</c:v>
                </c:pt>
                <c:pt idx="50">
                  <c:v>1.472204953782801</c:v>
                </c:pt>
                <c:pt idx="51">
                  <c:v>1.886431267930873</c:v>
                </c:pt>
              </c:numCache>
            </c:numRef>
          </c:yVal>
          <c:smooth val="1"/>
        </c:ser>
        <c:dLbls>
          <c:showLegendKey val="0"/>
          <c:showVal val="0"/>
          <c:showCatName val="0"/>
          <c:showSerName val="0"/>
          <c:showPercent val="0"/>
          <c:showBubbleSize val="0"/>
        </c:dLbls>
        <c:axId val="134769664"/>
        <c:axId val="134792320"/>
      </c:scatterChart>
      <c:valAx>
        <c:axId val="134769664"/>
        <c:scaling>
          <c:orientation val="minMax"/>
          <c:max val="2000"/>
        </c:scaling>
        <c:delete val="0"/>
        <c:axPos val="b"/>
        <c:majorGridlines>
          <c:spPr>
            <a:ln>
              <a:prstDash val="sysDash"/>
            </a:ln>
          </c:spPr>
        </c:majorGridlines>
        <c:title>
          <c:tx>
            <c:rich>
              <a:bodyPr/>
              <a:lstStyle/>
              <a:p>
                <a:pPr>
                  <a:defRPr/>
                </a:pPr>
                <a:r>
                  <a:rPr lang="en-US"/>
                  <a:t>EFPD</a:t>
                </a:r>
              </a:p>
            </c:rich>
          </c:tx>
          <c:layout/>
          <c:overlay val="0"/>
        </c:title>
        <c:numFmt formatCode="0" sourceLinked="0"/>
        <c:majorTickMark val="out"/>
        <c:minorTickMark val="none"/>
        <c:tickLblPos val="low"/>
        <c:crossAx val="134792320"/>
        <c:crosses val="autoZero"/>
        <c:crossBetween val="midCat"/>
        <c:majorUnit val="400"/>
      </c:valAx>
      <c:valAx>
        <c:axId val="134792320"/>
        <c:scaling>
          <c:orientation val="minMax"/>
        </c:scaling>
        <c:delete val="0"/>
        <c:axPos val="l"/>
        <c:majorGridlines>
          <c:spPr>
            <a:ln>
              <a:prstDash val="sysDash"/>
            </a:ln>
          </c:spPr>
        </c:majorGridlines>
        <c:title>
          <c:tx>
            <c:rich>
              <a:bodyPr rot="-5400000" vert="horz"/>
              <a:lstStyle/>
              <a:p>
                <a:pPr>
                  <a:defRPr/>
                </a:pPr>
                <a:r>
                  <a:rPr lang="el-GR"/>
                  <a:t>Δ</a:t>
                </a:r>
                <a:r>
                  <a:rPr lang="en-US"/>
                  <a:t>k-infinity (%)</a:t>
                </a:r>
              </a:p>
            </c:rich>
          </c:tx>
          <c:layout/>
          <c:overlay val="0"/>
        </c:title>
        <c:numFmt formatCode="#,##0.0" sourceLinked="0"/>
        <c:majorTickMark val="out"/>
        <c:minorTickMark val="none"/>
        <c:tickLblPos val="nextTo"/>
        <c:crossAx val="134769664"/>
        <c:crosses val="autoZero"/>
        <c:crossBetween val="midCat"/>
      </c:valAx>
      <c:spPr>
        <a:ln>
          <a:solidFill>
            <a:schemeClr val="tx1"/>
          </a:solidFill>
        </a:ln>
      </c:spPr>
    </c:plotArea>
    <c:legend>
      <c:legendPos val="r"/>
      <c:layout>
        <c:manualLayout>
          <c:xMode val="edge"/>
          <c:yMode val="edge"/>
          <c:x val="0.143405843040496"/>
          <c:y val="5.9134036816826503E-2"/>
          <c:w val="0.50537889406733505"/>
          <c:h val="0.188421447319085"/>
        </c:manualLayout>
      </c:layout>
      <c:overlay val="0"/>
      <c:spPr>
        <a:solidFill>
          <a:schemeClr val="bg1"/>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8.4614208908701097E-2"/>
          <c:y val="3.6068045367329903E-2"/>
          <c:w val="0.86026546969573403"/>
          <c:h val="0.83680673296470898"/>
        </c:manualLayout>
      </c:layout>
      <c:scatterChart>
        <c:scatterStyle val="smoothMarker"/>
        <c:varyColors val="0"/>
        <c:ser>
          <c:idx val="0"/>
          <c:order val="0"/>
          <c:tx>
            <c:strRef>
              <c:f>Depletion!$F$57</c:f>
              <c:strCache>
                <c:ptCount val="1"/>
                <c:pt idx="0">
                  <c:v>BOL</c:v>
                </c:pt>
              </c:strCache>
            </c:strRef>
          </c:tx>
          <c:marker>
            <c:symbol val="diamond"/>
            <c:size val="5"/>
          </c:marker>
          <c:xVal>
            <c:numRef>
              <c:f>Depletion!$J$56:$AG$56</c:f>
              <c:numCache>
                <c:formatCode>General</c:formatCode>
                <c:ptCount val="24"/>
                <c:pt idx="0">
                  <c:v>0.15240000000000001</c:v>
                </c:pt>
                <c:pt idx="1">
                  <c:v>0.30480000000000002</c:v>
                </c:pt>
                <c:pt idx="2">
                  <c:v>0.4572</c:v>
                </c:pt>
                <c:pt idx="3">
                  <c:v>0.60960000000000003</c:v>
                </c:pt>
                <c:pt idx="4">
                  <c:v>0.76200000000000001</c:v>
                </c:pt>
                <c:pt idx="5">
                  <c:v>0.91439999999999999</c:v>
                </c:pt>
                <c:pt idx="6">
                  <c:v>1.0668</c:v>
                </c:pt>
                <c:pt idx="7">
                  <c:v>1.2192000000000001</c:v>
                </c:pt>
                <c:pt idx="8">
                  <c:v>1.3715999999999999</c:v>
                </c:pt>
                <c:pt idx="9">
                  <c:v>1.524</c:v>
                </c:pt>
                <c:pt idx="10">
                  <c:v>1.6763999999999999</c:v>
                </c:pt>
                <c:pt idx="11">
                  <c:v>1.8288</c:v>
                </c:pt>
                <c:pt idx="12">
                  <c:v>1.9812000000000001</c:v>
                </c:pt>
                <c:pt idx="13">
                  <c:v>2.1335999999999999</c:v>
                </c:pt>
                <c:pt idx="14">
                  <c:v>2.286</c:v>
                </c:pt>
                <c:pt idx="15">
                  <c:v>2.4384000000000001</c:v>
                </c:pt>
                <c:pt idx="16">
                  <c:v>2.5908000000000002</c:v>
                </c:pt>
                <c:pt idx="17">
                  <c:v>2.7431999999999999</c:v>
                </c:pt>
                <c:pt idx="18">
                  <c:v>2.8955999999999991</c:v>
                </c:pt>
                <c:pt idx="19">
                  <c:v>3.048</c:v>
                </c:pt>
                <c:pt idx="20">
                  <c:v>3.2004000000000001</c:v>
                </c:pt>
                <c:pt idx="21">
                  <c:v>3.352799999999998</c:v>
                </c:pt>
                <c:pt idx="22">
                  <c:v>3.5051999999999999</c:v>
                </c:pt>
                <c:pt idx="23">
                  <c:v>3.6576</c:v>
                </c:pt>
              </c:numCache>
            </c:numRef>
          </c:xVal>
          <c:yVal>
            <c:numRef>
              <c:f>Depletion!$J$57:$AG$57</c:f>
              <c:numCache>
                <c:formatCode>General</c:formatCode>
                <c:ptCount val="24"/>
                <c:pt idx="0">
                  <c:v>3.0464243878421402</c:v>
                </c:pt>
                <c:pt idx="1">
                  <c:v>17.132102554936399</c:v>
                </c:pt>
                <c:pt idx="2">
                  <c:v>23.691120738699158</c:v>
                </c:pt>
                <c:pt idx="3">
                  <c:v>28.89257909082696</c:v>
                </c:pt>
                <c:pt idx="4">
                  <c:v>34.037314887315397</c:v>
                </c:pt>
                <c:pt idx="5">
                  <c:v>38.376590393725209</c:v>
                </c:pt>
                <c:pt idx="6">
                  <c:v>41.267549979477081</c:v>
                </c:pt>
                <c:pt idx="7">
                  <c:v>42.689395374169962</c:v>
                </c:pt>
                <c:pt idx="8">
                  <c:v>43.317124989912003</c:v>
                </c:pt>
                <c:pt idx="9">
                  <c:v>43.116705293319683</c:v>
                </c:pt>
                <c:pt idx="10">
                  <c:v>42.003052450933907</c:v>
                </c:pt>
                <c:pt idx="11">
                  <c:v>40.68330765639184</c:v>
                </c:pt>
                <c:pt idx="12">
                  <c:v>38.59024535330007</c:v>
                </c:pt>
                <c:pt idx="13">
                  <c:v>35.8978147122859</c:v>
                </c:pt>
                <c:pt idx="14">
                  <c:v>32.783746407685911</c:v>
                </c:pt>
                <c:pt idx="15">
                  <c:v>29.34825028779635</c:v>
                </c:pt>
                <c:pt idx="16">
                  <c:v>24.108326193576321</c:v>
                </c:pt>
                <c:pt idx="17">
                  <c:v>21.31010549341708</c:v>
                </c:pt>
                <c:pt idx="18">
                  <c:v>18.889870250739001</c:v>
                </c:pt>
                <c:pt idx="19">
                  <c:v>16.595630160554681</c:v>
                </c:pt>
                <c:pt idx="20">
                  <c:v>14.10393498064137</c:v>
                </c:pt>
                <c:pt idx="21">
                  <c:v>11.134586536050341</c:v>
                </c:pt>
                <c:pt idx="22">
                  <c:v>7.6217664635385978</c:v>
                </c:pt>
                <c:pt idx="23">
                  <c:v>2.5293056731950201</c:v>
                </c:pt>
              </c:numCache>
            </c:numRef>
          </c:yVal>
          <c:smooth val="1"/>
        </c:ser>
        <c:ser>
          <c:idx val="1"/>
          <c:order val="1"/>
          <c:tx>
            <c:strRef>
              <c:f>Depletion!$F$58</c:f>
              <c:strCache>
                <c:ptCount val="1"/>
                <c:pt idx="0">
                  <c:v>MOL</c:v>
                </c:pt>
              </c:strCache>
            </c:strRef>
          </c:tx>
          <c:marker>
            <c:symbol val="square"/>
            <c:size val="5"/>
          </c:marker>
          <c:xVal>
            <c:numRef>
              <c:f>Depletion!$J$56:$AG$56</c:f>
              <c:numCache>
                <c:formatCode>General</c:formatCode>
                <c:ptCount val="24"/>
                <c:pt idx="0">
                  <c:v>0.15240000000000001</c:v>
                </c:pt>
                <c:pt idx="1">
                  <c:v>0.30480000000000002</c:v>
                </c:pt>
                <c:pt idx="2">
                  <c:v>0.4572</c:v>
                </c:pt>
                <c:pt idx="3">
                  <c:v>0.60960000000000003</c:v>
                </c:pt>
                <c:pt idx="4">
                  <c:v>0.76200000000000001</c:v>
                </c:pt>
                <c:pt idx="5">
                  <c:v>0.91439999999999999</c:v>
                </c:pt>
                <c:pt idx="6">
                  <c:v>1.0668</c:v>
                </c:pt>
                <c:pt idx="7">
                  <c:v>1.2192000000000001</c:v>
                </c:pt>
                <c:pt idx="8">
                  <c:v>1.3715999999999999</c:v>
                </c:pt>
                <c:pt idx="9">
                  <c:v>1.524</c:v>
                </c:pt>
                <c:pt idx="10">
                  <c:v>1.6763999999999999</c:v>
                </c:pt>
                <c:pt idx="11">
                  <c:v>1.8288</c:v>
                </c:pt>
                <c:pt idx="12">
                  <c:v>1.9812000000000001</c:v>
                </c:pt>
                <c:pt idx="13">
                  <c:v>2.1335999999999999</c:v>
                </c:pt>
                <c:pt idx="14">
                  <c:v>2.286</c:v>
                </c:pt>
                <c:pt idx="15">
                  <c:v>2.4384000000000001</c:v>
                </c:pt>
                <c:pt idx="16">
                  <c:v>2.5908000000000002</c:v>
                </c:pt>
                <c:pt idx="17">
                  <c:v>2.7431999999999999</c:v>
                </c:pt>
                <c:pt idx="18">
                  <c:v>2.8955999999999991</c:v>
                </c:pt>
                <c:pt idx="19">
                  <c:v>3.048</c:v>
                </c:pt>
                <c:pt idx="20">
                  <c:v>3.2004000000000001</c:v>
                </c:pt>
                <c:pt idx="21">
                  <c:v>3.352799999999998</c:v>
                </c:pt>
                <c:pt idx="22">
                  <c:v>3.5051999999999999</c:v>
                </c:pt>
                <c:pt idx="23">
                  <c:v>3.6576</c:v>
                </c:pt>
              </c:numCache>
            </c:numRef>
          </c:xVal>
          <c:yVal>
            <c:numRef>
              <c:f>Depletion!$J$58:$AG$58</c:f>
              <c:numCache>
                <c:formatCode>General</c:formatCode>
                <c:ptCount val="24"/>
                <c:pt idx="0">
                  <c:v>1.6989920316584981</c:v>
                </c:pt>
                <c:pt idx="1">
                  <c:v>8.0665616279855552</c:v>
                </c:pt>
                <c:pt idx="2">
                  <c:v>10.4315172424172</c:v>
                </c:pt>
                <c:pt idx="3">
                  <c:v>12.479550865534369</c:v>
                </c:pt>
                <c:pt idx="4">
                  <c:v>15.34081827768491</c:v>
                </c:pt>
                <c:pt idx="5">
                  <c:v>18.672983931647071</c:v>
                </c:pt>
                <c:pt idx="6">
                  <c:v>22.76755626282802</c:v>
                </c:pt>
                <c:pt idx="7">
                  <c:v>26.113176152270519</c:v>
                </c:pt>
                <c:pt idx="8">
                  <c:v>27.714230174429989</c:v>
                </c:pt>
                <c:pt idx="9">
                  <c:v>27.741138645390649</c:v>
                </c:pt>
                <c:pt idx="10">
                  <c:v>26.395715097357481</c:v>
                </c:pt>
                <c:pt idx="11">
                  <c:v>25.670681296472939</c:v>
                </c:pt>
                <c:pt idx="12">
                  <c:v>24.087566254953899</c:v>
                </c:pt>
                <c:pt idx="13">
                  <c:v>22.245830909201821</c:v>
                </c:pt>
                <c:pt idx="14">
                  <c:v>20.33831930110146</c:v>
                </c:pt>
                <c:pt idx="15">
                  <c:v>18.56684496285779</c:v>
                </c:pt>
                <c:pt idx="16">
                  <c:v>16.871642797522501</c:v>
                </c:pt>
                <c:pt idx="17">
                  <c:v>15.38705783536567</c:v>
                </c:pt>
                <c:pt idx="18">
                  <c:v>14.007126395213851</c:v>
                </c:pt>
                <c:pt idx="19">
                  <c:v>12.559917690915951</c:v>
                </c:pt>
                <c:pt idx="20">
                  <c:v>10.66419389231085</c:v>
                </c:pt>
                <c:pt idx="21">
                  <c:v>8.0927073516162462</c:v>
                </c:pt>
                <c:pt idx="22">
                  <c:v>5.1220423769882197</c:v>
                </c:pt>
                <c:pt idx="23">
                  <c:v>1.6400701948499941</c:v>
                </c:pt>
              </c:numCache>
            </c:numRef>
          </c:yVal>
          <c:smooth val="1"/>
        </c:ser>
        <c:ser>
          <c:idx val="2"/>
          <c:order val="2"/>
          <c:tx>
            <c:strRef>
              <c:f>Depletion!$F$59</c:f>
              <c:strCache>
                <c:ptCount val="1"/>
                <c:pt idx="0">
                  <c:v>EOL</c:v>
                </c:pt>
              </c:strCache>
            </c:strRef>
          </c:tx>
          <c:marker>
            <c:symbol val="triangle"/>
            <c:size val="5"/>
          </c:marker>
          <c:xVal>
            <c:numRef>
              <c:f>Depletion!$J$56:$AG$56</c:f>
              <c:numCache>
                <c:formatCode>General</c:formatCode>
                <c:ptCount val="24"/>
                <c:pt idx="0">
                  <c:v>0.15240000000000001</c:v>
                </c:pt>
                <c:pt idx="1">
                  <c:v>0.30480000000000002</c:v>
                </c:pt>
                <c:pt idx="2">
                  <c:v>0.4572</c:v>
                </c:pt>
                <c:pt idx="3">
                  <c:v>0.60960000000000003</c:v>
                </c:pt>
                <c:pt idx="4">
                  <c:v>0.76200000000000001</c:v>
                </c:pt>
                <c:pt idx="5">
                  <c:v>0.91439999999999999</c:v>
                </c:pt>
                <c:pt idx="6">
                  <c:v>1.0668</c:v>
                </c:pt>
                <c:pt idx="7">
                  <c:v>1.2192000000000001</c:v>
                </c:pt>
                <c:pt idx="8">
                  <c:v>1.3715999999999999</c:v>
                </c:pt>
                <c:pt idx="9">
                  <c:v>1.524</c:v>
                </c:pt>
                <c:pt idx="10">
                  <c:v>1.6763999999999999</c:v>
                </c:pt>
                <c:pt idx="11">
                  <c:v>1.8288</c:v>
                </c:pt>
                <c:pt idx="12">
                  <c:v>1.9812000000000001</c:v>
                </c:pt>
                <c:pt idx="13">
                  <c:v>2.1335999999999999</c:v>
                </c:pt>
                <c:pt idx="14">
                  <c:v>2.286</c:v>
                </c:pt>
                <c:pt idx="15">
                  <c:v>2.4384000000000001</c:v>
                </c:pt>
                <c:pt idx="16">
                  <c:v>2.5908000000000002</c:v>
                </c:pt>
                <c:pt idx="17">
                  <c:v>2.7431999999999999</c:v>
                </c:pt>
                <c:pt idx="18">
                  <c:v>2.8955999999999991</c:v>
                </c:pt>
                <c:pt idx="19">
                  <c:v>3.048</c:v>
                </c:pt>
                <c:pt idx="20">
                  <c:v>3.2004000000000001</c:v>
                </c:pt>
                <c:pt idx="21">
                  <c:v>3.352799999999998</c:v>
                </c:pt>
                <c:pt idx="22">
                  <c:v>3.5051999999999999</c:v>
                </c:pt>
                <c:pt idx="23">
                  <c:v>3.6576</c:v>
                </c:pt>
              </c:numCache>
            </c:numRef>
          </c:xVal>
          <c:yVal>
            <c:numRef>
              <c:f>Depletion!$J$59:$AG$59</c:f>
              <c:numCache>
                <c:formatCode>General</c:formatCode>
                <c:ptCount val="24"/>
                <c:pt idx="0">
                  <c:v>2.7370518734242628</c:v>
                </c:pt>
                <c:pt idx="1">
                  <c:v>10.20408084132468</c:v>
                </c:pt>
                <c:pt idx="2">
                  <c:v>12.144510613843689</c:v>
                </c:pt>
                <c:pt idx="3">
                  <c:v>14.0176422439632</c:v>
                </c:pt>
                <c:pt idx="4">
                  <c:v>17.053068875107449</c:v>
                </c:pt>
                <c:pt idx="5">
                  <c:v>20.481068003582141</c:v>
                </c:pt>
                <c:pt idx="6">
                  <c:v>24.57083219898529</c:v>
                </c:pt>
                <c:pt idx="7">
                  <c:v>26.952906031001039</c:v>
                </c:pt>
                <c:pt idx="8">
                  <c:v>28.169880772725389</c:v>
                </c:pt>
                <c:pt idx="9">
                  <c:v>28.7433170277545</c:v>
                </c:pt>
                <c:pt idx="10">
                  <c:v>27.36090101929803</c:v>
                </c:pt>
                <c:pt idx="11">
                  <c:v>27.653928347662539</c:v>
                </c:pt>
                <c:pt idx="12">
                  <c:v>26.115885384907219</c:v>
                </c:pt>
                <c:pt idx="13">
                  <c:v>24.19087810335477</c:v>
                </c:pt>
                <c:pt idx="14">
                  <c:v>22.034533457304018</c:v>
                </c:pt>
                <c:pt idx="15">
                  <c:v>19.753406838887521</c:v>
                </c:pt>
                <c:pt idx="16">
                  <c:v>17.248405144535742</c:v>
                </c:pt>
                <c:pt idx="17">
                  <c:v>15.30450350432543</c:v>
                </c:pt>
                <c:pt idx="18">
                  <c:v>13.79021688744387</c:v>
                </c:pt>
                <c:pt idx="19">
                  <c:v>12.508461174278199</c:v>
                </c:pt>
                <c:pt idx="20">
                  <c:v>11.16290124972708</c:v>
                </c:pt>
                <c:pt idx="21">
                  <c:v>9.4160837291296247</c:v>
                </c:pt>
                <c:pt idx="22">
                  <c:v>6.5689980299740327</c:v>
                </c:pt>
                <c:pt idx="23">
                  <c:v>2.2175508134857309</c:v>
                </c:pt>
              </c:numCache>
            </c:numRef>
          </c:yVal>
          <c:smooth val="1"/>
        </c:ser>
        <c:dLbls>
          <c:showLegendKey val="0"/>
          <c:showVal val="0"/>
          <c:showCatName val="0"/>
          <c:showSerName val="0"/>
          <c:showPercent val="0"/>
          <c:showBubbleSize val="0"/>
        </c:dLbls>
        <c:axId val="114050176"/>
        <c:axId val="114052096"/>
      </c:scatterChart>
      <c:valAx>
        <c:axId val="114050176"/>
        <c:scaling>
          <c:orientation val="minMax"/>
        </c:scaling>
        <c:delete val="0"/>
        <c:axPos val="b"/>
        <c:majorGridlines>
          <c:spPr>
            <a:ln>
              <a:solidFill>
                <a:schemeClr val="bg1">
                  <a:lumMod val="65000"/>
                </a:schemeClr>
              </a:solidFill>
              <a:prstDash val="sysDash"/>
            </a:ln>
          </c:spPr>
        </c:majorGridlines>
        <c:title>
          <c:tx>
            <c:rich>
              <a:bodyPr/>
              <a:lstStyle/>
              <a:p>
                <a:pPr>
                  <a:defRPr/>
                </a:pPr>
                <a:r>
                  <a:rPr lang="en-US"/>
                  <a:t>Axial Height (meters)</a:t>
                </a:r>
              </a:p>
            </c:rich>
          </c:tx>
          <c:layout/>
          <c:overlay val="0"/>
        </c:title>
        <c:numFmt formatCode="#,##0.0" sourceLinked="0"/>
        <c:majorTickMark val="out"/>
        <c:minorTickMark val="none"/>
        <c:tickLblPos val="nextTo"/>
        <c:crossAx val="114052096"/>
        <c:crosses val="autoZero"/>
        <c:crossBetween val="midCat"/>
      </c:valAx>
      <c:valAx>
        <c:axId val="114052096"/>
        <c:scaling>
          <c:orientation val="minMax"/>
        </c:scaling>
        <c:delete val="0"/>
        <c:axPos val="l"/>
        <c:majorGridlines>
          <c:spPr>
            <a:ln>
              <a:prstDash val="sysDash"/>
            </a:ln>
          </c:spPr>
        </c:majorGridlines>
        <c:title>
          <c:tx>
            <c:rich>
              <a:bodyPr rot="-5400000" vert="horz"/>
              <a:lstStyle/>
              <a:p>
                <a:pPr>
                  <a:defRPr/>
                </a:pPr>
                <a:r>
                  <a:rPr lang="en-US"/>
                  <a:t>Linear Heat Rate (kW/meter)</a:t>
                </a:r>
              </a:p>
            </c:rich>
          </c:tx>
          <c:layout/>
          <c:overlay val="0"/>
        </c:title>
        <c:numFmt formatCode="#,##0" sourceLinked="0"/>
        <c:majorTickMark val="out"/>
        <c:minorTickMark val="none"/>
        <c:tickLblPos val="nextTo"/>
        <c:crossAx val="114050176"/>
        <c:crosses val="autoZero"/>
        <c:crossBetween val="midCat"/>
      </c:valAx>
      <c:spPr>
        <a:ln>
          <a:solidFill>
            <a:sysClr val="windowText" lastClr="000000"/>
          </a:solidFill>
        </a:ln>
      </c:spPr>
    </c:plotArea>
    <c:legend>
      <c:legendPos val="r"/>
      <c:layout>
        <c:manualLayout>
          <c:xMode val="edge"/>
          <c:yMode val="edge"/>
          <c:x val="0.69713282049359004"/>
          <c:y val="5.9865285695808297E-2"/>
          <c:w val="0.156365844283855"/>
          <c:h val="0.166654969448749"/>
        </c:manualLayout>
      </c:layout>
      <c:overlay val="0"/>
      <c:spPr>
        <a:solidFill>
          <a:sysClr val="window" lastClr="FFFFFF"/>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3904396325459301"/>
          <c:y val="5.1400554097404502E-2"/>
          <c:w val="0.81687270341207396"/>
          <c:h val="0.78169364246135897"/>
        </c:manualLayout>
      </c:layout>
      <c:scatterChart>
        <c:scatterStyle val="smoothMarker"/>
        <c:varyColors val="0"/>
        <c:ser>
          <c:idx val="0"/>
          <c:order val="0"/>
          <c:tx>
            <c:strRef>
              <c:f>PeakFuelCenterlineTemp!$C$1</c:f>
              <c:strCache>
                <c:ptCount val="1"/>
                <c:pt idx="0">
                  <c:v>FeCrAl</c:v>
                </c:pt>
              </c:strCache>
            </c:strRef>
          </c:tx>
          <c:spPr>
            <a:ln w="38100"/>
          </c:spPr>
          <c:marker>
            <c:symbol val="none"/>
          </c:marker>
          <c:xVal>
            <c:numRef>
              <c:f>PeakFuelCenterlineTemp!$B$2:$B$257</c:f>
              <c:numCache>
                <c:formatCode>0.00E+00</c:formatCode>
                <c:ptCount val="256"/>
                <c:pt idx="0">
                  <c:v>0</c:v>
                </c:pt>
                <c:pt idx="1">
                  <c:v>1.1574074074074099E-2</c:v>
                </c:pt>
                <c:pt idx="2">
                  <c:v>3.4722222222222203E-2</c:v>
                </c:pt>
                <c:pt idx="3">
                  <c:v>8.1018518518518504E-2</c:v>
                </c:pt>
                <c:pt idx="4">
                  <c:v>0.17361111111111099</c:v>
                </c:pt>
                <c:pt idx="5">
                  <c:v>0.358796296296296</c:v>
                </c:pt>
                <c:pt idx="6">
                  <c:v>0.72916666666666596</c:v>
                </c:pt>
                <c:pt idx="7">
                  <c:v>1.469907407407407</c:v>
                </c:pt>
                <c:pt idx="8">
                  <c:v>2.9513888888888871</c:v>
                </c:pt>
                <c:pt idx="9">
                  <c:v>5.8449074074074048</c:v>
                </c:pt>
                <c:pt idx="10">
                  <c:v>8.738425925925922</c:v>
                </c:pt>
                <c:pt idx="11">
                  <c:v>11.631944444444439</c:v>
                </c:pt>
                <c:pt idx="12">
                  <c:v>14.52546296296296</c:v>
                </c:pt>
                <c:pt idx="13">
                  <c:v>17.418981481481481</c:v>
                </c:pt>
                <c:pt idx="14">
                  <c:v>20.3125</c:v>
                </c:pt>
                <c:pt idx="15">
                  <c:v>23.206018518518519</c:v>
                </c:pt>
                <c:pt idx="16">
                  <c:v>26.09953703703702</c:v>
                </c:pt>
                <c:pt idx="17">
                  <c:v>28.993055555555561</c:v>
                </c:pt>
                <c:pt idx="18">
                  <c:v>31.88657407407408</c:v>
                </c:pt>
                <c:pt idx="19">
                  <c:v>34.780092592592567</c:v>
                </c:pt>
                <c:pt idx="20">
                  <c:v>37.673611111111107</c:v>
                </c:pt>
                <c:pt idx="21">
                  <c:v>40.567129629629633</c:v>
                </c:pt>
                <c:pt idx="22">
                  <c:v>43.460648148148152</c:v>
                </c:pt>
                <c:pt idx="23">
                  <c:v>46.354166666666622</c:v>
                </c:pt>
                <c:pt idx="24">
                  <c:v>49.247685185185183</c:v>
                </c:pt>
                <c:pt idx="25">
                  <c:v>52.141203703703702</c:v>
                </c:pt>
                <c:pt idx="26">
                  <c:v>55.034722222222221</c:v>
                </c:pt>
                <c:pt idx="27">
                  <c:v>57.92824074074074</c:v>
                </c:pt>
                <c:pt idx="28">
                  <c:v>60.821759259259252</c:v>
                </c:pt>
                <c:pt idx="29">
                  <c:v>63.715277777777779</c:v>
                </c:pt>
                <c:pt idx="30">
                  <c:v>66.608796296296234</c:v>
                </c:pt>
                <c:pt idx="31">
                  <c:v>69.502314814814767</c:v>
                </c:pt>
                <c:pt idx="32">
                  <c:v>72.3958333333333</c:v>
                </c:pt>
                <c:pt idx="33">
                  <c:v>75.289351851851805</c:v>
                </c:pt>
                <c:pt idx="34">
                  <c:v>78.182870370370324</c:v>
                </c:pt>
                <c:pt idx="35">
                  <c:v>81.076388888888829</c:v>
                </c:pt>
                <c:pt idx="36">
                  <c:v>83.969907407407433</c:v>
                </c:pt>
                <c:pt idx="37">
                  <c:v>86.863425925925924</c:v>
                </c:pt>
                <c:pt idx="38">
                  <c:v>89.756944444444443</c:v>
                </c:pt>
                <c:pt idx="39">
                  <c:v>92.650462962962948</c:v>
                </c:pt>
                <c:pt idx="40">
                  <c:v>95.543981481481481</c:v>
                </c:pt>
                <c:pt idx="41">
                  <c:v>98.4375</c:v>
                </c:pt>
                <c:pt idx="42">
                  <c:v>101.3310185185185</c:v>
                </c:pt>
                <c:pt idx="43">
                  <c:v>104.224537037037</c:v>
                </c:pt>
                <c:pt idx="44">
                  <c:v>107.1180555555555</c:v>
                </c:pt>
                <c:pt idx="45">
                  <c:v>110.0115740740741</c:v>
                </c:pt>
                <c:pt idx="46">
                  <c:v>112.9050925925926</c:v>
                </c:pt>
                <c:pt idx="47">
                  <c:v>115.7986111111111</c:v>
                </c:pt>
                <c:pt idx="48">
                  <c:v>118.6921296296296</c:v>
                </c:pt>
                <c:pt idx="49">
                  <c:v>121.5856481481481</c:v>
                </c:pt>
                <c:pt idx="50">
                  <c:v>124.4791666666667</c:v>
                </c:pt>
                <c:pt idx="51">
                  <c:v>127.3726851851852</c:v>
                </c:pt>
                <c:pt idx="52">
                  <c:v>130.2662037037037</c:v>
                </c:pt>
                <c:pt idx="53">
                  <c:v>133.1597222222222</c:v>
                </c:pt>
                <c:pt idx="54">
                  <c:v>136.0532407407407</c:v>
                </c:pt>
                <c:pt idx="55">
                  <c:v>138.94675925925921</c:v>
                </c:pt>
                <c:pt idx="56">
                  <c:v>141.8402777777778</c:v>
                </c:pt>
                <c:pt idx="57">
                  <c:v>144.7337962962963</c:v>
                </c:pt>
                <c:pt idx="58">
                  <c:v>147.62731481481481</c:v>
                </c:pt>
                <c:pt idx="59">
                  <c:v>150.5208333333334</c:v>
                </c:pt>
                <c:pt idx="60">
                  <c:v>153.41435185185179</c:v>
                </c:pt>
                <c:pt idx="61">
                  <c:v>156.30787037037041</c:v>
                </c:pt>
                <c:pt idx="62">
                  <c:v>159.201388888889</c:v>
                </c:pt>
                <c:pt idx="63">
                  <c:v>162.09490740740739</c:v>
                </c:pt>
                <c:pt idx="64">
                  <c:v>164.98842592592601</c:v>
                </c:pt>
                <c:pt idx="65">
                  <c:v>167.88194444444451</c:v>
                </c:pt>
                <c:pt idx="66">
                  <c:v>170.77546296296291</c:v>
                </c:pt>
                <c:pt idx="67">
                  <c:v>173.6689814814815</c:v>
                </c:pt>
                <c:pt idx="68">
                  <c:v>176.5625</c:v>
                </c:pt>
                <c:pt idx="69">
                  <c:v>179.4560185185185</c:v>
                </c:pt>
                <c:pt idx="70">
                  <c:v>182.34953703703701</c:v>
                </c:pt>
                <c:pt idx="71">
                  <c:v>185.2430555555554</c:v>
                </c:pt>
                <c:pt idx="72">
                  <c:v>188.13657407407399</c:v>
                </c:pt>
                <c:pt idx="73">
                  <c:v>191.03009259259261</c:v>
                </c:pt>
                <c:pt idx="74">
                  <c:v>193.92361111111109</c:v>
                </c:pt>
                <c:pt idx="75">
                  <c:v>196.81712962962959</c:v>
                </c:pt>
                <c:pt idx="76">
                  <c:v>199.7106481481481</c:v>
                </c:pt>
                <c:pt idx="77">
                  <c:v>202.6041666666666</c:v>
                </c:pt>
                <c:pt idx="78">
                  <c:v>205.49768518518519</c:v>
                </c:pt>
                <c:pt idx="79">
                  <c:v>208.39120370370381</c:v>
                </c:pt>
                <c:pt idx="80">
                  <c:v>211.2847222222222</c:v>
                </c:pt>
                <c:pt idx="81">
                  <c:v>214.1782407407407</c:v>
                </c:pt>
                <c:pt idx="82">
                  <c:v>217.07175925925921</c:v>
                </c:pt>
                <c:pt idx="83">
                  <c:v>219.9652777777778</c:v>
                </c:pt>
                <c:pt idx="84">
                  <c:v>222.8587962962963</c:v>
                </c:pt>
                <c:pt idx="85">
                  <c:v>225.75231481481481</c:v>
                </c:pt>
                <c:pt idx="86">
                  <c:v>228.64583333333329</c:v>
                </c:pt>
                <c:pt idx="87">
                  <c:v>231.53935185185179</c:v>
                </c:pt>
                <c:pt idx="88">
                  <c:v>234.43287037037041</c:v>
                </c:pt>
                <c:pt idx="89">
                  <c:v>237.326388888889</c:v>
                </c:pt>
                <c:pt idx="90">
                  <c:v>240.21990740740739</c:v>
                </c:pt>
                <c:pt idx="91">
                  <c:v>243.1134259259259</c:v>
                </c:pt>
                <c:pt idx="92">
                  <c:v>246.00694444444451</c:v>
                </c:pt>
                <c:pt idx="93">
                  <c:v>248.90046296296299</c:v>
                </c:pt>
                <c:pt idx="94">
                  <c:v>251.7939814814815</c:v>
                </c:pt>
                <c:pt idx="95">
                  <c:v>254.6875</c:v>
                </c:pt>
                <c:pt idx="96">
                  <c:v>257.58101851851842</c:v>
                </c:pt>
                <c:pt idx="97">
                  <c:v>260.47453703703701</c:v>
                </c:pt>
                <c:pt idx="98">
                  <c:v>263.36805555555549</c:v>
                </c:pt>
                <c:pt idx="99">
                  <c:v>266.26157407407391</c:v>
                </c:pt>
                <c:pt idx="100">
                  <c:v>269.15509259259261</c:v>
                </c:pt>
                <c:pt idx="101">
                  <c:v>272.04861111111109</c:v>
                </c:pt>
                <c:pt idx="102">
                  <c:v>274.94212962962962</c:v>
                </c:pt>
                <c:pt idx="103">
                  <c:v>277.83564814814821</c:v>
                </c:pt>
                <c:pt idx="104">
                  <c:v>280.72916666666669</c:v>
                </c:pt>
                <c:pt idx="105">
                  <c:v>283.62268518518522</c:v>
                </c:pt>
                <c:pt idx="106">
                  <c:v>286.5162037037037</c:v>
                </c:pt>
                <c:pt idx="107">
                  <c:v>289.40972222222211</c:v>
                </c:pt>
                <c:pt idx="108">
                  <c:v>292.30324074074082</c:v>
                </c:pt>
                <c:pt idx="109">
                  <c:v>295.19675925925912</c:v>
                </c:pt>
                <c:pt idx="110">
                  <c:v>298.0902777777776</c:v>
                </c:pt>
                <c:pt idx="111">
                  <c:v>300.98379629629608</c:v>
                </c:pt>
                <c:pt idx="112">
                  <c:v>303.87731481481472</c:v>
                </c:pt>
                <c:pt idx="113">
                  <c:v>306.77083333333331</c:v>
                </c:pt>
                <c:pt idx="114">
                  <c:v>309.66435185185202</c:v>
                </c:pt>
                <c:pt idx="115">
                  <c:v>312.55787037037032</c:v>
                </c:pt>
                <c:pt idx="116">
                  <c:v>315.45138888888891</c:v>
                </c:pt>
                <c:pt idx="117">
                  <c:v>318.34490740740739</c:v>
                </c:pt>
                <c:pt idx="118">
                  <c:v>321.23842592592592</c:v>
                </c:pt>
                <c:pt idx="119">
                  <c:v>324.13194444444429</c:v>
                </c:pt>
                <c:pt idx="120">
                  <c:v>327.02546296296299</c:v>
                </c:pt>
                <c:pt idx="121">
                  <c:v>329.91898148148141</c:v>
                </c:pt>
                <c:pt idx="122">
                  <c:v>332.8125</c:v>
                </c:pt>
                <c:pt idx="123">
                  <c:v>335.70601851851842</c:v>
                </c:pt>
                <c:pt idx="124">
                  <c:v>338.59953703703701</c:v>
                </c:pt>
                <c:pt idx="125">
                  <c:v>341.49305555555537</c:v>
                </c:pt>
                <c:pt idx="126">
                  <c:v>344.38657407407391</c:v>
                </c:pt>
                <c:pt idx="127">
                  <c:v>347.28009259259238</c:v>
                </c:pt>
                <c:pt idx="128">
                  <c:v>350.17361111111109</c:v>
                </c:pt>
                <c:pt idx="129">
                  <c:v>353.06712962962968</c:v>
                </c:pt>
                <c:pt idx="130">
                  <c:v>355.96064814814821</c:v>
                </c:pt>
                <c:pt idx="131">
                  <c:v>358.8541666666668</c:v>
                </c:pt>
                <c:pt idx="132">
                  <c:v>361.74768518518522</c:v>
                </c:pt>
                <c:pt idx="133">
                  <c:v>364.6412037037037</c:v>
                </c:pt>
                <c:pt idx="134">
                  <c:v>367.53472222222211</c:v>
                </c:pt>
                <c:pt idx="135">
                  <c:v>370.42824074074059</c:v>
                </c:pt>
                <c:pt idx="136">
                  <c:v>373.32175925925912</c:v>
                </c:pt>
                <c:pt idx="137">
                  <c:v>376.2152777777776</c:v>
                </c:pt>
                <c:pt idx="138">
                  <c:v>379.10879629629619</c:v>
                </c:pt>
                <c:pt idx="139">
                  <c:v>382.00231481481472</c:v>
                </c:pt>
                <c:pt idx="140">
                  <c:v>384.89583333333331</c:v>
                </c:pt>
                <c:pt idx="141">
                  <c:v>387.78935185185179</c:v>
                </c:pt>
                <c:pt idx="142">
                  <c:v>390.68287037037032</c:v>
                </c:pt>
                <c:pt idx="143">
                  <c:v>393.57638888888891</c:v>
                </c:pt>
                <c:pt idx="144">
                  <c:v>396.46990740740728</c:v>
                </c:pt>
                <c:pt idx="145">
                  <c:v>399.36342592592598</c:v>
                </c:pt>
                <c:pt idx="146">
                  <c:v>402.25694444444429</c:v>
                </c:pt>
                <c:pt idx="147">
                  <c:v>405.15046296296299</c:v>
                </c:pt>
                <c:pt idx="148">
                  <c:v>408.04398148148152</c:v>
                </c:pt>
                <c:pt idx="149">
                  <c:v>410.93749999999977</c:v>
                </c:pt>
                <c:pt idx="150">
                  <c:v>413.83101851851842</c:v>
                </c:pt>
                <c:pt idx="151">
                  <c:v>416.72453703703701</c:v>
                </c:pt>
                <c:pt idx="152">
                  <c:v>419.61805555555549</c:v>
                </c:pt>
                <c:pt idx="153">
                  <c:v>422.51157407407391</c:v>
                </c:pt>
                <c:pt idx="154">
                  <c:v>425.40509259259238</c:v>
                </c:pt>
                <c:pt idx="155">
                  <c:v>428.29861111111109</c:v>
                </c:pt>
                <c:pt idx="156">
                  <c:v>431.19212962962968</c:v>
                </c:pt>
                <c:pt idx="157">
                  <c:v>434.08564814814821</c:v>
                </c:pt>
                <c:pt idx="158">
                  <c:v>436.97916666666669</c:v>
                </c:pt>
                <c:pt idx="159">
                  <c:v>439.87268518518522</c:v>
                </c:pt>
                <c:pt idx="160">
                  <c:v>442.7662037037037</c:v>
                </c:pt>
                <c:pt idx="161">
                  <c:v>445.65972222222229</c:v>
                </c:pt>
                <c:pt idx="162">
                  <c:v>448.55324074074082</c:v>
                </c:pt>
                <c:pt idx="163">
                  <c:v>451.44675925925912</c:v>
                </c:pt>
                <c:pt idx="164">
                  <c:v>454.34027777777771</c:v>
                </c:pt>
                <c:pt idx="165">
                  <c:v>457.23379629629608</c:v>
                </c:pt>
                <c:pt idx="166">
                  <c:v>460.12731481481472</c:v>
                </c:pt>
                <c:pt idx="167">
                  <c:v>463.02083333333331</c:v>
                </c:pt>
                <c:pt idx="168">
                  <c:v>465.91435185185179</c:v>
                </c:pt>
                <c:pt idx="169">
                  <c:v>468.80787037037032</c:v>
                </c:pt>
                <c:pt idx="170">
                  <c:v>471.70138888888891</c:v>
                </c:pt>
                <c:pt idx="171">
                  <c:v>474.59490740740728</c:v>
                </c:pt>
                <c:pt idx="172">
                  <c:v>477.48842592592592</c:v>
                </c:pt>
                <c:pt idx="173">
                  <c:v>480.38194444444429</c:v>
                </c:pt>
                <c:pt idx="174">
                  <c:v>483.27546296296299</c:v>
                </c:pt>
                <c:pt idx="175">
                  <c:v>486.16898148148152</c:v>
                </c:pt>
                <c:pt idx="176">
                  <c:v>489.0625</c:v>
                </c:pt>
                <c:pt idx="177">
                  <c:v>491.95601851851842</c:v>
                </c:pt>
                <c:pt idx="178">
                  <c:v>494.84953703703701</c:v>
                </c:pt>
                <c:pt idx="179">
                  <c:v>497.74305555555549</c:v>
                </c:pt>
                <c:pt idx="180">
                  <c:v>500.63657407407391</c:v>
                </c:pt>
                <c:pt idx="181">
                  <c:v>503.53009259259238</c:v>
                </c:pt>
                <c:pt idx="182">
                  <c:v>506.42361111111109</c:v>
                </c:pt>
                <c:pt idx="183">
                  <c:v>509.31712962962968</c:v>
                </c:pt>
                <c:pt idx="184">
                  <c:v>512.21064814814815</c:v>
                </c:pt>
                <c:pt idx="185">
                  <c:v>515.10416666666686</c:v>
                </c:pt>
                <c:pt idx="186">
                  <c:v>517.99768518518499</c:v>
                </c:pt>
                <c:pt idx="187">
                  <c:v>520.89120370370335</c:v>
                </c:pt>
                <c:pt idx="188">
                  <c:v>523.78472222222251</c:v>
                </c:pt>
                <c:pt idx="189">
                  <c:v>526.67824074074076</c:v>
                </c:pt>
                <c:pt idx="190">
                  <c:v>529.57175925925935</c:v>
                </c:pt>
                <c:pt idx="191">
                  <c:v>532.46527777777783</c:v>
                </c:pt>
                <c:pt idx="192">
                  <c:v>535.35879629629653</c:v>
                </c:pt>
                <c:pt idx="193">
                  <c:v>538.25231481481455</c:v>
                </c:pt>
                <c:pt idx="194">
                  <c:v>541.14583333333337</c:v>
                </c:pt>
                <c:pt idx="195">
                  <c:v>544.03935185185185</c:v>
                </c:pt>
                <c:pt idx="196">
                  <c:v>546.93287037037055</c:v>
                </c:pt>
                <c:pt idx="197">
                  <c:v>549.82638888888869</c:v>
                </c:pt>
                <c:pt idx="198">
                  <c:v>552.7199074074075</c:v>
                </c:pt>
                <c:pt idx="199">
                  <c:v>555.61342592592587</c:v>
                </c:pt>
                <c:pt idx="200">
                  <c:v>558.50694444444446</c:v>
                </c:pt>
                <c:pt idx="201">
                  <c:v>561.40046296296305</c:v>
                </c:pt>
                <c:pt idx="202">
                  <c:v>564.29398148148152</c:v>
                </c:pt>
                <c:pt idx="203">
                  <c:v>567.1875</c:v>
                </c:pt>
                <c:pt idx="204">
                  <c:v>570.08101851851859</c:v>
                </c:pt>
                <c:pt idx="205">
                  <c:v>572.97453703703741</c:v>
                </c:pt>
                <c:pt idx="206">
                  <c:v>575.86805555555543</c:v>
                </c:pt>
                <c:pt idx="207">
                  <c:v>578.76157407407413</c:v>
                </c:pt>
                <c:pt idx="208">
                  <c:v>581.65509259259261</c:v>
                </c:pt>
                <c:pt idx="209">
                  <c:v>584.54861111111109</c:v>
                </c:pt>
                <c:pt idx="210">
                  <c:v>587.44212962962933</c:v>
                </c:pt>
                <c:pt idx="211">
                  <c:v>590.33564814814804</c:v>
                </c:pt>
                <c:pt idx="212">
                  <c:v>593.22916666666686</c:v>
                </c:pt>
                <c:pt idx="213">
                  <c:v>596.12268518518488</c:v>
                </c:pt>
                <c:pt idx="214">
                  <c:v>599.01620370370335</c:v>
                </c:pt>
                <c:pt idx="215">
                  <c:v>601.90972222222217</c:v>
                </c:pt>
                <c:pt idx="216">
                  <c:v>604.80324074074042</c:v>
                </c:pt>
                <c:pt idx="217">
                  <c:v>607.69675925925935</c:v>
                </c:pt>
                <c:pt idx="218">
                  <c:v>610.59027777777806</c:v>
                </c:pt>
                <c:pt idx="219">
                  <c:v>613.48379629629665</c:v>
                </c:pt>
                <c:pt idx="220">
                  <c:v>616.37731481481467</c:v>
                </c:pt>
                <c:pt idx="221">
                  <c:v>619.27083333333371</c:v>
                </c:pt>
                <c:pt idx="222">
                  <c:v>622.16435185185185</c:v>
                </c:pt>
                <c:pt idx="223">
                  <c:v>625.05787037037055</c:v>
                </c:pt>
                <c:pt idx="224">
                  <c:v>627.95138888888869</c:v>
                </c:pt>
                <c:pt idx="225">
                  <c:v>630.84490740740739</c:v>
                </c:pt>
                <c:pt idx="226">
                  <c:v>633.73842592592598</c:v>
                </c:pt>
                <c:pt idx="227">
                  <c:v>636.63194444444446</c:v>
                </c:pt>
                <c:pt idx="228">
                  <c:v>639.52546296296305</c:v>
                </c:pt>
                <c:pt idx="229">
                  <c:v>642.41898148148141</c:v>
                </c:pt>
                <c:pt idx="230">
                  <c:v>645.31249999999977</c:v>
                </c:pt>
                <c:pt idx="231">
                  <c:v>648.20601851851859</c:v>
                </c:pt>
                <c:pt idx="232">
                  <c:v>651.09953703703741</c:v>
                </c:pt>
                <c:pt idx="233">
                  <c:v>653.99305555555554</c:v>
                </c:pt>
                <c:pt idx="234">
                  <c:v>656.88657407407402</c:v>
                </c:pt>
                <c:pt idx="235">
                  <c:v>659.78009259259284</c:v>
                </c:pt>
                <c:pt idx="236">
                  <c:v>662.67361111111109</c:v>
                </c:pt>
                <c:pt idx="237">
                  <c:v>665.56712962962933</c:v>
                </c:pt>
                <c:pt idx="238">
                  <c:v>668.46064814814804</c:v>
                </c:pt>
                <c:pt idx="239">
                  <c:v>671.35416666666663</c:v>
                </c:pt>
                <c:pt idx="240">
                  <c:v>674.24768518518488</c:v>
                </c:pt>
                <c:pt idx="241">
                  <c:v>677.14120370370335</c:v>
                </c:pt>
                <c:pt idx="242">
                  <c:v>680.03472222222217</c:v>
                </c:pt>
                <c:pt idx="243">
                  <c:v>682.92824074074042</c:v>
                </c:pt>
                <c:pt idx="244">
                  <c:v>685.82175925925935</c:v>
                </c:pt>
                <c:pt idx="245">
                  <c:v>688.71527777777806</c:v>
                </c:pt>
                <c:pt idx="246">
                  <c:v>691.60879629629665</c:v>
                </c:pt>
                <c:pt idx="247">
                  <c:v>694.50231481481467</c:v>
                </c:pt>
                <c:pt idx="248">
                  <c:v>697.39583333333337</c:v>
                </c:pt>
                <c:pt idx="249">
                  <c:v>700.28935185185196</c:v>
                </c:pt>
                <c:pt idx="250">
                  <c:v>703.18287037037055</c:v>
                </c:pt>
                <c:pt idx="251">
                  <c:v>706.07638888888903</c:v>
                </c:pt>
                <c:pt idx="252">
                  <c:v>708.96990740740739</c:v>
                </c:pt>
                <c:pt idx="253">
                  <c:v>711.86342592592575</c:v>
                </c:pt>
                <c:pt idx="254">
                  <c:v>714.75694444444446</c:v>
                </c:pt>
                <c:pt idx="255">
                  <c:v>717.65046296296305</c:v>
                </c:pt>
              </c:numCache>
            </c:numRef>
          </c:xVal>
          <c:yVal>
            <c:numRef>
              <c:f>PeakFuelCenterlineTemp!$C$2:$C$257</c:f>
              <c:numCache>
                <c:formatCode>General</c:formatCode>
                <c:ptCount val="256"/>
                <c:pt idx="0">
                  <c:v>300</c:v>
                </c:pt>
                <c:pt idx="1">
                  <c:v>583.01327605741994</c:v>
                </c:pt>
                <c:pt idx="2">
                  <c:v>634.29782156446004</c:v>
                </c:pt>
                <c:pt idx="3">
                  <c:v>735.52773626358999</c:v>
                </c:pt>
                <c:pt idx="4">
                  <c:v>949.54497421505005</c:v>
                </c:pt>
                <c:pt idx="5">
                  <c:v>1386.0779054959</c:v>
                </c:pt>
                <c:pt idx="6">
                  <c:v>1499.7747825060001</c:v>
                </c:pt>
                <c:pt idx="7">
                  <c:v>1499.4615985135999</c:v>
                </c:pt>
                <c:pt idx="8">
                  <c:v>1501.5697920744001</c:v>
                </c:pt>
                <c:pt idx="9">
                  <c:v>1508.355762163</c:v>
                </c:pt>
                <c:pt idx="10">
                  <c:v>1515.7444850932</c:v>
                </c:pt>
                <c:pt idx="11">
                  <c:v>1523.0700389410999</c:v>
                </c:pt>
                <c:pt idx="12">
                  <c:v>1530.1100935556001</c:v>
                </c:pt>
                <c:pt idx="13">
                  <c:v>1536.7953134743</c:v>
                </c:pt>
                <c:pt idx="14">
                  <c:v>1543.0830669623001</c:v>
                </c:pt>
                <c:pt idx="15">
                  <c:v>1549.0071018188</c:v>
                </c:pt>
                <c:pt idx="16">
                  <c:v>1554.6055069385</c:v>
                </c:pt>
                <c:pt idx="17">
                  <c:v>1559.9125723032</c:v>
                </c:pt>
                <c:pt idx="18">
                  <c:v>1564.9749133138</c:v>
                </c:pt>
                <c:pt idx="19">
                  <c:v>1569.8357716572</c:v>
                </c:pt>
                <c:pt idx="20">
                  <c:v>1574.5098996851</c:v>
                </c:pt>
                <c:pt idx="21">
                  <c:v>1579.0366948423</c:v>
                </c:pt>
                <c:pt idx="22">
                  <c:v>1583.4385512260999</c:v>
                </c:pt>
                <c:pt idx="23">
                  <c:v>1587.7191754237001</c:v>
                </c:pt>
                <c:pt idx="24">
                  <c:v>1591.9078235283</c:v>
                </c:pt>
                <c:pt idx="25">
                  <c:v>1596.0160908321</c:v>
                </c:pt>
                <c:pt idx="26">
                  <c:v>1600.0474384137999</c:v>
                </c:pt>
                <c:pt idx="27">
                  <c:v>1604.0056975943</c:v>
                </c:pt>
                <c:pt idx="28">
                  <c:v>1607.8988379845</c:v>
                </c:pt>
                <c:pt idx="29">
                  <c:v>1611.7345664290999</c:v>
                </c:pt>
                <c:pt idx="30">
                  <c:v>1615.5193907830001</c:v>
                </c:pt>
                <c:pt idx="31">
                  <c:v>1619.2752289401999</c:v>
                </c:pt>
                <c:pt idx="32">
                  <c:v>1623.0197881122001</c:v>
                </c:pt>
                <c:pt idx="33">
                  <c:v>1626.7475633619999</c:v>
                </c:pt>
                <c:pt idx="34">
                  <c:v>1630.4599481836001</c:v>
                </c:pt>
                <c:pt idx="35">
                  <c:v>1634.1565118312999</c:v>
                </c:pt>
                <c:pt idx="36">
                  <c:v>1637.8473784037999</c:v>
                </c:pt>
                <c:pt idx="37">
                  <c:v>1641.5763597800001</c:v>
                </c:pt>
                <c:pt idx="38">
                  <c:v>1645.3297104151</c:v>
                </c:pt>
                <c:pt idx="39">
                  <c:v>1649.1001576012</c:v>
                </c:pt>
                <c:pt idx="40">
                  <c:v>1652.8880396968</c:v>
                </c:pt>
                <c:pt idx="41">
                  <c:v>1656.6877036934</c:v>
                </c:pt>
                <c:pt idx="42">
                  <c:v>1660.4973108889999</c:v>
                </c:pt>
                <c:pt idx="43">
                  <c:v>1664.3162381131001</c:v>
                </c:pt>
                <c:pt idx="44">
                  <c:v>1668.1431802259999</c:v>
                </c:pt>
                <c:pt idx="45">
                  <c:v>1671.9753719024</c:v>
                </c:pt>
                <c:pt idx="46">
                  <c:v>1673.7860690112</c:v>
                </c:pt>
                <c:pt idx="47">
                  <c:v>1670.8746115097999</c:v>
                </c:pt>
                <c:pt idx="48">
                  <c:v>1668.0685568644999</c:v>
                </c:pt>
                <c:pt idx="49">
                  <c:v>1665.1949913020001</c:v>
                </c:pt>
                <c:pt idx="50">
                  <c:v>1662.2914100406999</c:v>
                </c:pt>
                <c:pt idx="51">
                  <c:v>1659.3732608239</c:v>
                </c:pt>
                <c:pt idx="52">
                  <c:v>1656.4429829631999</c:v>
                </c:pt>
                <c:pt idx="53">
                  <c:v>1653.5169278792</c:v>
                </c:pt>
                <c:pt idx="54">
                  <c:v>1650.5924710495999</c:v>
                </c:pt>
                <c:pt idx="55">
                  <c:v>1647.6655440735999</c:v>
                </c:pt>
                <c:pt idx="56">
                  <c:v>1644.7372370544999</c:v>
                </c:pt>
                <c:pt idx="57">
                  <c:v>1641.8081084813</c:v>
                </c:pt>
                <c:pt idx="58">
                  <c:v>1638.8790091743999</c:v>
                </c:pt>
                <c:pt idx="59">
                  <c:v>1635.9505077726001</c:v>
                </c:pt>
                <c:pt idx="60">
                  <c:v>1633.1219817850999</c:v>
                </c:pt>
                <c:pt idx="61">
                  <c:v>1630.7026917338001</c:v>
                </c:pt>
                <c:pt idx="62">
                  <c:v>1628.3037458230999</c:v>
                </c:pt>
                <c:pt idx="63">
                  <c:v>1625.902631787</c:v>
                </c:pt>
                <c:pt idx="64">
                  <c:v>1623.4998060150001</c:v>
                </c:pt>
                <c:pt idx="65">
                  <c:v>1621.0948658340999</c:v>
                </c:pt>
                <c:pt idx="66">
                  <c:v>1618.6879121674999</c:v>
                </c:pt>
                <c:pt idx="67">
                  <c:v>1616.2787757166</c:v>
                </c:pt>
                <c:pt idx="68">
                  <c:v>1613.8671367587001</c:v>
                </c:pt>
                <c:pt idx="69">
                  <c:v>1611.4530395685999</c:v>
                </c:pt>
                <c:pt idx="70">
                  <c:v>1609.0360417735999</c:v>
                </c:pt>
                <c:pt idx="71">
                  <c:v>1606.6149875287001</c:v>
                </c:pt>
                <c:pt idx="72">
                  <c:v>1604.1917720595</c:v>
                </c:pt>
                <c:pt idx="73">
                  <c:v>1601.7652155663</c:v>
                </c:pt>
                <c:pt idx="74">
                  <c:v>1599.3353864296</c:v>
                </c:pt>
                <c:pt idx="75">
                  <c:v>1596.9018693913999</c:v>
                </c:pt>
                <c:pt idx="76">
                  <c:v>1594.4648584484</c:v>
                </c:pt>
                <c:pt idx="77">
                  <c:v>1592.0241270290001</c:v>
                </c:pt>
                <c:pt idx="78">
                  <c:v>1589.5797244938001</c:v>
                </c:pt>
                <c:pt idx="79">
                  <c:v>1587.1314842071999</c:v>
                </c:pt>
                <c:pt idx="80">
                  <c:v>1584.6795031459001</c:v>
                </c:pt>
                <c:pt idx="81">
                  <c:v>1582.2236047071999</c:v>
                </c:pt>
                <c:pt idx="82">
                  <c:v>1579.7637904983001</c:v>
                </c:pt>
                <c:pt idx="83">
                  <c:v>1577.3003449390001</c:v>
                </c:pt>
                <c:pt idx="84">
                  <c:v>1573.0251271661</c:v>
                </c:pt>
                <c:pt idx="85">
                  <c:v>1562.3428889372001</c:v>
                </c:pt>
                <c:pt idx="86">
                  <c:v>1551.7115452180999</c:v>
                </c:pt>
                <c:pt idx="87">
                  <c:v>1541.1028454309001</c:v>
                </c:pt>
                <c:pt idx="88">
                  <c:v>1530.4682206634</c:v>
                </c:pt>
                <c:pt idx="89">
                  <c:v>1519.8193159898999</c:v>
                </c:pt>
                <c:pt idx="90">
                  <c:v>1510.5620448056</c:v>
                </c:pt>
                <c:pt idx="91">
                  <c:v>1501.5343315415</c:v>
                </c:pt>
                <c:pt idx="92">
                  <c:v>1492.4949749745001</c:v>
                </c:pt>
                <c:pt idx="93">
                  <c:v>1483.4485659641</c:v>
                </c:pt>
                <c:pt idx="94">
                  <c:v>1474.4322021621999</c:v>
                </c:pt>
                <c:pt idx="95">
                  <c:v>1465.4490876146001</c:v>
                </c:pt>
                <c:pt idx="96">
                  <c:v>1456.4741095925999</c:v>
                </c:pt>
                <c:pt idx="97">
                  <c:v>1462.3672859287999</c:v>
                </c:pt>
                <c:pt idx="98">
                  <c:v>1470.7925316755</c:v>
                </c:pt>
                <c:pt idx="99">
                  <c:v>1479.2575100387</c:v>
                </c:pt>
                <c:pt idx="100">
                  <c:v>1487.7691405759999</c:v>
                </c:pt>
                <c:pt idx="101">
                  <c:v>1496.3315398702</c:v>
                </c:pt>
                <c:pt idx="102">
                  <c:v>1504.944948632</c:v>
                </c:pt>
                <c:pt idx="103">
                  <c:v>1513.6353730410999</c:v>
                </c:pt>
                <c:pt idx="104">
                  <c:v>1523.3288312141001</c:v>
                </c:pt>
                <c:pt idx="105">
                  <c:v>1535.2394915734001</c:v>
                </c:pt>
                <c:pt idx="106">
                  <c:v>1547.2061142993</c:v>
                </c:pt>
                <c:pt idx="107">
                  <c:v>1559.2440196696</c:v>
                </c:pt>
                <c:pt idx="108">
                  <c:v>1571.4270332932001</c:v>
                </c:pt>
                <c:pt idx="109">
                  <c:v>1583.7189035683</c:v>
                </c:pt>
                <c:pt idx="110">
                  <c:v>1596.0804664704999</c:v>
                </c:pt>
                <c:pt idx="111">
                  <c:v>1608.5112023765</c:v>
                </c:pt>
                <c:pt idx="112">
                  <c:v>1621.0609407536001</c:v>
                </c:pt>
                <c:pt idx="113">
                  <c:v>1633.8479200648001</c:v>
                </c:pt>
                <c:pt idx="114">
                  <c:v>1646.7018400216</c:v>
                </c:pt>
                <c:pt idx="115">
                  <c:v>1659.6079562939999</c:v>
                </c:pt>
                <c:pt idx="116">
                  <c:v>1672.5719623424</c:v>
                </c:pt>
                <c:pt idx="117">
                  <c:v>1685.6577898306</c:v>
                </c:pt>
                <c:pt idx="118">
                  <c:v>1698.7927514389</c:v>
                </c:pt>
                <c:pt idx="119">
                  <c:v>1711.5870977653001</c:v>
                </c:pt>
                <c:pt idx="120">
                  <c:v>1706.3075018667</c:v>
                </c:pt>
                <c:pt idx="121">
                  <c:v>1700.9307737709</c:v>
                </c:pt>
                <c:pt idx="122">
                  <c:v>1695.2221272728</c:v>
                </c:pt>
                <c:pt idx="123">
                  <c:v>1689.3025880032001</c:v>
                </c:pt>
                <c:pt idx="124">
                  <c:v>1683.2183753249999</c:v>
                </c:pt>
                <c:pt idx="125">
                  <c:v>1677.0025731491</c:v>
                </c:pt>
                <c:pt idx="126">
                  <c:v>1670.6711126437999</c:v>
                </c:pt>
                <c:pt idx="127">
                  <c:v>1664.2442687997</c:v>
                </c:pt>
                <c:pt idx="128">
                  <c:v>1657.7378287247</c:v>
                </c:pt>
                <c:pt idx="129">
                  <c:v>1651.1656040201999</c:v>
                </c:pt>
                <c:pt idx="130">
                  <c:v>1644.5652575622</c:v>
                </c:pt>
                <c:pt idx="131">
                  <c:v>1637.9757213555999</c:v>
                </c:pt>
                <c:pt idx="132">
                  <c:v>1631.3469473237999</c:v>
                </c:pt>
                <c:pt idx="133">
                  <c:v>1624.6848622661</c:v>
                </c:pt>
                <c:pt idx="134">
                  <c:v>1617.9956598291999</c:v>
                </c:pt>
                <c:pt idx="135">
                  <c:v>1611.2837937203001</c:v>
                </c:pt>
                <c:pt idx="136">
                  <c:v>1604.5545933419</c:v>
                </c:pt>
                <c:pt idx="137">
                  <c:v>1597.8120573558001</c:v>
                </c:pt>
                <c:pt idx="138">
                  <c:v>1591.0610672529001</c:v>
                </c:pt>
                <c:pt idx="139">
                  <c:v>1584.5882727249</c:v>
                </c:pt>
                <c:pt idx="140">
                  <c:v>1580.1337957134001</c:v>
                </c:pt>
                <c:pt idx="141">
                  <c:v>1575.6856327341</c:v>
                </c:pt>
                <c:pt idx="142">
                  <c:v>1571.2490848605</c:v>
                </c:pt>
                <c:pt idx="143">
                  <c:v>1566.8315777041</c:v>
                </c:pt>
                <c:pt idx="144">
                  <c:v>1562.4401499738999</c:v>
                </c:pt>
                <c:pt idx="145">
                  <c:v>1558.1171522197001</c:v>
                </c:pt>
                <c:pt idx="146">
                  <c:v>1554.1351535992001</c:v>
                </c:pt>
                <c:pt idx="147">
                  <c:v>1550.2098591829999</c:v>
                </c:pt>
                <c:pt idx="148">
                  <c:v>1546.3503701080999</c:v>
                </c:pt>
                <c:pt idx="149">
                  <c:v>1544.5740467362</c:v>
                </c:pt>
                <c:pt idx="150">
                  <c:v>1544.2097152690001</c:v>
                </c:pt>
                <c:pt idx="151">
                  <c:v>1549.1657676646</c:v>
                </c:pt>
                <c:pt idx="152">
                  <c:v>1561.6499216303</c:v>
                </c:pt>
                <c:pt idx="153">
                  <c:v>1575.6480208349001</c:v>
                </c:pt>
                <c:pt idx="154">
                  <c:v>1589.8707703013999</c:v>
                </c:pt>
                <c:pt idx="155">
                  <c:v>1604.3645061261</c:v>
                </c:pt>
                <c:pt idx="156">
                  <c:v>1619.1522403711999</c:v>
                </c:pt>
                <c:pt idx="157">
                  <c:v>1633.8934005142</c:v>
                </c:pt>
                <c:pt idx="158">
                  <c:v>1637.5067476249999</c:v>
                </c:pt>
                <c:pt idx="159">
                  <c:v>1641.4084001952999</c:v>
                </c:pt>
                <c:pt idx="160">
                  <c:v>1645.3235331558001</c:v>
                </c:pt>
                <c:pt idx="161">
                  <c:v>1649.2477522613001</c:v>
                </c:pt>
                <c:pt idx="162">
                  <c:v>1653.1783061450999</c:v>
                </c:pt>
                <c:pt idx="163">
                  <c:v>1657.1170366872</c:v>
                </c:pt>
                <c:pt idx="164">
                  <c:v>1661.0782562233001</c:v>
                </c:pt>
                <c:pt idx="165">
                  <c:v>1665.0674938417999</c:v>
                </c:pt>
                <c:pt idx="166">
                  <c:v>1669.0782597825</c:v>
                </c:pt>
                <c:pt idx="167">
                  <c:v>1673.067892884</c:v>
                </c:pt>
                <c:pt idx="168">
                  <c:v>1677.0414737392</c:v>
                </c:pt>
                <c:pt idx="169">
                  <c:v>1681.0120163685001</c:v>
                </c:pt>
                <c:pt idx="170">
                  <c:v>1684.9780744576001</c:v>
                </c:pt>
                <c:pt idx="171">
                  <c:v>1688.9483971525001</c:v>
                </c:pt>
                <c:pt idx="172">
                  <c:v>1692.9519843916</c:v>
                </c:pt>
                <c:pt idx="173">
                  <c:v>1696.9677008174001</c:v>
                </c:pt>
                <c:pt idx="174">
                  <c:v>1700.9726909828</c:v>
                </c:pt>
                <c:pt idx="175">
                  <c:v>1704.9698716529001</c:v>
                </c:pt>
                <c:pt idx="176">
                  <c:v>1708.9874794540999</c:v>
                </c:pt>
                <c:pt idx="177">
                  <c:v>1713.1779650671999</c:v>
                </c:pt>
                <c:pt idx="178">
                  <c:v>1717.5266046437</c:v>
                </c:pt>
                <c:pt idx="179">
                  <c:v>1721.9778301855999</c:v>
                </c:pt>
                <c:pt idx="180">
                  <c:v>1726.5012295178999</c:v>
                </c:pt>
                <c:pt idx="181">
                  <c:v>1731.1033535923</c:v>
                </c:pt>
                <c:pt idx="182">
                  <c:v>1735.7859540447</c:v>
                </c:pt>
                <c:pt idx="183">
                  <c:v>1740.524969996</c:v>
                </c:pt>
                <c:pt idx="184">
                  <c:v>1745.6358878461001</c:v>
                </c:pt>
                <c:pt idx="185">
                  <c:v>1750.7887817784001</c:v>
                </c:pt>
                <c:pt idx="186">
                  <c:v>1755.9789979335001</c:v>
                </c:pt>
                <c:pt idx="187">
                  <c:v>1761.140340230899</c:v>
                </c:pt>
                <c:pt idx="188">
                  <c:v>1766.2839967099001</c:v>
                </c:pt>
                <c:pt idx="189">
                  <c:v>1771.4555342199999</c:v>
                </c:pt>
                <c:pt idx="190">
                  <c:v>1776.6194872148999</c:v>
                </c:pt>
                <c:pt idx="191">
                  <c:v>1781.7457209078</c:v>
                </c:pt>
                <c:pt idx="192">
                  <c:v>1786.8284166006999</c:v>
                </c:pt>
                <c:pt idx="193">
                  <c:v>1791.8705825489999</c:v>
                </c:pt>
                <c:pt idx="194">
                  <c:v>1796.8486410507001</c:v>
                </c:pt>
                <c:pt idx="195">
                  <c:v>1801.7447763007001</c:v>
                </c:pt>
                <c:pt idx="196">
                  <c:v>1806.5528581458</c:v>
                </c:pt>
                <c:pt idx="197">
                  <c:v>1811.2692508358</c:v>
                </c:pt>
                <c:pt idx="198">
                  <c:v>1815.8927052977001</c:v>
                </c:pt>
                <c:pt idx="199">
                  <c:v>1820.4214922804999</c:v>
                </c:pt>
                <c:pt idx="200">
                  <c:v>1824.8532869974999</c:v>
                </c:pt>
                <c:pt idx="201">
                  <c:v>1827.4708674914</c:v>
                </c:pt>
                <c:pt idx="202">
                  <c:v>1829.5636172612001</c:v>
                </c:pt>
                <c:pt idx="203">
                  <c:v>1831.5233738123</c:v>
                </c:pt>
                <c:pt idx="204">
                  <c:v>1833.3400087122</c:v>
                </c:pt>
                <c:pt idx="205">
                  <c:v>1835.0233933739</c:v>
                </c:pt>
                <c:pt idx="206">
                  <c:v>1836.5752176681001</c:v>
                </c:pt>
                <c:pt idx="207">
                  <c:v>1838.0003249996</c:v>
                </c:pt>
                <c:pt idx="208">
                  <c:v>1839.345315729</c:v>
                </c:pt>
                <c:pt idx="209">
                  <c:v>1840.6163573312001</c:v>
                </c:pt>
                <c:pt idx="210">
                  <c:v>1841.8838279597001</c:v>
                </c:pt>
                <c:pt idx="211">
                  <c:v>1843.0951310321</c:v>
                </c:pt>
                <c:pt idx="212">
                  <c:v>1844.2149777023001</c:v>
                </c:pt>
                <c:pt idx="213">
                  <c:v>1845.2447397154999</c:v>
                </c:pt>
                <c:pt idx="214">
                  <c:v>1846.1921551099001</c:v>
                </c:pt>
                <c:pt idx="215">
                  <c:v>1847.244698259</c:v>
                </c:pt>
                <c:pt idx="216">
                  <c:v>1848.4934689299</c:v>
                </c:pt>
                <c:pt idx="217">
                  <c:v>1849.9621198361999</c:v>
                </c:pt>
                <c:pt idx="218">
                  <c:v>1851.5593557277</c:v>
                </c:pt>
                <c:pt idx="219">
                  <c:v>1853.2296669876</c:v>
                </c:pt>
                <c:pt idx="220">
                  <c:v>1855.1036580324001</c:v>
                </c:pt>
                <c:pt idx="221">
                  <c:v>1857.1755510129999</c:v>
                </c:pt>
                <c:pt idx="222">
                  <c:v>1854.9582767326999</c:v>
                </c:pt>
                <c:pt idx="223">
                  <c:v>1841.1299238280999</c:v>
                </c:pt>
                <c:pt idx="224">
                  <c:v>1832.4644940838</c:v>
                </c:pt>
                <c:pt idx="225">
                  <c:v>1892.9204958138</c:v>
                </c:pt>
                <c:pt idx="226">
                  <c:v>1982.2341889502</c:v>
                </c:pt>
                <c:pt idx="227">
                  <c:v>2033.2529422760999</c:v>
                </c:pt>
                <c:pt idx="228">
                  <c:v>2036.9803537809</c:v>
                </c:pt>
                <c:pt idx="229">
                  <c:v>2038.6121660686999</c:v>
                </c:pt>
                <c:pt idx="230">
                  <c:v>2038.9546765511</c:v>
                </c:pt>
                <c:pt idx="231">
                  <c:v>2038.7654287589</c:v>
                </c:pt>
                <c:pt idx="232">
                  <c:v>2038.2966024095999</c:v>
                </c:pt>
                <c:pt idx="233">
                  <c:v>2037.6622158247001</c:v>
                </c:pt>
                <c:pt idx="234">
                  <c:v>2036.8830839868001</c:v>
                </c:pt>
                <c:pt idx="235">
                  <c:v>2035.9970521273001</c:v>
                </c:pt>
                <c:pt idx="236">
                  <c:v>2035.0346708344</c:v>
                </c:pt>
                <c:pt idx="237">
                  <c:v>2034.0165625604</c:v>
                </c:pt>
                <c:pt idx="238">
                  <c:v>2032.9588951807</c:v>
                </c:pt>
                <c:pt idx="239">
                  <c:v>2031.8755721796001</c:v>
                </c:pt>
                <c:pt idx="240">
                  <c:v>2030.7758904120001</c:v>
                </c:pt>
                <c:pt idx="241">
                  <c:v>2029.6684675961001</c:v>
                </c:pt>
                <c:pt idx="242">
                  <c:v>2028.5721830545999</c:v>
                </c:pt>
                <c:pt idx="243">
                  <c:v>2027.4906249124999</c:v>
                </c:pt>
                <c:pt idx="244">
                  <c:v>2026.4190565942999</c:v>
                </c:pt>
              </c:numCache>
            </c:numRef>
          </c:yVal>
          <c:smooth val="1"/>
        </c:ser>
        <c:ser>
          <c:idx val="1"/>
          <c:order val="1"/>
          <c:tx>
            <c:strRef>
              <c:f>PeakFuelCenterlineTemp!$D$1</c:f>
              <c:strCache>
                <c:ptCount val="1"/>
                <c:pt idx="0">
                  <c:v>FeCrAl - No Swelling</c:v>
                </c:pt>
              </c:strCache>
            </c:strRef>
          </c:tx>
          <c:spPr>
            <a:ln w="38100"/>
          </c:spPr>
          <c:marker>
            <c:symbol val="none"/>
          </c:marker>
          <c:xVal>
            <c:numRef>
              <c:f>PeakFuelCenterlineTemp!$B$2:$B$257</c:f>
              <c:numCache>
                <c:formatCode>0.00E+00</c:formatCode>
                <c:ptCount val="256"/>
                <c:pt idx="0">
                  <c:v>0</c:v>
                </c:pt>
                <c:pt idx="1">
                  <c:v>1.1574074074074099E-2</c:v>
                </c:pt>
                <c:pt idx="2">
                  <c:v>3.4722222222222203E-2</c:v>
                </c:pt>
                <c:pt idx="3">
                  <c:v>8.1018518518518504E-2</c:v>
                </c:pt>
                <c:pt idx="4">
                  <c:v>0.17361111111111099</c:v>
                </c:pt>
                <c:pt idx="5">
                  <c:v>0.358796296296296</c:v>
                </c:pt>
                <c:pt idx="6">
                  <c:v>0.72916666666666596</c:v>
                </c:pt>
                <c:pt idx="7">
                  <c:v>1.469907407407407</c:v>
                </c:pt>
                <c:pt idx="8">
                  <c:v>2.9513888888888871</c:v>
                </c:pt>
                <c:pt idx="9">
                  <c:v>5.8449074074074048</c:v>
                </c:pt>
                <c:pt idx="10">
                  <c:v>8.738425925925922</c:v>
                </c:pt>
                <c:pt idx="11">
                  <c:v>11.631944444444439</c:v>
                </c:pt>
                <c:pt idx="12">
                  <c:v>14.52546296296296</c:v>
                </c:pt>
                <c:pt idx="13">
                  <c:v>17.418981481481481</c:v>
                </c:pt>
                <c:pt idx="14">
                  <c:v>20.3125</c:v>
                </c:pt>
                <c:pt idx="15">
                  <c:v>23.206018518518519</c:v>
                </c:pt>
                <c:pt idx="16">
                  <c:v>26.09953703703702</c:v>
                </c:pt>
                <c:pt idx="17">
                  <c:v>28.993055555555561</c:v>
                </c:pt>
                <c:pt idx="18">
                  <c:v>31.88657407407408</c:v>
                </c:pt>
                <c:pt idx="19">
                  <c:v>34.780092592592567</c:v>
                </c:pt>
                <c:pt idx="20">
                  <c:v>37.673611111111107</c:v>
                </c:pt>
                <c:pt idx="21">
                  <c:v>40.567129629629633</c:v>
                </c:pt>
                <c:pt idx="22">
                  <c:v>43.460648148148152</c:v>
                </c:pt>
                <c:pt idx="23">
                  <c:v>46.354166666666622</c:v>
                </c:pt>
                <c:pt idx="24">
                  <c:v>49.247685185185183</c:v>
                </c:pt>
                <c:pt idx="25">
                  <c:v>52.141203703703702</c:v>
                </c:pt>
                <c:pt idx="26">
                  <c:v>55.034722222222221</c:v>
                </c:pt>
                <c:pt idx="27">
                  <c:v>57.92824074074074</c:v>
                </c:pt>
                <c:pt idx="28">
                  <c:v>60.821759259259252</c:v>
                </c:pt>
                <c:pt idx="29">
                  <c:v>63.715277777777779</c:v>
                </c:pt>
                <c:pt idx="30">
                  <c:v>66.608796296296234</c:v>
                </c:pt>
                <c:pt idx="31">
                  <c:v>69.502314814814767</c:v>
                </c:pt>
                <c:pt idx="32">
                  <c:v>72.3958333333333</c:v>
                </c:pt>
                <c:pt idx="33">
                  <c:v>75.289351851851805</c:v>
                </c:pt>
                <c:pt idx="34">
                  <c:v>78.182870370370324</c:v>
                </c:pt>
                <c:pt idx="35">
                  <c:v>81.076388888888829</c:v>
                </c:pt>
                <c:pt idx="36">
                  <c:v>83.969907407407433</c:v>
                </c:pt>
                <c:pt idx="37">
                  <c:v>86.863425925925924</c:v>
                </c:pt>
                <c:pt idx="38">
                  <c:v>89.756944444444443</c:v>
                </c:pt>
                <c:pt idx="39">
                  <c:v>92.650462962962948</c:v>
                </c:pt>
                <c:pt idx="40">
                  <c:v>95.543981481481481</c:v>
                </c:pt>
                <c:pt idx="41">
                  <c:v>98.4375</c:v>
                </c:pt>
                <c:pt idx="42">
                  <c:v>101.3310185185185</c:v>
                </c:pt>
                <c:pt idx="43">
                  <c:v>104.224537037037</c:v>
                </c:pt>
                <c:pt idx="44">
                  <c:v>107.1180555555555</c:v>
                </c:pt>
                <c:pt idx="45">
                  <c:v>110.0115740740741</c:v>
                </c:pt>
                <c:pt idx="46">
                  <c:v>112.9050925925926</c:v>
                </c:pt>
                <c:pt idx="47">
                  <c:v>115.7986111111111</c:v>
                </c:pt>
                <c:pt idx="48">
                  <c:v>118.6921296296296</c:v>
                </c:pt>
                <c:pt idx="49">
                  <c:v>121.5856481481481</c:v>
                </c:pt>
                <c:pt idx="50">
                  <c:v>124.4791666666667</c:v>
                </c:pt>
                <c:pt idx="51">
                  <c:v>127.3726851851852</c:v>
                </c:pt>
                <c:pt idx="52">
                  <c:v>130.2662037037037</c:v>
                </c:pt>
                <c:pt idx="53">
                  <c:v>133.1597222222222</c:v>
                </c:pt>
                <c:pt idx="54">
                  <c:v>136.0532407407407</c:v>
                </c:pt>
                <c:pt idx="55">
                  <c:v>138.94675925925921</c:v>
                </c:pt>
                <c:pt idx="56">
                  <c:v>141.8402777777778</c:v>
                </c:pt>
                <c:pt idx="57">
                  <c:v>144.7337962962963</c:v>
                </c:pt>
                <c:pt idx="58">
                  <c:v>147.62731481481481</c:v>
                </c:pt>
                <c:pt idx="59">
                  <c:v>150.5208333333334</c:v>
                </c:pt>
                <c:pt idx="60">
                  <c:v>153.41435185185179</c:v>
                </c:pt>
                <c:pt idx="61">
                  <c:v>156.30787037037041</c:v>
                </c:pt>
                <c:pt idx="62">
                  <c:v>159.201388888889</c:v>
                </c:pt>
                <c:pt idx="63">
                  <c:v>162.09490740740739</c:v>
                </c:pt>
                <c:pt idx="64">
                  <c:v>164.98842592592601</c:v>
                </c:pt>
                <c:pt idx="65">
                  <c:v>167.88194444444451</c:v>
                </c:pt>
                <c:pt idx="66">
                  <c:v>170.77546296296291</c:v>
                </c:pt>
                <c:pt idx="67">
                  <c:v>173.6689814814815</c:v>
                </c:pt>
                <c:pt idx="68">
                  <c:v>176.5625</c:v>
                </c:pt>
                <c:pt idx="69">
                  <c:v>179.4560185185185</c:v>
                </c:pt>
                <c:pt idx="70">
                  <c:v>182.34953703703701</c:v>
                </c:pt>
                <c:pt idx="71">
                  <c:v>185.2430555555554</c:v>
                </c:pt>
                <c:pt idx="72">
                  <c:v>188.13657407407399</c:v>
                </c:pt>
                <c:pt idx="73">
                  <c:v>191.03009259259261</c:v>
                </c:pt>
                <c:pt idx="74">
                  <c:v>193.92361111111109</c:v>
                </c:pt>
                <c:pt idx="75">
                  <c:v>196.81712962962959</c:v>
                </c:pt>
                <c:pt idx="76">
                  <c:v>199.7106481481481</c:v>
                </c:pt>
                <c:pt idx="77">
                  <c:v>202.6041666666666</c:v>
                </c:pt>
                <c:pt idx="78">
                  <c:v>205.49768518518519</c:v>
                </c:pt>
                <c:pt idx="79">
                  <c:v>208.39120370370381</c:v>
                </c:pt>
                <c:pt idx="80">
                  <c:v>211.2847222222222</c:v>
                </c:pt>
                <c:pt idx="81">
                  <c:v>214.1782407407407</c:v>
                </c:pt>
                <c:pt idx="82">
                  <c:v>217.07175925925921</c:v>
                </c:pt>
                <c:pt idx="83">
                  <c:v>219.9652777777778</c:v>
                </c:pt>
                <c:pt idx="84">
                  <c:v>222.8587962962963</c:v>
                </c:pt>
                <c:pt idx="85">
                  <c:v>225.75231481481481</c:v>
                </c:pt>
                <c:pt idx="86">
                  <c:v>228.64583333333329</c:v>
                </c:pt>
                <c:pt idx="87">
                  <c:v>231.53935185185179</c:v>
                </c:pt>
                <c:pt idx="88">
                  <c:v>234.43287037037041</c:v>
                </c:pt>
                <c:pt idx="89">
                  <c:v>237.326388888889</c:v>
                </c:pt>
                <c:pt idx="90">
                  <c:v>240.21990740740739</c:v>
                </c:pt>
                <c:pt idx="91">
                  <c:v>243.1134259259259</c:v>
                </c:pt>
                <c:pt idx="92">
                  <c:v>246.00694444444451</c:v>
                </c:pt>
                <c:pt idx="93">
                  <c:v>248.90046296296299</c:v>
                </c:pt>
                <c:pt idx="94">
                  <c:v>251.7939814814815</c:v>
                </c:pt>
                <c:pt idx="95">
                  <c:v>254.6875</c:v>
                </c:pt>
                <c:pt idx="96">
                  <c:v>257.58101851851842</c:v>
                </c:pt>
                <c:pt idx="97">
                  <c:v>260.47453703703701</c:v>
                </c:pt>
                <c:pt idx="98">
                  <c:v>263.36805555555549</c:v>
                </c:pt>
                <c:pt idx="99">
                  <c:v>266.26157407407391</c:v>
                </c:pt>
                <c:pt idx="100">
                  <c:v>269.15509259259261</c:v>
                </c:pt>
                <c:pt idx="101">
                  <c:v>272.04861111111109</c:v>
                </c:pt>
                <c:pt idx="102">
                  <c:v>274.94212962962962</c:v>
                </c:pt>
                <c:pt idx="103">
                  <c:v>277.83564814814821</c:v>
                </c:pt>
                <c:pt idx="104">
                  <c:v>280.72916666666669</c:v>
                </c:pt>
                <c:pt idx="105">
                  <c:v>283.62268518518522</c:v>
                </c:pt>
                <c:pt idx="106">
                  <c:v>286.5162037037037</c:v>
                </c:pt>
                <c:pt idx="107">
                  <c:v>289.40972222222211</c:v>
                </c:pt>
                <c:pt idx="108">
                  <c:v>292.30324074074082</c:v>
                </c:pt>
                <c:pt idx="109">
                  <c:v>295.19675925925912</c:v>
                </c:pt>
                <c:pt idx="110">
                  <c:v>298.0902777777776</c:v>
                </c:pt>
                <c:pt idx="111">
                  <c:v>300.98379629629608</c:v>
                </c:pt>
                <c:pt idx="112">
                  <c:v>303.87731481481472</c:v>
                </c:pt>
                <c:pt idx="113">
                  <c:v>306.77083333333331</c:v>
                </c:pt>
                <c:pt idx="114">
                  <c:v>309.66435185185202</c:v>
                </c:pt>
                <c:pt idx="115">
                  <c:v>312.55787037037032</c:v>
                </c:pt>
                <c:pt idx="116">
                  <c:v>315.45138888888891</c:v>
                </c:pt>
                <c:pt idx="117">
                  <c:v>318.34490740740739</c:v>
                </c:pt>
                <c:pt idx="118">
                  <c:v>321.23842592592592</c:v>
                </c:pt>
                <c:pt idx="119">
                  <c:v>324.13194444444429</c:v>
                </c:pt>
                <c:pt idx="120">
                  <c:v>327.02546296296299</c:v>
                </c:pt>
                <c:pt idx="121">
                  <c:v>329.91898148148141</c:v>
                </c:pt>
                <c:pt idx="122">
                  <c:v>332.8125</c:v>
                </c:pt>
                <c:pt idx="123">
                  <c:v>335.70601851851842</c:v>
                </c:pt>
                <c:pt idx="124">
                  <c:v>338.59953703703701</c:v>
                </c:pt>
                <c:pt idx="125">
                  <c:v>341.49305555555537</c:v>
                </c:pt>
                <c:pt idx="126">
                  <c:v>344.38657407407391</c:v>
                </c:pt>
                <c:pt idx="127">
                  <c:v>347.28009259259238</c:v>
                </c:pt>
                <c:pt idx="128">
                  <c:v>350.17361111111109</c:v>
                </c:pt>
                <c:pt idx="129">
                  <c:v>353.06712962962968</c:v>
                </c:pt>
                <c:pt idx="130">
                  <c:v>355.96064814814821</c:v>
                </c:pt>
                <c:pt idx="131">
                  <c:v>358.8541666666668</c:v>
                </c:pt>
                <c:pt idx="132">
                  <c:v>361.74768518518522</c:v>
                </c:pt>
                <c:pt idx="133">
                  <c:v>364.6412037037037</c:v>
                </c:pt>
                <c:pt idx="134">
                  <c:v>367.53472222222211</c:v>
                </c:pt>
                <c:pt idx="135">
                  <c:v>370.42824074074059</c:v>
                </c:pt>
                <c:pt idx="136">
                  <c:v>373.32175925925912</c:v>
                </c:pt>
                <c:pt idx="137">
                  <c:v>376.2152777777776</c:v>
                </c:pt>
                <c:pt idx="138">
                  <c:v>379.10879629629619</c:v>
                </c:pt>
                <c:pt idx="139">
                  <c:v>382.00231481481472</c:v>
                </c:pt>
                <c:pt idx="140">
                  <c:v>384.89583333333331</c:v>
                </c:pt>
                <c:pt idx="141">
                  <c:v>387.78935185185179</c:v>
                </c:pt>
                <c:pt idx="142">
                  <c:v>390.68287037037032</c:v>
                </c:pt>
                <c:pt idx="143">
                  <c:v>393.57638888888891</c:v>
                </c:pt>
                <c:pt idx="144">
                  <c:v>396.46990740740728</c:v>
                </c:pt>
                <c:pt idx="145">
                  <c:v>399.36342592592598</c:v>
                </c:pt>
                <c:pt idx="146">
                  <c:v>402.25694444444429</c:v>
                </c:pt>
                <c:pt idx="147">
                  <c:v>405.15046296296299</c:v>
                </c:pt>
                <c:pt idx="148">
                  <c:v>408.04398148148152</c:v>
                </c:pt>
                <c:pt idx="149">
                  <c:v>410.93749999999977</c:v>
                </c:pt>
                <c:pt idx="150">
                  <c:v>413.83101851851842</c:v>
                </c:pt>
                <c:pt idx="151">
                  <c:v>416.72453703703701</c:v>
                </c:pt>
                <c:pt idx="152">
                  <c:v>419.61805555555549</c:v>
                </c:pt>
                <c:pt idx="153">
                  <c:v>422.51157407407391</c:v>
                </c:pt>
                <c:pt idx="154">
                  <c:v>425.40509259259238</c:v>
                </c:pt>
                <c:pt idx="155">
                  <c:v>428.29861111111109</c:v>
                </c:pt>
                <c:pt idx="156">
                  <c:v>431.19212962962968</c:v>
                </c:pt>
                <c:pt idx="157">
                  <c:v>434.08564814814821</c:v>
                </c:pt>
                <c:pt idx="158">
                  <c:v>436.97916666666669</c:v>
                </c:pt>
                <c:pt idx="159">
                  <c:v>439.87268518518522</c:v>
                </c:pt>
                <c:pt idx="160">
                  <c:v>442.7662037037037</c:v>
                </c:pt>
                <c:pt idx="161">
                  <c:v>445.65972222222229</c:v>
                </c:pt>
                <c:pt idx="162">
                  <c:v>448.55324074074082</c:v>
                </c:pt>
                <c:pt idx="163">
                  <c:v>451.44675925925912</c:v>
                </c:pt>
                <c:pt idx="164">
                  <c:v>454.34027777777771</c:v>
                </c:pt>
                <c:pt idx="165">
                  <c:v>457.23379629629608</c:v>
                </c:pt>
                <c:pt idx="166">
                  <c:v>460.12731481481472</c:v>
                </c:pt>
                <c:pt idx="167">
                  <c:v>463.02083333333331</c:v>
                </c:pt>
                <c:pt idx="168">
                  <c:v>465.91435185185179</c:v>
                </c:pt>
                <c:pt idx="169">
                  <c:v>468.80787037037032</c:v>
                </c:pt>
                <c:pt idx="170">
                  <c:v>471.70138888888891</c:v>
                </c:pt>
                <c:pt idx="171">
                  <c:v>474.59490740740728</c:v>
                </c:pt>
                <c:pt idx="172">
                  <c:v>477.48842592592592</c:v>
                </c:pt>
                <c:pt idx="173">
                  <c:v>480.38194444444429</c:v>
                </c:pt>
                <c:pt idx="174">
                  <c:v>483.27546296296299</c:v>
                </c:pt>
                <c:pt idx="175">
                  <c:v>486.16898148148152</c:v>
                </c:pt>
                <c:pt idx="176">
                  <c:v>489.0625</c:v>
                </c:pt>
                <c:pt idx="177">
                  <c:v>491.95601851851842</c:v>
                </c:pt>
                <c:pt idx="178">
                  <c:v>494.84953703703701</c:v>
                </c:pt>
                <c:pt idx="179">
                  <c:v>497.74305555555549</c:v>
                </c:pt>
                <c:pt idx="180">
                  <c:v>500.63657407407391</c:v>
                </c:pt>
                <c:pt idx="181">
                  <c:v>503.53009259259238</c:v>
                </c:pt>
                <c:pt idx="182">
                  <c:v>506.42361111111109</c:v>
                </c:pt>
                <c:pt idx="183">
                  <c:v>509.31712962962968</c:v>
                </c:pt>
                <c:pt idx="184">
                  <c:v>512.21064814814815</c:v>
                </c:pt>
                <c:pt idx="185">
                  <c:v>515.10416666666686</c:v>
                </c:pt>
                <c:pt idx="186">
                  <c:v>517.99768518518499</c:v>
                </c:pt>
                <c:pt idx="187">
                  <c:v>520.89120370370335</c:v>
                </c:pt>
                <c:pt idx="188">
                  <c:v>523.78472222222251</c:v>
                </c:pt>
                <c:pt idx="189">
                  <c:v>526.67824074074076</c:v>
                </c:pt>
                <c:pt idx="190">
                  <c:v>529.57175925925935</c:v>
                </c:pt>
                <c:pt idx="191">
                  <c:v>532.46527777777783</c:v>
                </c:pt>
                <c:pt idx="192">
                  <c:v>535.35879629629653</c:v>
                </c:pt>
                <c:pt idx="193">
                  <c:v>538.25231481481455</c:v>
                </c:pt>
                <c:pt idx="194">
                  <c:v>541.14583333333337</c:v>
                </c:pt>
                <c:pt idx="195">
                  <c:v>544.03935185185185</c:v>
                </c:pt>
                <c:pt idx="196">
                  <c:v>546.93287037037055</c:v>
                </c:pt>
                <c:pt idx="197">
                  <c:v>549.82638888888869</c:v>
                </c:pt>
                <c:pt idx="198">
                  <c:v>552.7199074074075</c:v>
                </c:pt>
                <c:pt idx="199">
                  <c:v>555.61342592592587</c:v>
                </c:pt>
                <c:pt idx="200">
                  <c:v>558.50694444444446</c:v>
                </c:pt>
                <c:pt idx="201">
                  <c:v>561.40046296296305</c:v>
                </c:pt>
                <c:pt idx="202">
                  <c:v>564.29398148148152</c:v>
                </c:pt>
                <c:pt idx="203">
                  <c:v>567.1875</c:v>
                </c:pt>
                <c:pt idx="204">
                  <c:v>570.08101851851859</c:v>
                </c:pt>
                <c:pt idx="205">
                  <c:v>572.97453703703741</c:v>
                </c:pt>
                <c:pt idx="206">
                  <c:v>575.86805555555543</c:v>
                </c:pt>
                <c:pt idx="207">
                  <c:v>578.76157407407413</c:v>
                </c:pt>
                <c:pt idx="208">
                  <c:v>581.65509259259261</c:v>
                </c:pt>
                <c:pt idx="209">
                  <c:v>584.54861111111109</c:v>
                </c:pt>
                <c:pt idx="210">
                  <c:v>587.44212962962933</c:v>
                </c:pt>
                <c:pt idx="211">
                  <c:v>590.33564814814804</c:v>
                </c:pt>
                <c:pt idx="212">
                  <c:v>593.22916666666686</c:v>
                </c:pt>
                <c:pt idx="213">
                  <c:v>596.12268518518488</c:v>
                </c:pt>
                <c:pt idx="214">
                  <c:v>599.01620370370335</c:v>
                </c:pt>
                <c:pt idx="215">
                  <c:v>601.90972222222217</c:v>
                </c:pt>
                <c:pt idx="216">
                  <c:v>604.80324074074042</c:v>
                </c:pt>
                <c:pt idx="217">
                  <c:v>607.69675925925935</c:v>
                </c:pt>
                <c:pt idx="218">
                  <c:v>610.59027777777806</c:v>
                </c:pt>
                <c:pt idx="219">
                  <c:v>613.48379629629665</c:v>
                </c:pt>
                <c:pt idx="220">
                  <c:v>616.37731481481467</c:v>
                </c:pt>
                <c:pt idx="221">
                  <c:v>619.27083333333371</c:v>
                </c:pt>
                <c:pt idx="222">
                  <c:v>622.16435185185185</c:v>
                </c:pt>
                <c:pt idx="223">
                  <c:v>625.05787037037055</c:v>
                </c:pt>
                <c:pt idx="224">
                  <c:v>627.95138888888869</c:v>
                </c:pt>
                <c:pt idx="225">
                  <c:v>630.84490740740739</c:v>
                </c:pt>
                <c:pt idx="226">
                  <c:v>633.73842592592598</c:v>
                </c:pt>
                <c:pt idx="227">
                  <c:v>636.63194444444446</c:v>
                </c:pt>
                <c:pt idx="228">
                  <c:v>639.52546296296305</c:v>
                </c:pt>
                <c:pt idx="229">
                  <c:v>642.41898148148141</c:v>
                </c:pt>
                <c:pt idx="230">
                  <c:v>645.31249999999977</c:v>
                </c:pt>
                <c:pt idx="231">
                  <c:v>648.20601851851859</c:v>
                </c:pt>
                <c:pt idx="232">
                  <c:v>651.09953703703741</c:v>
                </c:pt>
                <c:pt idx="233">
                  <c:v>653.99305555555554</c:v>
                </c:pt>
                <c:pt idx="234">
                  <c:v>656.88657407407402</c:v>
                </c:pt>
                <c:pt idx="235">
                  <c:v>659.78009259259284</c:v>
                </c:pt>
                <c:pt idx="236">
                  <c:v>662.67361111111109</c:v>
                </c:pt>
                <c:pt idx="237">
                  <c:v>665.56712962962933</c:v>
                </c:pt>
                <c:pt idx="238">
                  <c:v>668.46064814814804</c:v>
                </c:pt>
                <c:pt idx="239">
                  <c:v>671.35416666666663</c:v>
                </c:pt>
                <c:pt idx="240">
                  <c:v>674.24768518518488</c:v>
                </c:pt>
                <c:pt idx="241">
                  <c:v>677.14120370370335</c:v>
                </c:pt>
                <c:pt idx="242">
                  <c:v>680.03472222222217</c:v>
                </c:pt>
                <c:pt idx="243">
                  <c:v>682.92824074074042</c:v>
                </c:pt>
                <c:pt idx="244">
                  <c:v>685.82175925925935</c:v>
                </c:pt>
                <c:pt idx="245">
                  <c:v>688.71527777777806</c:v>
                </c:pt>
                <c:pt idx="246">
                  <c:v>691.60879629629665</c:v>
                </c:pt>
                <c:pt idx="247">
                  <c:v>694.50231481481467</c:v>
                </c:pt>
                <c:pt idx="248">
                  <c:v>697.39583333333337</c:v>
                </c:pt>
                <c:pt idx="249">
                  <c:v>700.28935185185196</c:v>
                </c:pt>
                <c:pt idx="250">
                  <c:v>703.18287037037055</c:v>
                </c:pt>
                <c:pt idx="251">
                  <c:v>706.07638888888903</c:v>
                </c:pt>
                <c:pt idx="252">
                  <c:v>708.96990740740739</c:v>
                </c:pt>
                <c:pt idx="253">
                  <c:v>711.86342592592575</c:v>
                </c:pt>
                <c:pt idx="254">
                  <c:v>714.75694444444446</c:v>
                </c:pt>
                <c:pt idx="255">
                  <c:v>717.65046296296305</c:v>
                </c:pt>
              </c:numCache>
            </c:numRef>
          </c:xVal>
          <c:yVal>
            <c:numRef>
              <c:f>PeakFuelCenterlineTemp!$D$2:$D$257</c:f>
              <c:numCache>
                <c:formatCode>General</c:formatCode>
                <c:ptCount val="256"/>
                <c:pt idx="0">
                  <c:v>300</c:v>
                </c:pt>
                <c:pt idx="1">
                  <c:v>583.01327698240982</c:v>
                </c:pt>
                <c:pt idx="2">
                  <c:v>634.29781828070008</c:v>
                </c:pt>
                <c:pt idx="3">
                  <c:v>735.52769867740972</c:v>
                </c:pt>
                <c:pt idx="4">
                  <c:v>949.54462508800975</c:v>
                </c:pt>
                <c:pt idx="5">
                  <c:v>1386.0746308888999</c:v>
                </c:pt>
                <c:pt idx="6">
                  <c:v>1499.7647098291</c:v>
                </c:pt>
                <c:pt idx="7">
                  <c:v>1499.4386781469</c:v>
                </c:pt>
                <c:pt idx="8">
                  <c:v>1501.5209870875001</c:v>
                </c:pt>
                <c:pt idx="9">
                  <c:v>1508.2560393808999</c:v>
                </c:pt>
                <c:pt idx="10">
                  <c:v>1515.5936967335001</c:v>
                </c:pt>
                <c:pt idx="11">
                  <c:v>1522.867721415</c:v>
                </c:pt>
                <c:pt idx="12">
                  <c:v>1529.8568110399999</c:v>
                </c:pt>
                <c:pt idx="13">
                  <c:v>1536.4905838</c:v>
                </c:pt>
                <c:pt idx="14">
                  <c:v>1542.7312849365001</c:v>
                </c:pt>
                <c:pt idx="15">
                  <c:v>1548.6049267428</c:v>
                </c:pt>
                <c:pt idx="16">
                  <c:v>1554.1530297095001</c:v>
                </c:pt>
                <c:pt idx="17">
                  <c:v>1559.4096418009001</c:v>
                </c:pt>
                <c:pt idx="18">
                  <c:v>1564.4207865451999</c:v>
                </c:pt>
                <c:pt idx="19">
                  <c:v>1569.2301966916</c:v>
                </c:pt>
                <c:pt idx="20">
                  <c:v>1573.8526069454001</c:v>
                </c:pt>
                <c:pt idx="21">
                  <c:v>1578.3263220767001</c:v>
                </c:pt>
                <c:pt idx="22">
                  <c:v>1582.6752927927</c:v>
                </c:pt>
                <c:pt idx="23">
                  <c:v>1586.9024926576999</c:v>
                </c:pt>
                <c:pt idx="24">
                  <c:v>1591.0364739423001</c:v>
                </c:pt>
                <c:pt idx="25">
                  <c:v>1595.0900125275</c:v>
                </c:pt>
                <c:pt idx="26">
                  <c:v>1599.0658848297001</c:v>
                </c:pt>
                <c:pt idx="27">
                  <c:v>1602.9698328324</c:v>
                </c:pt>
                <c:pt idx="28">
                  <c:v>1606.8075519648</c:v>
                </c:pt>
                <c:pt idx="29">
                  <c:v>1610.587327816</c:v>
                </c:pt>
                <c:pt idx="30">
                  <c:v>1614.3159155083999</c:v>
                </c:pt>
                <c:pt idx="31">
                  <c:v>1618.0122018528</c:v>
                </c:pt>
                <c:pt idx="32">
                  <c:v>1621.6977979425999</c:v>
                </c:pt>
                <c:pt idx="33">
                  <c:v>1625.3657797153001</c:v>
                </c:pt>
                <c:pt idx="34">
                  <c:v>1629.0181294474</c:v>
                </c:pt>
                <c:pt idx="35">
                  <c:v>1632.6541920693001</c:v>
                </c:pt>
                <c:pt idx="36">
                  <c:v>1636.2804157053999</c:v>
                </c:pt>
                <c:pt idx="37">
                  <c:v>1639.9399176785</c:v>
                </c:pt>
                <c:pt idx="38">
                  <c:v>1643.6263875786999</c:v>
                </c:pt>
                <c:pt idx="39">
                  <c:v>1647.3284054272999</c:v>
                </c:pt>
                <c:pt idx="40">
                  <c:v>1651.0473939982001</c:v>
                </c:pt>
                <c:pt idx="41">
                  <c:v>1654.7783843727</c:v>
                </c:pt>
                <c:pt idx="42">
                  <c:v>1658.5184076741</c:v>
                </c:pt>
                <c:pt idx="43">
                  <c:v>1662.2671316802</c:v>
                </c:pt>
                <c:pt idx="44">
                  <c:v>1666.0232869888</c:v>
                </c:pt>
                <c:pt idx="45">
                  <c:v>1669.7844978635001</c:v>
                </c:pt>
                <c:pt idx="46">
                  <c:v>1671.5245607278</c:v>
                </c:pt>
                <c:pt idx="47">
                  <c:v>1668.5398901463</c:v>
                </c:pt>
                <c:pt idx="48">
                  <c:v>1665.6646035041999</c:v>
                </c:pt>
                <c:pt idx="49">
                  <c:v>1662.7257589441999</c:v>
                </c:pt>
                <c:pt idx="50">
                  <c:v>1659.7611563677999</c:v>
                </c:pt>
                <c:pt idx="51">
                  <c:v>1656.7818814197999</c:v>
                </c:pt>
                <c:pt idx="52">
                  <c:v>1653.7854931407001</c:v>
                </c:pt>
                <c:pt idx="53">
                  <c:v>1650.790080747</c:v>
                </c:pt>
                <c:pt idx="54">
                  <c:v>1647.8003215726001</c:v>
                </c:pt>
                <c:pt idx="55">
                  <c:v>1644.810923972</c:v>
                </c:pt>
                <c:pt idx="56">
                  <c:v>1641.8206482687001</c:v>
                </c:pt>
                <c:pt idx="57">
                  <c:v>1638.8300415071001</c:v>
                </c:pt>
                <c:pt idx="58">
                  <c:v>1635.8396756339</c:v>
                </c:pt>
                <c:pt idx="59">
                  <c:v>1632.8499255098</c:v>
                </c:pt>
                <c:pt idx="60">
                  <c:v>1629.9862080350999</c:v>
                </c:pt>
                <c:pt idx="61">
                  <c:v>1627.5085332430001</c:v>
                </c:pt>
                <c:pt idx="62">
                  <c:v>1625.0493948446999</c:v>
                </c:pt>
                <c:pt idx="63">
                  <c:v>1622.5885777533999</c:v>
                </c:pt>
                <c:pt idx="64">
                  <c:v>1620.1259378382999</c:v>
                </c:pt>
                <c:pt idx="65">
                  <c:v>1617.6616399637001</c:v>
                </c:pt>
                <c:pt idx="66">
                  <c:v>1615.1954859371001</c:v>
                </c:pt>
                <c:pt idx="67">
                  <c:v>1612.7274331471999</c:v>
                </c:pt>
                <c:pt idx="68">
                  <c:v>1610.2576041355001</c:v>
                </c:pt>
                <c:pt idx="69">
                  <c:v>1607.7853907260001</c:v>
                </c:pt>
                <c:pt idx="70">
                  <c:v>1605.3106584732</c:v>
                </c:pt>
                <c:pt idx="71">
                  <c:v>1602.8337262204</c:v>
                </c:pt>
                <c:pt idx="72">
                  <c:v>1600.3529625676999</c:v>
                </c:pt>
                <c:pt idx="73">
                  <c:v>1597.870350812</c:v>
                </c:pt>
                <c:pt idx="74">
                  <c:v>1595.3845118926999</c:v>
                </c:pt>
                <c:pt idx="75">
                  <c:v>1592.8956060022001</c:v>
                </c:pt>
                <c:pt idx="76">
                  <c:v>1590.403501667</c:v>
                </c:pt>
                <c:pt idx="77">
                  <c:v>1587.9080904796001</c:v>
                </c:pt>
                <c:pt idx="78">
                  <c:v>1585.4092425010999</c:v>
                </c:pt>
                <c:pt idx="79">
                  <c:v>1582.9070864236</c:v>
                </c:pt>
                <c:pt idx="80">
                  <c:v>1580.4015014362999</c:v>
                </c:pt>
                <c:pt idx="81">
                  <c:v>1577.8925215023</c:v>
                </c:pt>
                <c:pt idx="82">
                  <c:v>1575.3799856931</c:v>
                </c:pt>
                <c:pt idx="83">
                  <c:v>1572.8640823619</c:v>
                </c:pt>
                <c:pt idx="84">
                  <c:v>1568.5430883890999</c:v>
                </c:pt>
                <c:pt idx="85">
                  <c:v>1557.8378803477001</c:v>
                </c:pt>
                <c:pt idx="86">
                  <c:v>1547.1875439139001</c:v>
                </c:pt>
                <c:pt idx="87">
                  <c:v>1536.5605211037</c:v>
                </c:pt>
                <c:pt idx="88">
                  <c:v>1525.9108122780999</c:v>
                </c:pt>
                <c:pt idx="89">
                  <c:v>1515.2535561694001</c:v>
                </c:pt>
                <c:pt idx="90">
                  <c:v>1506.0382161206001</c:v>
                </c:pt>
                <c:pt idx="91">
                  <c:v>1496.9973439695</c:v>
                </c:pt>
                <c:pt idx="92">
                  <c:v>1487.9466187861999</c:v>
                </c:pt>
                <c:pt idx="93">
                  <c:v>1478.8901148166999</c:v>
                </c:pt>
                <c:pt idx="94">
                  <c:v>1469.8690046395</c:v>
                </c:pt>
                <c:pt idx="95">
                  <c:v>1460.8771470880999</c:v>
                </c:pt>
                <c:pt idx="96">
                  <c:v>1451.8932987312</c:v>
                </c:pt>
                <c:pt idx="97">
                  <c:v>1458.3009852729999</c:v>
                </c:pt>
                <c:pt idx="98">
                  <c:v>1466.6446019227999</c:v>
                </c:pt>
                <c:pt idx="99">
                  <c:v>1475.0240941801001</c:v>
                </c:pt>
                <c:pt idx="100">
                  <c:v>1483.4482367508999</c:v>
                </c:pt>
                <c:pt idx="101">
                  <c:v>1491.9213656362999</c:v>
                </c:pt>
                <c:pt idx="102">
                  <c:v>1500.4410897287</c:v>
                </c:pt>
                <c:pt idx="103">
                  <c:v>1509.024458979</c:v>
                </c:pt>
                <c:pt idx="104">
                  <c:v>1518.7906003607</c:v>
                </c:pt>
                <c:pt idx="105">
                  <c:v>1530.5905265321001</c:v>
                </c:pt>
                <c:pt idx="106">
                  <c:v>1542.4517446759</c:v>
                </c:pt>
                <c:pt idx="107">
                  <c:v>1554.3630527368</c:v>
                </c:pt>
                <c:pt idx="108">
                  <c:v>1566.3804308587</c:v>
                </c:pt>
                <c:pt idx="109">
                  <c:v>1578.5446964391001</c:v>
                </c:pt>
                <c:pt idx="110">
                  <c:v>1590.7781512234999</c:v>
                </c:pt>
                <c:pt idx="111">
                  <c:v>1603.0786119050999</c:v>
                </c:pt>
                <c:pt idx="112">
                  <c:v>1615.5123177319999</c:v>
                </c:pt>
                <c:pt idx="113">
                  <c:v>1628.1058529628999</c:v>
                </c:pt>
                <c:pt idx="114">
                  <c:v>1640.8210117839999</c:v>
                </c:pt>
                <c:pt idx="115">
                  <c:v>1653.5896529692</c:v>
                </c:pt>
                <c:pt idx="116">
                  <c:v>1666.4011942863999</c:v>
                </c:pt>
                <c:pt idx="117">
                  <c:v>1679.2966583243999</c:v>
                </c:pt>
                <c:pt idx="118">
                  <c:v>1692.2859897983001</c:v>
                </c:pt>
                <c:pt idx="119">
                  <c:v>1704.9407081324</c:v>
                </c:pt>
                <c:pt idx="120">
                  <c:v>1699.5882815907</c:v>
                </c:pt>
                <c:pt idx="121">
                  <c:v>1694.1450090843</c:v>
                </c:pt>
                <c:pt idx="122">
                  <c:v>1688.3404581442001</c:v>
                </c:pt>
                <c:pt idx="123">
                  <c:v>1682.3276904602001</c:v>
                </c:pt>
                <c:pt idx="124">
                  <c:v>1676.1653248365999</c:v>
                </c:pt>
                <c:pt idx="125">
                  <c:v>1669.8824562601999</c:v>
                </c:pt>
                <c:pt idx="126">
                  <c:v>1663.5002140436</c:v>
                </c:pt>
                <c:pt idx="127">
                  <c:v>1657.0339876476</c:v>
                </c:pt>
                <c:pt idx="128">
                  <c:v>1650.4918912484</c:v>
                </c:pt>
                <c:pt idx="129">
                  <c:v>1643.8862629683999</c:v>
                </c:pt>
                <c:pt idx="130">
                  <c:v>1637.2330307339</c:v>
                </c:pt>
                <c:pt idx="131">
                  <c:v>1630.6123879434999</c:v>
                </c:pt>
                <c:pt idx="132">
                  <c:v>1623.9537062022</c:v>
                </c:pt>
                <c:pt idx="133">
                  <c:v>1617.2628533571999</c:v>
                </c:pt>
                <c:pt idx="134">
                  <c:v>1610.5451764295001</c:v>
                </c:pt>
                <c:pt idx="135">
                  <c:v>1603.80592609</c:v>
                </c:pt>
                <c:pt idx="136">
                  <c:v>1597.0492373904999</c:v>
                </c:pt>
                <c:pt idx="137">
                  <c:v>1590.2793536718</c:v>
                </c:pt>
                <c:pt idx="138">
                  <c:v>1583.5007688513001</c:v>
                </c:pt>
                <c:pt idx="139">
                  <c:v>1576.7473825002</c:v>
                </c:pt>
                <c:pt idx="140">
                  <c:v>1572.2515893244999</c:v>
                </c:pt>
                <c:pt idx="141">
                  <c:v>1567.7600331317999</c:v>
                </c:pt>
                <c:pt idx="142">
                  <c:v>1563.2775479273</c:v>
                </c:pt>
                <c:pt idx="143">
                  <c:v>1558.8100633828001</c:v>
                </c:pt>
                <c:pt idx="144">
                  <c:v>1554.3633909883999</c:v>
                </c:pt>
                <c:pt idx="145">
                  <c:v>1549.9774817862001</c:v>
                </c:pt>
                <c:pt idx="146">
                  <c:v>1545.9174726363001</c:v>
                </c:pt>
                <c:pt idx="147">
                  <c:v>1541.9071334806999</c:v>
                </c:pt>
                <c:pt idx="148">
                  <c:v>1537.9638435833001</c:v>
                </c:pt>
                <c:pt idx="149">
                  <c:v>1536.0810734700001</c:v>
                </c:pt>
                <c:pt idx="150">
                  <c:v>1535.5894197528</c:v>
                </c:pt>
                <c:pt idx="151">
                  <c:v>1539.9721576828999</c:v>
                </c:pt>
                <c:pt idx="152">
                  <c:v>1552.2751022609</c:v>
                </c:pt>
                <c:pt idx="153">
                  <c:v>1565.9836062510999</c:v>
                </c:pt>
                <c:pt idx="154">
                  <c:v>1579.8696314438</c:v>
                </c:pt>
                <c:pt idx="155">
                  <c:v>1593.9752062431</c:v>
                </c:pt>
                <c:pt idx="156">
                  <c:v>1608.3557383282</c:v>
                </c:pt>
                <c:pt idx="157">
                  <c:v>1622.6570781122</c:v>
                </c:pt>
                <c:pt idx="158">
                  <c:v>1625.8440172851001</c:v>
                </c:pt>
                <c:pt idx="159">
                  <c:v>1629.2810907776</c:v>
                </c:pt>
                <c:pt idx="160">
                  <c:v>1632.7269621308001</c:v>
                </c:pt>
                <c:pt idx="161">
                  <c:v>1636.1747506074</c:v>
                </c:pt>
                <c:pt idx="162">
                  <c:v>1639.6299839607</c:v>
                </c:pt>
                <c:pt idx="163">
                  <c:v>1643.0876850554</c:v>
                </c:pt>
                <c:pt idx="164">
                  <c:v>1646.5583865301001</c:v>
                </c:pt>
                <c:pt idx="165">
                  <c:v>1650.0358635872999</c:v>
                </c:pt>
                <c:pt idx="166">
                  <c:v>1653.5130792743</c:v>
                </c:pt>
                <c:pt idx="167">
                  <c:v>1656.9960660038</c:v>
                </c:pt>
                <c:pt idx="168">
                  <c:v>1660.5034265237</c:v>
                </c:pt>
                <c:pt idx="169">
                  <c:v>1664.0424525702999</c:v>
                </c:pt>
                <c:pt idx="170">
                  <c:v>1667.5810286173</c:v>
                </c:pt>
                <c:pt idx="171">
                  <c:v>1671.1256748082001</c:v>
                </c:pt>
                <c:pt idx="172">
                  <c:v>1674.7098626398999</c:v>
                </c:pt>
                <c:pt idx="173">
                  <c:v>1678.3067046519</c:v>
                </c:pt>
                <c:pt idx="174">
                  <c:v>1681.8968359441001</c:v>
                </c:pt>
                <c:pt idx="175">
                  <c:v>1685.479571691</c:v>
                </c:pt>
                <c:pt idx="176">
                  <c:v>1689.0543605252001</c:v>
                </c:pt>
                <c:pt idx="177">
                  <c:v>1692.7195488742</c:v>
                </c:pt>
                <c:pt idx="178">
                  <c:v>1696.4530613815</c:v>
                </c:pt>
                <c:pt idx="179">
                  <c:v>1700.2604811268</c:v>
                </c:pt>
                <c:pt idx="180">
                  <c:v>1704.1583558376001</c:v>
                </c:pt>
                <c:pt idx="181">
                  <c:v>1708.1943052275001</c:v>
                </c:pt>
                <c:pt idx="182">
                  <c:v>1712.3726485456</c:v>
                </c:pt>
                <c:pt idx="183">
                  <c:v>1716.6762960594999</c:v>
                </c:pt>
                <c:pt idx="184">
                  <c:v>1721.3558236764</c:v>
                </c:pt>
                <c:pt idx="185">
                  <c:v>1726.1391071631001</c:v>
                </c:pt>
                <c:pt idx="186">
                  <c:v>1730.9791130817</c:v>
                </c:pt>
                <c:pt idx="187">
                  <c:v>1735.8025632612</c:v>
                </c:pt>
                <c:pt idx="188">
                  <c:v>1740.6041998817</c:v>
                </c:pt>
                <c:pt idx="189">
                  <c:v>1745.4150488939999</c:v>
                </c:pt>
                <c:pt idx="190">
                  <c:v>1750.1821470349</c:v>
                </c:pt>
                <c:pt idx="191">
                  <c:v>1754.899144537399</c:v>
                </c:pt>
                <c:pt idx="192">
                  <c:v>1759.5907619623999</c:v>
                </c:pt>
                <c:pt idx="193">
                  <c:v>1764.2365491405999</c:v>
                </c:pt>
                <c:pt idx="194">
                  <c:v>1768.8385582513999</c:v>
                </c:pt>
                <c:pt idx="195">
                  <c:v>1773.4330570893001</c:v>
                </c:pt>
                <c:pt idx="196">
                  <c:v>1777.9949890002999</c:v>
                </c:pt>
                <c:pt idx="197">
                  <c:v>1782.5144410677999</c:v>
                </c:pt>
                <c:pt idx="198">
                  <c:v>1786.9864543596</c:v>
                </c:pt>
                <c:pt idx="199">
                  <c:v>1791.4092475934999</c:v>
                </c:pt>
                <c:pt idx="200">
                  <c:v>1795.7831942925</c:v>
                </c:pt>
                <c:pt idx="201">
                  <c:v>1798.3598210548</c:v>
                </c:pt>
                <c:pt idx="202">
                  <c:v>1800.4222932393</c:v>
                </c:pt>
                <c:pt idx="203">
                  <c:v>1802.3395384266</c:v>
                </c:pt>
                <c:pt idx="204">
                  <c:v>1804.1043175576001</c:v>
                </c:pt>
                <c:pt idx="205">
                  <c:v>1805.7270985062</c:v>
                </c:pt>
                <c:pt idx="206">
                  <c:v>1807.2124421386</c:v>
                </c:pt>
                <c:pt idx="207">
                  <c:v>1808.5665629734999</c:v>
                </c:pt>
                <c:pt idx="208">
                  <c:v>1809.8015229923999</c:v>
                </c:pt>
                <c:pt idx="209">
                  <c:v>1810.9258307821999</c:v>
                </c:pt>
                <c:pt idx="210">
                  <c:v>1812.0634687555</c:v>
                </c:pt>
                <c:pt idx="211">
                  <c:v>1813.1236350991001</c:v>
                </c:pt>
                <c:pt idx="212">
                  <c:v>1814.0980116164999</c:v>
                </c:pt>
                <c:pt idx="213">
                  <c:v>1814.9884212904999</c:v>
                </c:pt>
                <c:pt idx="214">
                  <c:v>1815.8097151985</c:v>
                </c:pt>
                <c:pt idx="215">
                  <c:v>1816.7559493250001</c:v>
                </c:pt>
                <c:pt idx="216">
                  <c:v>1817.9136233377999</c:v>
                </c:pt>
                <c:pt idx="217">
                  <c:v>1819.2783388522</c:v>
                </c:pt>
                <c:pt idx="218">
                  <c:v>1820.7745612491999</c:v>
                </c:pt>
                <c:pt idx="219">
                  <c:v>1822.377519115</c:v>
                </c:pt>
                <c:pt idx="220">
                  <c:v>1824.2123054389001</c:v>
                </c:pt>
                <c:pt idx="221">
                  <c:v>1826.3031941547999</c:v>
                </c:pt>
                <c:pt idx="222">
                  <c:v>1823.9620649057999</c:v>
                </c:pt>
                <c:pt idx="223">
                  <c:v>1809.7217146825001</c:v>
                </c:pt>
                <c:pt idx="224">
                  <c:v>1800.8275576952999</c:v>
                </c:pt>
                <c:pt idx="225">
                  <c:v>1860.0302428703999</c:v>
                </c:pt>
                <c:pt idx="226">
                  <c:v>1949.247313457</c:v>
                </c:pt>
                <c:pt idx="227">
                  <c:v>2001.1406792974999</c:v>
                </c:pt>
                <c:pt idx="228">
                  <c:v>2005.2267980498</c:v>
                </c:pt>
                <c:pt idx="229">
                  <c:v>2007.2322367848001</c:v>
                </c:pt>
                <c:pt idx="230">
                  <c:v>2007.8216528390001</c:v>
                </c:pt>
                <c:pt idx="231">
                  <c:v>2007.8138400879</c:v>
                </c:pt>
                <c:pt idx="232">
                  <c:v>2007.4321594877999</c:v>
                </c:pt>
                <c:pt idx="233">
                  <c:v>2006.8051783467999</c:v>
                </c:pt>
                <c:pt idx="234">
                  <c:v>2006.0091964407</c:v>
                </c:pt>
                <c:pt idx="235">
                  <c:v>2005.0946688352999</c:v>
                </c:pt>
                <c:pt idx="236">
                  <c:v>2004.1103479536</c:v>
                </c:pt>
                <c:pt idx="237">
                  <c:v>2003.0998560585999</c:v>
                </c:pt>
                <c:pt idx="238">
                  <c:v>2002.0562412367001</c:v>
                </c:pt>
                <c:pt idx="239">
                  <c:v>2000.9884576846</c:v>
                </c:pt>
                <c:pt idx="240">
                  <c:v>1999.9108690879</c:v>
                </c:pt>
                <c:pt idx="241">
                  <c:v>1998.834401391</c:v>
                </c:pt>
                <c:pt idx="242">
                  <c:v>1997.7611349215999</c:v>
                </c:pt>
                <c:pt idx="243">
                  <c:v>1996.6900804577001</c:v>
                </c:pt>
                <c:pt idx="244">
                  <c:v>1995.6295135307</c:v>
                </c:pt>
                <c:pt idx="245">
                  <c:v>1994.5984559356</c:v>
                </c:pt>
                <c:pt idx="246">
                  <c:v>1993.5880618906001</c:v>
                </c:pt>
                <c:pt idx="247">
                  <c:v>1992.5938900271001</c:v>
                </c:pt>
                <c:pt idx="248">
                  <c:v>1991.6172388698001</c:v>
                </c:pt>
                <c:pt idx="249">
                  <c:v>1990.6583576507001</c:v>
                </c:pt>
                <c:pt idx="250">
                  <c:v>1989.7167173116</c:v>
                </c:pt>
                <c:pt idx="251">
                  <c:v>1988.7920999553</c:v>
                </c:pt>
                <c:pt idx="252">
                  <c:v>1987.8845416893</c:v>
                </c:pt>
                <c:pt idx="253">
                  <c:v>1986.9925020748999</c:v>
                </c:pt>
                <c:pt idx="254">
                  <c:v>1986.1142727867</c:v>
                </c:pt>
                <c:pt idx="255">
                  <c:v>1985.2462558627999</c:v>
                </c:pt>
              </c:numCache>
            </c:numRef>
          </c:yVal>
          <c:smooth val="1"/>
        </c:ser>
        <c:ser>
          <c:idx val="2"/>
          <c:order val="2"/>
          <c:tx>
            <c:strRef>
              <c:f>PeakFuelCenterlineTemp!$E$1</c:f>
              <c:strCache>
                <c:ptCount val="1"/>
                <c:pt idx="0">
                  <c:v>Zircaloy</c:v>
                </c:pt>
              </c:strCache>
            </c:strRef>
          </c:tx>
          <c:spPr>
            <a:ln w="38100"/>
          </c:spPr>
          <c:marker>
            <c:symbol val="none"/>
          </c:marker>
          <c:xVal>
            <c:numRef>
              <c:f>PeakFuelCenterlineTemp!$B$2:$B$257</c:f>
              <c:numCache>
                <c:formatCode>0.00E+00</c:formatCode>
                <c:ptCount val="256"/>
                <c:pt idx="0">
                  <c:v>0</c:v>
                </c:pt>
                <c:pt idx="1">
                  <c:v>1.1574074074074099E-2</c:v>
                </c:pt>
                <c:pt idx="2">
                  <c:v>3.4722222222222203E-2</c:v>
                </c:pt>
                <c:pt idx="3">
                  <c:v>8.1018518518518504E-2</c:v>
                </c:pt>
                <c:pt idx="4">
                  <c:v>0.17361111111111099</c:v>
                </c:pt>
                <c:pt idx="5">
                  <c:v>0.358796296296296</c:v>
                </c:pt>
                <c:pt idx="6">
                  <c:v>0.72916666666666596</c:v>
                </c:pt>
                <c:pt idx="7">
                  <c:v>1.469907407407407</c:v>
                </c:pt>
                <c:pt idx="8">
                  <c:v>2.9513888888888871</c:v>
                </c:pt>
                <c:pt idx="9">
                  <c:v>5.8449074074074048</c:v>
                </c:pt>
                <c:pt idx="10">
                  <c:v>8.738425925925922</c:v>
                </c:pt>
                <c:pt idx="11">
                  <c:v>11.631944444444439</c:v>
                </c:pt>
                <c:pt idx="12">
                  <c:v>14.52546296296296</c:v>
                </c:pt>
                <c:pt idx="13">
                  <c:v>17.418981481481481</c:v>
                </c:pt>
                <c:pt idx="14">
                  <c:v>20.3125</c:v>
                </c:pt>
                <c:pt idx="15">
                  <c:v>23.206018518518519</c:v>
                </c:pt>
                <c:pt idx="16">
                  <c:v>26.09953703703702</c:v>
                </c:pt>
                <c:pt idx="17">
                  <c:v>28.993055555555561</c:v>
                </c:pt>
                <c:pt idx="18">
                  <c:v>31.88657407407408</c:v>
                </c:pt>
                <c:pt idx="19">
                  <c:v>34.780092592592567</c:v>
                </c:pt>
                <c:pt idx="20">
                  <c:v>37.673611111111107</c:v>
                </c:pt>
                <c:pt idx="21">
                  <c:v>40.567129629629633</c:v>
                </c:pt>
                <c:pt idx="22">
                  <c:v>43.460648148148152</c:v>
                </c:pt>
                <c:pt idx="23">
                  <c:v>46.354166666666622</c:v>
                </c:pt>
                <c:pt idx="24">
                  <c:v>49.247685185185183</c:v>
                </c:pt>
                <c:pt idx="25">
                  <c:v>52.141203703703702</c:v>
                </c:pt>
                <c:pt idx="26">
                  <c:v>55.034722222222221</c:v>
                </c:pt>
                <c:pt idx="27">
                  <c:v>57.92824074074074</c:v>
                </c:pt>
                <c:pt idx="28">
                  <c:v>60.821759259259252</c:v>
                </c:pt>
                <c:pt idx="29">
                  <c:v>63.715277777777779</c:v>
                </c:pt>
                <c:pt idx="30">
                  <c:v>66.608796296296234</c:v>
                </c:pt>
                <c:pt idx="31">
                  <c:v>69.502314814814767</c:v>
                </c:pt>
                <c:pt idx="32">
                  <c:v>72.3958333333333</c:v>
                </c:pt>
                <c:pt idx="33">
                  <c:v>75.289351851851805</c:v>
                </c:pt>
                <c:pt idx="34">
                  <c:v>78.182870370370324</c:v>
                </c:pt>
                <c:pt idx="35">
                  <c:v>81.076388888888829</c:v>
                </c:pt>
                <c:pt idx="36">
                  <c:v>83.969907407407433</c:v>
                </c:pt>
                <c:pt idx="37">
                  <c:v>86.863425925925924</c:v>
                </c:pt>
                <c:pt idx="38">
                  <c:v>89.756944444444443</c:v>
                </c:pt>
                <c:pt idx="39">
                  <c:v>92.650462962962948</c:v>
                </c:pt>
                <c:pt idx="40">
                  <c:v>95.543981481481481</c:v>
                </c:pt>
                <c:pt idx="41">
                  <c:v>98.4375</c:v>
                </c:pt>
                <c:pt idx="42">
                  <c:v>101.3310185185185</c:v>
                </c:pt>
                <c:pt idx="43">
                  <c:v>104.224537037037</c:v>
                </c:pt>
                <c:pt idx="44">
                  <c:v>107.1180555555555</c:v>
                </c:pt>
                <c:pt idx="45">
                  <c:v>110.0115740740741</c:v>
                </c:pt>
                <c:pt idx="46">
                  <c:v>112.9050925925926</c:v>
                </c:pt>
                <c:pt idx="47">
                  <c:v>115.7986111111111</c:v>
                </c:pt>
                <c:pt idx="48">
                  <c:v>118.6921296296296</c:v>
                </c:pt>
                <c:pt idx="49">
                  <c:v>121.5856481481481</c:v>
                </c:pt>
                <c:pt idx="50">
                  <c:v>124.4791666666667</c:v>
                </c:pt>
                <c:pt idx="51">
                  <c:v>127.3726851851852</c:v>
                </c:pt>
                <c:pt idx="52">
                  <c:v>130.2662037037037</c:v>
                </c:pt>
                <c:pt idx="53">
                  <c:v>133.1597222222222</c:v>
                </c:pt>
                <c:pt idx="54">
                  <c:v>136.0532407407407</c:v>
                </c:pt>
                <c:pt idx="55">
                  <c:v>138.94675925925921</c:v>
                </c:pt>
                <c:pt idx="56">
                  <c:v>141.8402777777778</c:v>
                </c:pt>
                <c:pt idx="57">
                  <c:v>144.7337962962963</c:v>
                </c:pt>
                <c:pt idx="58">
                  <c:v>147.62731481481481</c:v>
                </c:pt>
                <c:pt idx="59">
                  <c:v>150.5208333333334</c:v>
                </c:pt>
                <c:pt idx="60">
                  <c:v>153.41435185185179</c:v>
                </c:pt>
                <c:pt idx="61">
                  <c:v>156.30787037037041</c:v>
                </c:pt>
                <c:pt idx="62">
                  <c:v>159.201388888889</c:v>
                </c:pt>
                <c:pt idx="63">
                  <c:v>162.09490740740739</c:v>
                </c:pt>
                <c:pt idx="64">
                  <c:v>164.98842592592601</c:v>
                </c:pt>
                <c:pt idx="65">
                  <c:v>167.88194444444451</c:v>
                </c:pt>
                <c:pt idx="66">
                  <c:v>170.77546296296291</c:v>
                </c:pt>
                <c:pt idx="67">
                  <c:v>173.6689814814815</c:v>
                </c:pt>
                <c:pt idx="68">
                  <c:v>176.5625</c:v>
                </c:pt>
                <c:pt idx="69">
                  <c:v>179.4560185185185</c:v>
                </c:pt>
                <c:pt idx="70">
                  <c:v>182.34953703703701</c:v>
                </c:pt>
                <c:pt idx="71">
                  <c:v>185.2430555555554</c:v>
                </c:pt>
                <c:pt idx="72">
                  <c:v>188.13657407407399</c:v>
                </c:pt>
                <c:pt idx="73">
                  <c:v>191.03009259259261</c:v>
                </c:pt>
                <c:pt idx="74">
                  <c:v>193.92361111111109</c:v>
                </c:pt>
                <c:pt idx="75">
                  <c:v>196.81712962962959</c:v>
                </c:pt>
                <c:pt idx="76">
                  <c:v>199.7106481481481</c:v>
                </c:pt>
                <c:pt idx="77">
                  <c:v>202.6041666666666</c:v>
                </c:pt>
                <c:pt idx="78">
                  <c:v>205.49768518518519</c:v>
                </c:pt>
                <c:pt idx="79">
                  <c:v>208.39120370370381</c:v>
                </c:pt>
                <c:pt idx="80">
                  <c:v>211.2847222222222</c:v>
                </c:pt>
                <c:pt idx="81">
                  <c:v>214.1782407407407</c:v>
                </c:pt>
                <c:pt idx="82">
                  <c:v>217.07175925925921</c:v>
                </c:pt>
                <c:pt idx="83">
                  <c:v>219.9652777777778</c:v>
                </c:pt>
                <c:pt idx="84">
                  <c:v>222.8587962962963</c:v>
                </c:pt>
                <c:pt idx="85">
                  <c:v>225.75231481481481</c:v>
                </c:pt>
                <c:pt idx="86">
                  <c:v>228.64583333333329</c:v>
                </c:pt>
                <c:pt idx="87">
                  <c:v>231.53935185185179</c:v>
                </c:pt>
                <c:pt idx="88">
                  <c:v>234.43287037037041</c:v>
                </c:pt>
                <c:pt idx="89">
                  <c:v>237.326388888889</c:v>
                </c:pt>
                <c:pt idx="90">
                  <c:v>240.21990740740739</c:v>
                </c:pt>
                <c:pt idx="91">
                  <c:v>243.1134259259259</c:v>
                </c:pt>
                <c:pt idx="92">
                  <c:v>246.00694444444451</c:v>
                </c:pt>
                <c:pt idx="93">
                  <c:v>248.90046296296299</c:v>
                </c:pt>
                <c:pt idx="94">
                  <c:v>251.7939814814815</c:v>
                </c:pt>
                <c:pt idx="95">
                  <c:v>254.6875</c:v>
                </c:pt>
                <c:pt idx="96">
                  <c:v>257.58101851851842</c:v>
                </c:pt>
                <c:pt idx="97">
                  <c:v>260.47453703703701</c:v>
                </c:pt>
                <c:pt idx="98">
                  <c:v>263.36805555555549</c:v>
                </c:pt>
                <c:pt idx="99">
                  <c:v>266.26157407407391</c:v>
                </c:pt>
                <c:pt idx="100">
                  <c:v>269.15509259259261</c:v>
                </c:pt>
                <c:pt idx="101">
                  <c:v>272.04861111111109</c:v>
                </c:pt>
                <c:pt idx="102">
                  <c:v>274.94212962962962</c:v>
                </c:pt>
                <c:pt idx="103">
                  <c:v>277.83564814814821</c:v>
                </c:pt>
                <c:pt idx="104">
                  <c:v>280.72916666666669</c:v>
                </c:pt>
                <c:pt idx="105">
                  <c:v>283.62268518518522</c:v>
                </c:pt>
                <c:pt idx="106">
                  <c:v>286.5162037037037</c:v>
                </c:pt>
                <c:pt idx="107">
                  <c:v>289.40972222222211</c:v>
                </c:pt>
                <c:pt idx="108">
                  <c:v>292.30324074074082</c:v>
                </c:pt>
                <c:pt idx="109">
                  <c:v>295.19675925925912</c:v>
                </c:pt>
                <c:pt idx="110">
                  <c:v>298.0902777777776</c:v>
                </c:pt>
                <c:pt idx="111">
                  <c:v>300.98379629629608</c:v>
                </c:pt>
                <c:pt idx="112">
                  <c:v>303.87731481481472</c:v>
                </c:pt>
                <c:pt idx="113">
                  <c:v>306.77083333333331</c:v>
                </c:pt>
                <c:pt idx="114">
                  <c:v>309.66435185185202</c:v>
                </c:pt>
                <c:pt idx="115">
                  <c:v>312.55787037037032</c:v>
                </c:pt>
                <c:pt idx="116">
                  <c:v>315.45138888888891</c:v>
                </c:pt>
                <c:pt idx="117">
                  <c:v>318.34490740740739</c:v>
                </c:pt>
                <c:pt idx="118">
                  <c:v>321.23842592592592</c:v>
                </c:pt>
                <c:pt idx="119">
                  <c:v>324.13194444444429</c:v>
                </c:pt>
                <c:pt idx="120">
                  <c:v>327.02546296296299</c:v>
                </c:pt>
                <c:pt idx="121">
                  <c:v>329.91898148148141</c:v>
                </c:pt>
                <c:pt idx="122">
                  <c:v>332.8125</c:v>
                </c:pt>
                <c:pt idx="123">
                  <c:v>335.70601851851842</c:v>
                </c:pt>
                <c:pt idx="124">
                  <c:v>338.59953703703701</c:v>
                </c:pt>
                <c:pt idx="125">
                  <c:v>341.49305555555537</c:v>
                </c:pt>
                <c:pt idx="126">
                  <c:v>344.38657407407391</c:v>
                </c:pt>
                <c:pt idx="127">
                  <c:v>347.28009259259238</c:v>
                </c:pt>
                <c:pt idx="128">
                  <c:v>350.17361111111109</c:v>
                </c:pt>
                <c:pt idx="129">
                  <c:v>353.06712962962968</c:v>
                </c:pt>
                <c:pt idx="130">
                  <c:v>355.96064814814821</c:v>
                </c:pt>
                <c:pt idx="131">
                  <c:v>358.8541666666668</c:v>
                </c:pt>
                <c:pt idx="132">
                  <c:v>361.74768518518522</c:v>
                </c:pt>
                <c:pt idx="133">
                  <c:v>364.6412037037037</c:v>
                </c:pt>
                <c:pt idx="134">
                  <c:v>367.53472222222211</c:v>
                </c:pt>
                <c:pt idx="135">
                  <c:v>370.42824074074059</c:v>
                </c:pt>
                <c:pt idx="136">
                  <c:v>373.32175925925912</c:v>
                </c:pt>
                <c:pt idx="137">
                  <c:v>376.2152777777776</c:v>
                </c:pt>
                <c:pt idx="138">
                  <c:v>379.10879629629619</c:v>
                </c:pt>
                <c:pt idx="139">
                  <c:v>382.00231481481472</c:v>
                </c:pt>
                <c:pt idx="140">
                  <c:v>384.89583333333331</c:v>
                </c:pt>
                <c:pt idx="141">
                  <c:v>387.78935185185179</c:v>
                </c:pt>
                <c:pt idx="142">
                  <c:v>390.68287037037032</c:v>
                </c:pt>
                <c:pt idx="143">
                  <c:v>393.57638888888891</c:v>
                </c:pt>
                <c:pt idx="144">
                  <c:v>396.46990740740728</c:v>
                </c:pt>
                <c:pt idx="145">
                  <c:v>399.36342592592598</c:v>
                </c:pt>
                <c:pt idx="146">
                  <c:v>402.25694444444429</c:v>
                </c:pt>
                <c:pt idx="147">
                  <c:v>405.15046296296299</c:v>
                </c:pt>
                <c:pt idx="148">
                  <c:v>408.04398148148152</c:v>
                </c:pt>
                <c:pt idx="149">
                  <c:v>410.93749999999977</c:v>
                </c:pt>
                <c:pt idx="150">
                  <c:v>413.83101851851842</c:v>
                </c:pt>
                <c:pt idx="151">
                  <c:v>416.72453703703701</c:v>
                </c:pt>
                <c:pt idx="152">
                  <c:v>419.61805555555549</c:v>
                </c:pt>
                <c:pt idx="153">
                  <c:v>422.51157407407391</c:v>
                </c:pt>
                <c:pt idx="154">
                  <c:v>425.40509259259238</c:v>
                </c:pt>
                <c:pt idx="155">
                  <c:v>428.29861111111109</c:v>
                </c:pt>
                <c:pt idx="156">
                  <c:v>431.19212962962968</c:v>
                </c:pt>
                <c:pt idx="157">
                  <c:v>434.08564814814821</c:v>
                </c:pt>
                <c:pt idx="158">
                  <c:v>436.97916666666669</c:v>
                </c:pt>
                <c:pt idx="159">
                  <c:v>439.87268518518522</c:v>
                </c:pt>
                <c:pt idx="160">
                  <c:v>442.7662037037037</c:v>
                </c:pt>
                <c:pt idx="161">
                  <c:v>445.65972222222229</c:v>
                </c:pt>
                <c:pt idx="162">
                  <c:v>448.55324074074082</c:v>
                </c:pt>
                <c:pt idx="163">
                  <c:v>451.44675925925912</c:v>
                </c:pt>
                <c:pt idx="164">
                  <c:v>454.34027777777771</c:v>
                </c:pt>
                <c:pt idx="165">
                  <c:v>457.23379629629608</c:v>
                </c:pt>
                <c:pt idx="166">
                  <c:v>460.12731481481472</c:v>
                </c:pt>
                <c:pt idx="167">
                  <c:v>463.02083333333331</c:v>
                </c:pt>
                <c:pt idx="168">
                  <c:v>465.91435185185179</c:v>
                </c:pt>
                <c:pt idx="169">
                  <c:v>468.80787037037032</c:v>
                </c:pt>
                <c:pt idx="170">
                  <c:v>471.70138888888891</c:v>
                </c:pt>
                <c:pt idx="171">
                  <c:v>474.59490740740728</c:v>
                </c:pt>
                <c:pt idx="172">
                  <c:v>477.48842592592592</c:v>
                </c:pt>
                <c:pt idx="173">
                  <c:v>480.38194444444429</c:v>
                </c:pt>
                <c:pt idx="174">
                  <c:v>483.27546296296299</c:v>
                </c:pt>
                <c:pt idx="175">
                  <c:v>486.16898148148152</c:v>
                </c:pt>
                <c:pt idx="176">
                  <c:v>489.0625</c:v>
                </c:pt>
                <c:pt idx="177">
                  <c:v>491.95601851851842</c:v>
                </c:pt>
                <c:pt idx="178">
                  <c:v>494.84953703703701</c:v>
                </c:pt>
                <c:pt idx="179">
                  <c:v>497.74305555555549</c:v>
                </c:pt>
                <c:pt idx="180">
                  <c:v>500.63657407407391</c:v>
                </c:pt>
                <c:pt idx="181">
                  <c:v>503.53009259259238</c:v>
                </c:pt>
                <c:pt idx="182">
                  <c:v>506.42361111111109</c:v>
                </c:pt>
                <c:pt idx="183">
                  <c:v>509.31712962962968</c:v>
                </c:pt>
                <c:pt idx="184">
                  <c:v>512.21064814814815</c:v>
                </c:pt>
                <c:pt idx="185">
                  <c:v>515.10416666666686</c:v>
                </c:pt>
                <c:pt idx="186">
                  <c:v>517.99768518518499</c:v>
                </c:pt>
                <c:pt idx="187">
                  <c:v>520.89120370370335</c:v>
                </c:pt>
                <c:pt idx="188">
                  <c:v>523.78472222222251</c:v>
                </c:pt>
                <c:pt idx="189">
                  <c:v>526.67824074074076</c:v>
                </c:pt>
                <c:pt idx="190">
                  <c:v>529.57175925925935</c:v>
                </c:pt>
                <c:pt idx="191">
                  <c:v>532.46527777777783</c:v>
                </c:pt>
                <c:pt idx="192">
                  <c:v>535.35879629629653</c:v>
                </c:pt>
                <c:pt idx="193">
                  <c:v>538.25231481481455</c:v>
                </c:pt>
                <c:pt idx="194">
                  <c:v>541.14583333333337</c:v>
                </c:pt>
                <c:pt idx="195">
                  <c:v>544.03935185185185</c:v>
                </c:pt>
                <c:pt idx="196">
                  <c:v>546.93287037037055</c:v>
                </c:pt>
                <c:pt idx="197">
                  <c:v>549.82638888888869</c:v>
                </c:pt>
                <c:pt idx="198">
                  <c:v>552.7199074074075</c:v>
                </c:pt>
                <c:pt idx="199">
                  <c:v>555.61342592592587</c:v>
                </c:pt>
                <c:pt idx="200">
                  <c:v>558.50694444444446</c:v>
                </c:pt>
                <c:pt idx="201">
                  <c:v>561.40046296296305</c:v>
                </c:pt>
                <c:pt idx="202">
                  <c:v>564.29398148148152</c:v>
                </c:pt>
                <c:pt idx="203">
                  <c:v>567.1875</c:v>
                </c:pt>
                <c:pt idx="204">
                  <c:v>570.08101851851859</c:v>
                </c:pt>
                <c:pt idx="205">
                  <c:v>572.97453703703741</c:v>
                </c:pt>
                <c:pt idx="206">
                  <c:v>575.86805555555543</c:v>
                </c:pt>
                <c:pt idx="207">
                  <c:v>578.76157407407413</c:v>
                </c:pt>
                <c:pt idx="208">
                  <c:v>581.65509259259261</c:v>
                </c:pt>
                <c:pt idx="209">
                  <c:v>584.54861111111109</c:v>
                </c:pt>
                <c:pt idx="210">
                  <c:v>587.44212962962933</c:v>
                </c:pt>
                <c:pt idx="211">
                  <c:v>590.33564814814804</c:v>
                </c:pt>
                <c:pt idx="212">
                  <c:v>593.22916666666686</c:v>
                </c:pt>
                <c:pt idx="213">
                  <c:v>596.12268518518488</c:v>
                </c:pt>
                <c:pt idx="214">
                  <c:v>599.01620370370335</c:v>
                </c:pt>
                <c:pt idx="215">
                  <c:v>601.90972222222217</c:v>
                </c:pt>
                <c:pt idx="216">
                  <c:v>604.80324074074042</c:v>
                </c:pt>
                <c:pt idx="217">
                  <c:v>607.69675925925935</c:v>
                </c:pt>
                <c:pt idx="218">
                  <c:v>610.59027777777806</c:v>
                </c:pt>
                <c:pt idx="219">
                  <c:v>613.48379629629665</c:v>
                </c:pt>
                <c:pt idx="220">
                  <c:v>616.37731481481467</c:v>
                </c:pt>
                <c:pt idx="221">
                  <c:v>619.27083333333371</c:v>
                </c:pt>
                <c:pt idx="222">
                  <c:v>622.16435185185185</c:v>
                </c:pt>
                <c:pt idx="223">
                  <c:v>625.05787037037055</c:v>
                </c:pt>
                <c:pt idx="224">
                  <c:v>627.95138888888869</c:v>
                </c:pt>
                <c:pt idx="225">
                  <c:v>630.84490740740739</c:v>
                </c:pt>
                <c:pt idx="226">
                  <c:v>633.73842592592598</c:v>
                </c:pt>
                <c:pt idx="227">
                  <c:v>636.63194444444446</c:v>
                </c:pt>
                <c:pt idx="228">
                  <c:v>639.52546296296305</c:v>
                </c:pt>
                <c:pt idx="229">
                  <c:v>642.41898148148141</c:v>
                </c:pt>
                <c:pt idx="230">
                  <c:v>645.31249999999977</c:v>
                </c:pt>
                <c:pt idx="231">
                  <c:v>648.20601851851859</c:v>
                </c:pt>
                <c:pt idx="232">
                  <c:v>651.09953703703741</c:v>
                </c:pt>
                <c:pt idx="233">
                  <c:v>653.99305555555554</c:v>
                </c:pt>
                <c:pt idx="234">
                  <c:v>656.88657407407402</c:v>
                </c:pt>
                <c:pt idx="235">
                  <c:v>659.78009259259284</c:v>
                </c:pt>
                <c:pt idx="236">
                  <c:v>662.67361111111109</c:v>
                </c:pt>
                <c:pt idx="237">
                  <c:v>665.56712962962933</c:v>
                </c:pt>
                <c:pt idx="238">
                  <c:v>668.46064814814804</c:v>
                </c:pt>
                <c:pt idx="239">
                  <c:v>671.35416666666663</c:v>
                </c:pt>
                <c:pt idx="240">
                  <c:v>674.24768518518488</c:v>
                </c:pt>
                <c:pt idx="241">
                  <c:v>677.14120370370335</c:v>
                </c:pt>
                <c:pt idx="242">
                  <c:v>680.03472222222217</c:v>
                </c:pt>
                <c:pt idx="243">
                  <c:v>682.92824074074042</c:v>
                </c:pt>
                <c:pt idx="244">
                  <c:v>685.82175925925935</c:v>
                </c:pt>
                <c:pt idx="245">
                  <c:v>688.71527777777806</c:v>
                </c:pt>
                <c:pt idx="246">
                  <c:v>691.60879629629665</c:v>
                </c:pt>
                <c:pt idx="247">
                  <c:v>694.50231481481467</c:v>
                </c:pt>
                <c:pt idx="248">
                  <c:v>697.39583333333337</c:v>
                </c:pt>
                <c:pt idx="249">
                  <c:v>700.28935185185196</c:v>
                </c:pt>
                <c:pt idx="250">
                  <c:v>703.18287037037055</c:v>
                </c:pt>
                <c:pt idx="251">
                  <c:v>706.07638888888903</c:v>
                </c:pt>
                <c:pt idx="252">
                  <c:v>708.96990740740739</c:v>
                </c:pt>
                <c:pt idx="253">
                  <c:v>711.86342592592575</c:v>
                </c:pt>
                <c:pt idx="254">
                  <c:v>714.75694444444446</c:v>
                </c:pt>
                <c:pt idx="255">
                  <c:v>717.65046296296305</c:v>
                </c:pt>
              </c:numCache>
            </c:numRef>
          </c:xVal>
          <c:yVal>
            <c:numRef>
              <c:f>PeakFuelCenterlineTemp!$E$2:$E$257</c:f>
              <c:numCache>
                <c:formatCode>General</c:formatCode>
                <c:ptCount val="256"/>
                <c:pt idx="0">
                  <c:v>300</c:v>
                </c:pt>
                <c:pt idx="1">
                  <c:v>596.29096806843995</c:v>
                </c:pt>
                <c:pt idx="2">
                  <c:v>674.39062529539967</c:v>
                </c:pt>
                <c:pt idx="3">
                  <c:v>832.61300841988998</c:v>
                </c:pt>
                <c:pt idx="4">
                  <c:v>1177.2724158735</c:v>
                </c:pt>
                <c:pt idx="5">
                  <c:v>1847.5046698054</c:v>
                </c:pt>
                <c:pt idx="6">
                  <c:v>2006.2293159066</c:v>
                </c:pt>
                <c:pt idx="7">
                  <c:v>1995.0777833195</c:v>
                </c:pt>
                <c:pt idx="8">
                  <c:v>1981.9904638969001</c:v>
                </c:pt>
                <c:pt idx="9">
                  <c:v>1964.6466895389999</c:v>
                </c:pt>
                <c:pt idx="10">
                  <c:v>1949.1461502797999</c:v>
                </c:pt>
                <c:pt idx="11">
                  <c:v>1934.8323540235001</c:v>
                </c:pt>
                <c:pt idx="12">
                  <c:v>1921.7046354549</c:v>
                </c:pt>
                <c:pt idx="13">
                  <c:v>1909.1113374301001</c:v>
                </c:pt>
                <c:pt idx="14">
                  <c:v>1897.0286668178001</c:v>
                </c:pt>
                <c:pt idx="15">
                  <c:v>1885.353912133</c:v>
                </c:pt>
                <c:pt idx="16">
                  <c:v>1874.1131548851999</c:v>
                </c:pt>
                <c:pt idx="17">
                  <c:v>1863.4539866737</c:v>
                </c:pt>
                <c:pt idx="18">
                  <c:v>1853.3590261460999</c:v>
                </c:pt>
                <c:pt idx="19">
                  <c:v>1843.8046695327</c:v>
                </c:pt>
                <c:pt idx="20">
                  <c:v>1834.7642896474999</c:v>
                </c:pt>
                <c:pt idx="21">
                  <c:v>1826.2099550403</c:v>
                </c:pt>
                <c:pt idx="22">
                  <c:v>1818.1326780815</c:v>
                </c:pt>
                <c:pt idx="23">
                  <c:v>1810.5139755225</c:v>
                </c:pt>
                <c:pt idx="24">
                  <c:v>1803.3076643874001</c:v>
                </c:pt>
                <c:pt idx="25">
                  <c:v>1796.4832493015001</c:v>
                </c:pt>
                <c:pt idx="26">
                  <c:v>1790.0118282173</c:v>
                </c:pt>
                <c:pt idx="27">
                  <c:v>1784.1479722829999</c:v>
                </c:pt>
                <c:pt idx="28">
                  <c:v>1778.7982848710001</c:v>
                </c:pt>
                <c:pt idx="29">
                  <c:v>1773.7228224600001</c:v>
                </c:pt>
                <c:pt idx="30">
                  <c:v>1768.9049211168001</c:v>
                </c:pt>
                <c:pt idx="31">
                  <c:v>1764.3257690503001</c:v>
                </c:pt>
                <c:pt idx="32">
                  <c:v>1759.9807596897999</c:v>
                </c:pt>
                <c:pt idx="33">
                  <c:v>1755.8510855761999</c:v>
                </c:pt>
                <c:pt idx="34">
                  <c:v>1751.9115584777001</c:v>
                </c:pt>
                <c:pt idx="35">
                  <c:v>1748.1604422592991</c:v>
                </c:pt>
                <c:pt idx="36">
                  <c:v>1744.5791240919</c:v>
                </c:pt>
                <c:pt idx="37">
                  <c:v>1741.3567209882999</c:v>
                </c:pt>
                <c:pt idx="38">
                  <c:v>1738.5949366402999</c:v>
                </c:pt>
                <c:pt idx="39">
                  <c:v>1735.9675034403001</c:v>
                </c:pt>
                <c:pt idx="40">
                  <c:v>1733.4607094728001</c:v>
                </c:pt>
                <c:pt idx="41">
                  <c:v>1731.0610685211</c:v>
                </c:pt>
                <c:pt idx="42">
                  <c:v>1728.7619535015001</c:v>
                </c:pt>
                <c:pt idx="43">
                  <c:v>1726.5594863974</c:v>
                </c:pt>
                <c:pt idx="44">
                  <c:v>1724.4810817562</c:v>
                </c:pt>
                <c:pt idx="45">
                  <c:v>1722.4901940310001</c:v>
                </c:pt>
                <c:pt idx="46">
                  <c:v>1720.5829411575</c:v>
                </c:pt>
                <c:pt idx="47">
                  <c:v>1718.7510485902001</c:v>
                </c:pt>
                <c:pt idx="48">
                  <c:v>1715.4607397192001</c:v>
                </c:pt>
                <c:pt idx="49">
                  <c:v>1705.6859251794999</c:v>
                </c:pt>
                <c:pt idx="50">
                  <c:v>1696.0962465911</c:v>
                </c:pt>
                <c:pt idx="51">
                  <c:v>1686.5503572114001</c:v>
                </c:pt>
                <c:pt idx="52">
                  <c:v>1677.0628282271</c:v>
                </c:pt>
                <c:pt idx="53">
                  <c:v>1667.6345733615999</c:v>
                </c:pt>
                <c:pt idx="54">
                  <c:v>1658.2624234016</c:v>
                </c:pt>
                <c:pt idx="55">
                  <c:v>1648.9419809417</c:v>
                </c:pt>
                <c:pt idx="56">
                  <c:v>1639.6686117280001</c:v>
                </c:pt>
                <c:pt idx="57">
                  <c:v>1630.4376586189001</c:v>
                </c:pt>
                <c:pt idx="58">
                  <c:v>1621.2558772714001</c:v>
                </c:pt>
                <c:pt idx="59">
                  <c:v>1612.1116817303</c:v>
                </c:pt>
                <c:pt idx="60">
                  <c:v>1602.9977712519001</c:v>
                </c:pt>
                <c:pt idx="61">
                  <c:v>1593.9108566491</c:v>
                </c:pt>
                <c:pt idx="62">
                  <c:v>1584.8478016453</c:v>
                </c:pt>
                <c:pt idx="63">
                  <c:v>1575.8057726712</c:v>
                </c:pt>
                <c:pt idx="64">
                  <c:v>1566.7822552125999</c:v>
                </c:pt>
                <c:pt idx="65">
                  <c:v>1557.8160035906001</c:v>
                </c:pt>
                <c:pt idx="66">
                  <c:v>1548.9984389402</c:v>
                </c:pt>
                <c:pt idx="67">
                  <c:v>1540.2969114907</c:v>
                </c:pt>
                <c:pt idx="68">
                  <c:v>1531.629696215</c:v>
                </c:pt>
                <c:pt idx="69">
                  <c:v>1522.9739902263</c:v>
                </c:pt>
                <c:pt idx="70">
                  <c:v>1514.3262883463999</c:v>
                </c:pt>
                <c:pt idx="71">
                  <c:v>1505.6855689032</c:v>
                </c:pt>
                <c:pt idx="72">
                  <c:v>1497.0509969164</c:v>
                </c:pt>
                <c:pt idx="73">
                  <c:v>1488.4217989755</c:v>
                </c:pt>
                <c:pt idx="74">
                  <c:v>1479.7973468466</c:v>
                </c:pt>
                <c:pt idx="75">
                  <c:v>1471.1771102436001</c:v>
                </c:pt>
                <c:pt idx="76">
                  <c:v>1462.5606551441001</c:v>
                </c:pt>
                <c:pt idx="77">
                  <c:v>1453.9476331799001</c:v>
                </c:pt>
                <c:pt idx="78">
                  <c:v>1445.3376869925</c:v>
                </c:pt>
                <c:pt idx="79">
                  <c:v>1436.7305833601999</c:v>
                </c:pt>
                <c:pt idx="80">
                  <c:v>1428.1260352342999</c:v>
                </c:pt>
                <c:pt idx="81">
                  <c:v>1419.5238959462999</c:v>
                </c:pt>
                <c:pt idx="82">
                  <c:v>1410.9239288343999</c:v>
                </c:pt>
                <c:pt idx="83">
                  <c:v>1402.3259900042999</c:v>
                </c:pt>
                <c:pt idx="84">
                  <c:v>1393.7298393405999</c:v>
                </c:pt>
                <c:pt idx="85">
                  <c:v>1385.1352829503001</c:v>
                </c:pt>
                <c:pt idx="86">
                  <c:v>1376.5420767491</c:v>
                </c:pt>
                <c:pt idx="87">
                  <c:v>1367.9499488806</c:v>
                </c:pt>
                <c:pt idx="88">
                  <c:v>1359.3585835923</c:v>
                </c:pt>
                <c:pt idx="89">
                  <c:v>1350.7676574258001</c:v>
                </c:pt>
                <c:pt idx="90">
                  <c:v>1342.1767743037001</c:v>
                </c:pt>
                <c:pt idx="91">
                  <c:v>1333.5854875877999</c:v>
                </c:pt>
                <c:pt idx="92">
                  <c:v>1335.5526509085</c:v>
                </c:pt>
                <c:pt idx="93">
                  <c:v>1339.8361060464999</c:v>
                </c:pt>
                <c:pt idx="94">
                  <c:v>1344.1015153609001</c:v>
                </c:pt>
                <c:pt idx="95">
                  <c:v>1348.3573708096999</c:v>
                </c:pt>
                <c:pt idx="96">
                  <c:v>1352.6083275236001</c:v>
                </c:pt>
                <c:pt idx="97">
                  <c:v>1356.8565017487999</c:v>
                </c:pt>
                <c:pt idx="98">
                  <c:v>1361.1028656904</c:v>
                </c:pt>
                <c:pt idx="99">
                  <c:v>1365.3478738321</c:v>
                </c:pt>
                <c:pt idx="100">
                  <c:v>1369.5917312914</c:v>
                </c:pt>
                <c:pt idx="101">
                  <c:v>1373.8345144206</c:v>
                </c:pt>
                <c:pt idx="102">
                  <c:v>1378.0763034875999</c:v>
                </c:pt>
                <c:pt idx="103">
                  <c:v>1382.3149370596</c:v>
                </c:pt>
                <c:pt idx="104">
                  <c:v>1387.9412982582</c:v>
                </c:pt>
                <c:pt idx="105">
                  <c:v>1393.8667317637</c:v>
                </c:pt>
                <c:pt idx="106">
                  <c:v>1399.8094429205</c:v>
                </c:pt>
                <c:pt idx="107">
                  <c:v>1405.6670115492</c:v>
                </c:pt>
                <c:pt idx="108">
                  <c:v>1411.5676231033999</c:v>
                </c:pt>
                <c:pt idx="109">
                  <c:v>1417.4700805191001</c:v>
                </c:pt>
                <c:pt idx="110">
                  <c:v>1423.4001520754</c:v>
                </c:pt>
                <c:pt idx="111">
                  <c:v>1429.3501982547</c:v>
                </c:pt>
                <c:pt idx="112">
                  <c:v>1435.3222104677</c:v>
                </c:pt>
                <c:pt idx="113">
                  <c:v>1441.3159246380999</c:v>
                </c:pt>
                <c:pt idx="114">
                  <c:v>1447.3631359238</c:v>
                </c:pt>
                <c:pt idx="115">
                  <c:v>1453.4688057161</c:v>
                </c:pt>
                <c:pt idx="116">
                  <c:v>1460.0705873492</c:v>
                </c:pt>
                <c:pt idx="117">
                  <c:v>1466.7879871232001</c:v>
                </c:pt>
                <c:pt idx="118">
                  <c:v>1473.5464450090001</c:v>
                </c:pt>
                <c:pt idx="119">
                  <c:v>1480.3367709873</c:v>
                </c:pt>
                <c:pt idx="120">
                  <c:v>1487.1609269378</c:v>
                </c:pt>
                <c:pt idx="121">
                  <c:v>1494.0200830351</c:v>
                </c:pt>
                <c:pt idx="122">
                  <c:v>1500.9164314779</c:v>
                </c:pt>
                <c:pt idx="123">
                  <c:v>1507.8520210417</c:v>
                </c:pt>
                <c:pt idx="124">
                  <c:v>1514.829381774</c:v>
                </c:pt>
                <c:pt idx="125">
                  <c:v>1521.8512198147</c:v>
                </c:pt>
                <c:pt idx="126">
                  <c:v>1528.9207826864999</c:v>
                </c:pt>
                <c:pt idx="127">
                  <c:v>1536.0414859058001</c:v>
                </c:pt>
                <c:pt idx="128">
                  <c:v>1543.2151503796999</c:v>
                </c:pt>
                <c:pt idx="129">
                  <c:v>1550.4451099957</c:v>
                </c:pt>
                <c:pt idx="130">
                  <c:v>1557.7334088559001</c:v>
                </c:pt>
                <c:pt idx="131">
                  <c:v>1565.086997035</c:v>
                </c:pt>
                <c:pt idx="132">
                  <c:v>1572.5080055497001</c:v>
                </c:pt>
                <c:pt idx="133">
                  <c:v>1580.7622293587999</c:v>
                </c:pt>
                <c:pt idx="134">
                  <c:v>1583.2461962333</c:v>
                </c:pt>
                <c:pt idx="135">
                  <c:v>1585.8277247149999</c:v>
                </c:pt>
                <c:pt idx="136">
                  <c:v>1588.3724394013</c:v>
                </c:pt>
                <c:pt idx="137">
                  <c:v>1590.9019387554999</c:v>
                </c:pt>
                <c:pt idx="138">
                  <c:v>1593.4037399870001</c:v>
                </c:pt>
                <c:pt idx="139">
                  <c:v>1595.8903004066001</c:v>
                </c:pt>
                <c:pt idx="140">
                  <c:v>1598.3934964555999</c:v>
                </c:pt>
                <c:pt idx="141">
                  <c:v>1600.8833329001</c:v>
                </c:pt>
                <c:pt idx="142">
                  <c:v>1603.3655738022001</c:v>
                </c:pt>
                <c:pt idx="143">
                  <c:v>1605.8744120762999</c:v>
                </c:pt>
                <c:pt idx="144">
                  <c:v>1608.3894463187</c:v>
                </c:pt>
                <c:pt idx="145">
                  <c:v>1610.9079367582999</c:v>
                </c:pt>
                <c:pt idx="146">
                  <c:v>1613.4507212729</c:v>
                </c:pt>
                <c:pt idx="147">
                  <c:v>1616.0160086313001</c:v>
                </c:pt>
                <c:pt idx="148">
                  <c:v>1618.5945161538</c:v>
                </c:pt>
                <c:pt idx="149">
                  <c:v>1621.2032416679999</c:v>
                </c:pt>
                <c:pt idx="150">
                  <c:v>1623.8475781315001</c:v>
                </c:pt>
                <c:pt idx="151">
                  <c:v>1626.5127557742001</c:v>
                </c:pt>
                <c:pt idx="152">
                  <c:v>1629.1867431511</c:v>
                </c:pt>
                <c:pt idx="153">
                  <c:v>1631.8968280498</c:v>
                </c:pt>
                <c:pt idx="154">
                  <c:v>1634.6220662476001</c:v>
                </c:pt>
                <c:pt idx="155">
                  <c:v>1637.3537994108999</c:v>
                </c:pt>
                <c:pt idx="156">
                  <c:v>1640.1187946552</c:v>
                </c:pt>
                <c:pt idx="157">
                  <c:v>1642.8997052089001</c:v>
                </c:pt>
                <c:pt idx="158">
                  <c:v>1645.6836807330001</c:v>
                </c:pt>
                <c:pt idx="159">
                  <c:v>1648.4951467407</c:v>
                </c:pt>
                <c:pt idx="160">
                  <c:v>1651.323813424</c:v>
                </c:pt>
                <c:pt idx="161">
                  <c:v>1654.1561936648</c:v>
                </c:pt>
                <c:pt idx="162">
                  <c:v>1657.0207578604</c:v>
                </c:pt>
                <c:pt idx="163">
                  <c:v>1659.9014215722</c:v>
                </c:pt>
                <c:pt idx="164">
                  <c:v>1662.7884316687</c:v>
                </c:pt>
                <c:pt idx="165">
                  <c:v>1665.6830727757001</c:v>
                </c:pt>
                <c:pt idx="166">
                  <c:v>1668.6028847712</c:v>
                </c:pt>
                <c:pt idx="167">
                  <c:v>1671.5533139309</c:v>
                </c:pt>
                <c:pt idx="168">
                  <c:v>1674.5135581063</c:v>
                </c:pt>
                <c:pt idx="169">
                  <c:v>1677.4827666998999</c:v>
                </c:pt>
                <c:pt idx="170">
                  <c:v>1680.4747967568001</c:v>
                </c:pt>
                <c:pt idx="171">
                  <c:v>1683.4958903405</c:v>
                </c:pt>
                <c:pt idx="172">
                  <c:v>1686.5403558506</c:v>
                </c:pt>
                <c:pt idx="173">
                  <c:v>1689.6113081215001</c:v>
                </c:pt>
                <c:pt idx="174">
                  <c:v>1692.7228760129001</c:v>
                </c:pt>
                <c:pt idx="175">
                  <c:v>1695.8577494701001</c:v>
                </c:pt>
                <c:pt idx="176">
                  <c:v>1699.0161735185</c:v>
                </c:pt>
                <c:pt idx="177">
                  <c:v>1702.2015017012</c:v>
                </c:pt>
                <c:pt idx="178">
                  <c:v>1705.4573912046999</c:v>
                </c:pt>
                <c:pt idx="179">
                  <c:v>1707.3882064103</c:v>
                </c:pt>
                <c:pt idx="180">
                  <c:v>1707.3439854305</c:v>
                </c:pt>
                <c:pt idx="181">
                  <c:v>1707.2391998005</c:v>
                </c:pt>
                <c:pt idx="182">
                  <c:v>1706.9892088782001</c:v>
                </c:pt>
                <c:pt idx="183">
                  <c:v>1706.6100763003999</c:v>
                </c:pt>
                <c:pt idx="184">
                  <c:v>1706.1604766741</c:v>
                </c:pt>
                <c:pt idx="185">
                  <c:v>1705.6418902915</c:v>
                </c:pt>
                <c:pt idx="186">
                  <c:v>1705.1763741264001</c:v>
                </c:pt>
                <c:pt idx="187">
                  <c:v>1704.6797340113999</c:v>
                </c:pt>
                <c:pt idx="188">
                  <c:v>1704.2557928430999</c:v>
                </c:pt>
                <c:pt idx="189">
                  <c:v>1703.8523355682</c:v>
                </c:pt>
                <c:pt idx="190">
                  <c:v>1703.5306686895999</c:v>
                </c:pt>
                <c:pt idx="191">
                  <c:v>1703.3020553516001</c:v>
                </c:pt>
                <c:pt idx="192">
                  <c:v>1703.1780953287</c:v>
                </c:pt>
                <c:pt idx="193">
                  <c:v>1703.2213975884999</c:v>
                </c:pt>
                <c:pt idx="194">
                  <c:v>1703.216970786</c:v>
                </c:pt>
                <c:pt idx="195">
                  <c:v>1703.1588989755001</c:v>
                </c:pt>
                <c:pt idx="196">
                  <c:v>1703.0489920391001</c:v>
                </c:pt>
                <c:pt idx="197">
                  <c:v>1702.9290960535</c:v>
                </c:pt>
                <c:pt idx="198">
                  <c:v>1702.7946178969</c:v>
                </c:pt>
                <c:pt idx="199">
                  <c:v>1702.618948626</c:v>
                </c:pt>
                <c:pt idx="200">
                  <c:v>1702.4023266915001</c:v>
                </c:pt>
                <c:pt idx="201">
                  <c:v>1702.1471447148001</c:v>
                </c:pt>
                <c:pt idx="202">
                  <c:v>1701.8548843791</c:v>
                </c:pt>
                <c:pt idx="203">
                  <c:v>1701.5259611212</c:v>
                </c:pt>
                <c:pt idx="204">
                  <c:v>1701.1648570046</c:v>
                </c:pt>
                <c:pt idx="205">
                  <c:v>1700.7703166911999</c:v>
                </c:pt>
                <c:pt idx="206">
                  <c:v>1700.347065793</c:v>
                </c:pt>
                <c:pt idx="207">
                  <c:v>1699.9556429898</c:v>
                </c:pt>
                <c:pt idx="208">
                  <c:v>1699.7516218656001</c:v>
                </c:pt>
                <c:pt idx="209">
                  <c:v>1699.6854102948</c:v>
                </c:pt>
                <c:pt idx="210">
                  <c:v>1699.8668358277</c:v>
                </c:pt>
                <c:pt idx="211">
                  <c:v>1700.270057982</c:v>
                </c:pt>
                <c:pt idx="212">
                  <c:v>1700.7826667392001</c:v>
                </c:pt>
                <c:pt idx="213">
                  <c:v>1701.3621456220001</c:v>
                </c:pt>
                <c:pt idx="214">
                  <c:v>1701.9321968490001</c:v>
                </c:pt>
                <c:pt idx="215">
                  <c:v>1702.5274069305999</c:v>
                </c:pt>
                <c:pt idx="216">
                  <c:v>1703.1060794960999</c:v>
                </c:pt>
                <c:pt idx="217">
                  <c:v>1703.6628804887</c:v>
                </c:pt>
                <c:pt idx="218">
                  <c:v>1704.2054284584001</c:v>
                </c:pt>
                <c:pt idx="219">
                  <c:v>1704.7302957976001</c:v>
                </c:pt>
                <c:pt idx="220">
                  <c:v>1711.3358524907001</c:v>
                </c:pt>
                <c:pt idx="221">
                  <c:v>1738.5307800820001</c:v>
                </c:pt>
                <c:pt idx="222">
                  <c:v>1765.6073832395</c:v>
                </c:pt>
                <c:pt idx="223">
                  <c:v>1798.6703971751001</c:v>
                </c:pt>
                <c:pt idx="224">
                  <c:v>1837.1527331947</c:v>
                </c:pt>
                <c:pt idx="225">
                  <c:v>1876.1072992383999</c:v>
                </c:pt>
                <c:pt idx="226">
                  <c:v>1915.4548578146</c:v>
                </c:pt>
                <c:pt idx="227">
                  <c:v>1931.3749986550999</c:v>
                </c:pt>
                <c:pt idx="228">
                  <c:v>1934.2602894059</c:v>
                </c:pt>
                <c:pt idx="229">
                  <c:v>1936.2008831899</c:v>
                </c:pt>
                <c:pt idx="230">
                  <c:v>1937.4355777557</c:v>
                </c:pt>
                <c:pt idx="231">
                  <c:v>1938.1840746606999</c:v>
                </c:pt>
                <c:pt idx="232">
                  <c:v>1938.5708356063999</c:v>
                </c:pt>
                <c:pt idx="233">
                  <c:v>1938.6591815566001</c:v>
                </c:pt>
                <c:pt idx="234">
                  <c:v>1938.4990428494</c:v>
                </c:pt>
                <c:pt idx="235">
                  <c:v>1938.1307404652</c:v>
                </c:pt>
                <c:pt idx="236">
                  <c:v>1937.60462194</c:v>
                </c:pt>
                <c:pt idx="237">
                  <c:v>1936.9333158098</c:v>
                </c:pt>
                <c:pt idx="238">
                  <c:v>1936.1259993294</c:v>
                </c:pt>
                <c:pt idx="239">
                  <c:v>1935.1956371092001</c:v>
                </c:pt>
                <c:pt idx="240">
                  <c:v>1934.1554772960001</c:v>
                </c:pt>
              </c:numCache>
            </c:numRef>
          </c:yVal>
          <c:smooth val="1"/>
        </c:ser>
        <c:dLbls>
          <c:showLegendKey val="0"/>
          <c:showVal val="0"/>
          <c:showCatName val="0"/>
          <c:showSerName val="0"/>
          <c:showPercent val="0"/>
          <c:showBubbleSize val="0"/>
        </c:dLbls>
        <c:axId val="134957312"/>
        <c:axId val="134959488"/>
      </c:scatterChart>
      <c:valAx>
        <c:axId val="134957312"/>
        <c:scaling>
          <c:orientation val="minMax"/>
          <c:max val="700"/>
        </c:scaling>
        <c:delete val="0"/>
        <c:axPos val="b"/>
        <c:majorGridlines>
          <c:spPr>
            <a:ln>
              <a:prstDash val="sysDash"/>
            </a:ln>
          </c:spPr>
        </c:majorGridlines>
        <c:title>
          <c:tx>
            <c:rich>
              <a:bodyPr/>
              <a:lstStyle/>
              <a:p>
                <a:pPr>
                  <a:defRPr/>
                </a:pPr>
                <a:r>
                  <a:rPr lang="en-US"/>
                  <a:t>Time (EFPD)</a:t>
                </a:r>
              </a:p>
            </c:rich>
          </c:tx>
          <c:layout/>
          <c:overlay val="0"/>
        </c:title>
        <c:numFmt formatCode="#,##0" sourceLinked="0"/>
        <c:majorTickMark val="out"/>
        <c:minorTickMark val="none"/>
        <c:tickLblPos val="nextTo"/>
        <c:crossAx val="134959488"/>
        <c:crosses val="autoZero"/>
        <c:crossBetween val="midCat"/>
        <c:majorUnit val="100"/>
      </c:valAx>
      <c:valAx>
        <c:axId val="134959488"/>
        <c:scaling>
          <c:orientation val="minMax"/>
        </c:scaling>
        <c:delete val="0"/>
        <c:axPos val="l"/>
        <c:majorGridlines>
          <c:spPr>
            <a:ln>
              <a:prstDash val="sysDash"/>
            </a:ln>
          </c:spPr>
        </c:majorGridlines>
        <c:title>
          <c:tx>
            <c:rich>
              <a:bodyPr rot="-5400000" vert="horz"/>
              <a:lstStyle/>
              <a:p>
                <a:pPr>
                  <a:defRPr/>
                </a:pPr>
                <a:r>
                  <a:rPr lang="en-US"/>
                  <a:t>Temperature</a:t>
                </a:r>
                <a:r>
                  <a:rPr lang="en-US" baseline="0"/>
                  <a:t> (K)</a:t>
                </a:r>
                <a:endParaRPr lang="en-US"/>
              </a:p>
            </c:rich>
          </c:tx>
          <c:layout/>
          <c:overlay val="0"/>
        </c:title>
        <c:numFmt formatCode="General" sourceLinked="1"/>
        <c:majorTickMark val="out"/>
        <c:minorTickMark val="none"/>
        <c:tickLblPos val="nextTo"/>
        <c:crossAx val="134957312"/>
        <c:crosses val="autoZero"/>
        <c:crossBetween val="midCat"/>
      </c:valAx>
      <c:spPr>
        <a:ln>
          <a:solidFill>
            <a:sysClr val="windowText" lastClr="000000"/>
          </a:solidFill>
        </a:ln>
      </c:spPr>
    </c:plotArea>
    <c:legend>
      <c:legendPos val="r"/>
      <c:layout>
        <c:manualLayout>
          <c:xMode val="edge"/>
          <c:yMode val="edge"/>
          <c:x val="0.50110958005249295"/>
          <c:y val="0.49942403032954202"/>
          <c:w val="0.41880577427821503"/>
          <c:h val="0.213538932633421"/>
        </c:manualLayout>
      </c:layout>
      <c:overlay val="0"/>
      <c:spPr>
        <a:solidFill>
          <a:sysClr val="window" lastClr="FFFFFF"/>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2711615930812301"/>
          <c:y val="4.0401483114776503E-2"/>
          <c:w val="0.81732830271216095"/>
          <c:h val="0.786849123698247"/>
        </c:manualLayout>
      </c:layout>
      <c:scatterChart>
        <c:scatterStyle val="smoothMarker"/>
        <c:varyColors val="0"/>
        <c:ser>
          <c:idx val="0"/>
          <c:order val="0"/>
          <c:tx>
            <c:strRef>
              <c:f>MaxElongation!$G$1</c:f>
              <c:strCache>
                <c:ptCount val="1"/>
                <c:pt idx="0">
                  <c:v>FeCrAl</c:v>
                </c:pt>
              </c:strCache>
            </c:strRef>
          </c:tx>
          <c:spPr>
            <a:ln w="38100"/>
          </c:spPr>
          <c:marker>
            <c:symbol val="none"/>
          </c:marker>
          <c:xVal>
            <c:numRef>
              <c:f>MaxElongation!$F$2:$F$242</c:f>
              <c:numCache>
                <c:formatCode>0.00E+00</c:formatCode>
                <c:ptCount val="241"/>
                <c:pt idx="0">
                  <c:v>0</c:v>
                </c:pt>
                <c:pt idx="1">
                  <c:v>1.1574074074074099E-2</c:v>
                </c:pt>
                <c:pt idx="2">
                  <c:v>3.4722222222222203E-2</c:v>
                </c:pt>
                <c:pt idx="3">
                  <c:v>8.1018518518518504E-2</c:v>
                </c:pt>
                <c:pt idx="4">
                  <c:v>0.17361111111111099</c:v>
                </c:pt>
                <c:pt idx="5">
                  <c:v>0.358796296296296</c:v>
                </c:pt>
                <c:pt idx="6">
                  <c:v>0.72916666666666596</c:v>
                </c:pt>
                <c:pt idx="7">
                  <c:v>1.469907407407407</c:v>
                </c:pt>
                <c:pt idx="8">
                  <c:v>2.9513888888888871</c:v>
                </c:pt>
                <c:pt idx="9">
                  <c:v>5.8449074074074048</c:v>
                </c:pt>
                <c:pt idx="10">
                  <c:v>8.738425925925922</c:v>
                </c:pt>
                <c:pt idx="11">
                  <c:v>11.631944444444439</c:v>
                </c:pt>
                <c:pt idx="12">
                  <c:v>14.52546296296296</c:v>
                </c:pt>
                <c:pt idx="13">
                  <c:v>17.418981481481481</c:v>
                </c:pt>
                <c:pt idx="14">
                  <c:v>20.3125</c:v>
                </c:pt>
                <c:pt idx="15">
                  <c:v>23.206018518518519</c:v>
                </c:pt>
                <c:pt idx="16">
                  <c:v>26.09953703703702</c:v>
                </c:pt>
                <c:pt idx="17">
                  <c:v>28.993055555555561</c:v>
                </c:pt>
                <c:pt idx="18">
                  <c:v>31.88657407407408</c:v>
                </c:pt>
                <c:pt idx="19">
                  <c:v>34.780092592592567</c:v>
                </c:pt>
                <c:pt idx="20">
                  <c:v>37.673611111111107</c:v>
                </c:pt>
                <c:pt idx="21">
                  <c:v>40.567129629629633</c:v>
                </c:pt>
                <c:pt idx="22">
                  <c:v>43.460648148148152</c:v>
                </c:pt>
                <c:pt idx="23">
                  <c:v>46.354166666666622</c:v>
                </c:pt>
                <c:pt idx="24">
                  <c:v>49.247685185185183</c:v>
                </c:pt>
                <c:pt idx="25">
                  <c:v>52.141203703703702</c:v>
                </c:pt>
                <c:pt idx="26">
                  <c:v>55.034722222222221</c:v>
                </c:pt>
                <c:pt idx="27">
                  <c:v>57.92824074074074</c:v>
                </c:pt>
                <c:pt idx="28">
                  <c:v>60.821759259259252</c:v>
                </c:pt>
                <c:pt idx="29">
                  <c:v>63.715277777777779</c:v>
                </c:pt>
                <c:pt idx="30">
                  <c:v>66.608796296296234</c:v>
                </c:pt>
                <c:pt idx="31">
                  <c:v>69.502314814814767</c:v>
                </c:pt>
                <c:pt idx="32">
                  <c:v>72.3958333333333</c:v>
                </c:pt>
                <c:pt idx="33">
                  <c:v>75.289351851851805</c:v>
                </c:pt>
                <c:pt idx="34">
                  <c:v>78.182870370370324</c:v>
                </c:pt>
                <c:pt idx="35">
                  <c:v>81.076388888888829</c:v>
                </c:pt>
                <c:pt idx="36">
                  <c:v>83.969907407407433</c:v>
                </c:pt>
                <c:pt idx="37">
                  <c:v>86.863425925925924</c:v>
                </c:pt>
                <c:pt idx="38">
                  <c:v>89.756944444444443</c:v>
                </c:pt>
                <c:pt idx="39">
                  <c:v>92.650462962962948</c:v>
                </c:pt>
                <c:pt idx="40">
                  <c:v>95.543981481481481</c:v>
                </c:pt>
                <c:pt idx="41">
                  <c:v>98.4375</c:v>
                </c:pt>
                <c:pt idx="42">
                  <c:v>101.3310185185185</c:v>
                </c:pt>
                <c:pt idx="43">
                  <c:v>104.224537037037</c:v>
                </c:pt>
                <c:pt idx="44">
                  <c:v>107.1180555555555</c:v>
                </c:pt>
                <c:pt idx="45">
                  <c:v>110.0115740740741</c:v>
                </c:pt>
                <c:pt idx="46">
                  <c:v>112.9050925925926</c:v>
                </c:pt>
                <c:pt idx="47">
                  <c:v>115.7986111111111</c:v>
                </c:pt>
                <c:pt idx="48">
                  <c:v>118.6921296296296</c:v>
                </c:pt>
                <c:pt idx="49">
                  <c:v>121.5856481481481</c:v>
                </c:pt>
                <c:pt idx="50">
                  <c:v>124.4791666666667</c:v>
                </c:pt>
                <c:pt idx="51">
                  <c:v>127.3726851851852</c:v>
                </c:pt>
                <c:pt idx="52">
                  <c:v>130.2662037037037</c:v>
                </c:pt>
                <c:pt idx="53">
                  <c:v>133.1597222222222</c:v>
                </c:pt>
                <c:pt idx="54">
                  <c:v>136.0532407407407</c:v>
                </c:pt>
                <c:pt idx="55">
                  <c:v>138.94675925925921</c:v>
                </c:pt>
                <c:pt idx="56">
                  <c:v>141.8402777777778</c:v>
                </c:pt>
                <c:pt idx="57">
                  <c:v>144.7337962962963</c:v>
                </c:pt>
                <c:pt idx="58">
                  <c:v>147.62731481481481</c:v>
                </c:pt>
                <c:pt idx="59">
                  <c:v>150.5208333333334</c:v>
                </c:pt>
                <c:pt idx="60">
                  <c:v>153.41435185185179</c:v>
                </c:pt>
                <c:pt idx="61">
                  <c:v>156.30787037037041</c:v>
                </c:pt>
                <c:pt idx="62">
                  <c:v>159.201388888889</c:v>
                </c:pt>
                <c:pt idx="63">
                  <c:v>162.09490740740739</c:v>
                </c:pt>
                <c:pt idx="64">
                  <c:v>164.98842592592601</c:v>
                </c:pt>
                <c:pt idx="65">
                  <c:v>167.88194444444451</c:v>
                </c:pt>
                <c:pt idx="66">
                  <c:v>170.77546296296291</c:v>
                </c:pt>
                <c:pt idx="67">
                  <c:v>173.6689814814815</c:v>
                </c:pt>
                <c:pt idx="68">
                  <c:v>176.5625</c:v>
                </c:pt>
                <c:pt idx="69">
                  <c:v>179.4560185185185</c:v>
                </c:pt>
                <c:pt idx="70">
                  <c:v>182.34953703703701</c:v>
                </c:pt>
                <c:pt idx="71">
                  <c:v>185.2430555555554</c:v>
                </c:pt>
                <c:pt idx="72">
                  <c:v>188.13657407407399</c:v>
                </c:pt>
                <c:pt idx="73">
                  <c:v>191.03009259259261</c:v>
                </c:pt>
                <c:pt idx="74">
                  <c:v>193.92361111111109</c:v>
                </c:pt>
                <c:pt idx="75">
                  <c:v>196.81712962962959</c:v>
                </c:pt>
                <c:pt idx="76">
                  <c:v>199.7106481481481</c:v>
                </c:pt>
                <c:pt idx="77">
                  <c:v>202.6041666666666</c:v>
                </c:pt>
                <c:pt idx="78">
                  <c:v>205.49768518518519</c:v>
                </c:pt>
                <c:pt idx="79">
                  <c:v>208.39120370370381</c:v>
                </c:pt>
                <c:pt idx="80">
                  <c:v>211.2847222222222</c:v>
                </c:pt>
                <c:pt idx="81">
                  <c:v>214.1782407407407</c:v>
                </c:pt>
                <c:pt idx="82">
                  <c:v>217.07175925925921</c:v>
                </c:pt>
                <c:pt idx="83">
                  <c:v>219.9652777777778</c:v>
                </c:pt>
                <c:pt idx="84">
                  <c:v>222.8587962962963</c:v>
                </c:pt>
                <c:pt idx="85">
                  <c:v>225.75231481481481</c:v>
                </c:pt>
                <c:pt idx="86">
                  <c:v>228.64583333333329</c:v>
                </c:pt>
                <c:pt idx="87">
                  <c:v>231.53935185185179</c:v>
                </c:pt>
                <c:pt idx="88">
                  <c:v>234.43287037037041</c:v>
                </c:pt>
                <c:pt idx="89">
                  <c:v>237.326388888889</c:v>
                </c:pt>
                <c:pt idx="90">
                  <c:v>240.21990740740739</c:v>
                </c:pt>
                <c:pt idx="91">
                  <c:v>243.1134259259259</c:v>
                </c:pt>
                <c:pt idx="92">
                  <c:v>246.00694444444451</c:v>
                </c:pt>
                <c:pt idx="93">
                  <c:v>248.90046296296299</c:v>
                </c:pt>
                <c:pt idx="94">
                  <c:v>251.7939814814815</c:v>
                </c:pt>
                <c:pt idx="95">
                  <c:v>254.6875</c:v>
                </c:pt>
                <c:pt idx="96">
                  <c:v>257.58101851851842</c:v>
                </c:pt>
                <c:pt idx="97">
                  <c:v>260.47453703703701</c:v>
                </c:pt>
                <c:pt idx="98">
                  <c:v>263.36805555555549</c:v>
                </c:pt>
                <c:pt idx="99">
                  <c:v>266.26157407407391</c:v>
                </c:pt>
                <c:pt idx="100">
                  <c:v>269.15509259259261</c:v>
                </c:pt>
                <c:pt idx="101">
                  <c:v>272.04861111111109</c:v>
                </c:pt>
                <c:pt idx="102">
                  <c:v>274.94212962962962</c:v>
                </c:pt>
                <c:pt idx="103">
                  <c:v>277.83564814814821</c:v>
                </c:pt>
                <c:pt idx="104">
                  <c:v>280.72916666666669</c:v>
                </c:pt>
                <c:pt idx="105">
                  <c:v>283.62268518518522</c:v>
                </c:pt>
                <c:pt idx="106">
                  <c:v>286.5162037037037</c:v>
                </c:pt>
                <c:pt idx="107">
                  <c:v>289.40972222222211</c:v>
                </c:pt>
                <c:pt idx="108">
                  <c:v>292.30324074074082</c:v>
                </c:pt>
                <c:pt idx="109">
                  <c:v>295.19675925925912</c:v>
                </c:pt>
                <c:pt idx="110">
                  <c:v>298.0902777777776</c:v>
                </c:pt>
                <c:pt idx="111">
                  <c:v>300.98379629629608</c:v>
                </c:pt>
                <c:pt idx="112">
                  <c:v>303.87731481481472</c:v>
                </c:pt>
                <c:pt idx="113">
                  <c:v>306.77083333333331</c:v>
                </c:pt>
                <c:pt idx="114">
                  <c:v>309.66435185185202</c:v>
                </c:pt>
                <c:pt idx="115">
                  <c:v>312.55787037037032</c:v>
                </c:pt>
                <c:pt idx="116">
                  <c:v>315.45138888888891</c:v>
                </c:pt>
                <c:pt idx="117">
                  <c:v>318.34490740740739</c:v>
                </c:pt>
                <c:pt idx="118">
                  <c:v>321.23842592592592</c:v>
                </c:pt>
                <c:pt idx="119">
                  <c:v>324.13194444444429</c:v>
                </c:pt>
                <c:pt idx="120">
                  <c:v>327.02546296296299</c:v>
                </c:pt>
                <c:pt idx="121">
                  <c:v>329.91898148148141</c:v>
                </c:pt>
                <c:pt idx="122">
                  <c:v>332.8125</c:v>
                </c:pt>
                <c:pt idx="123">
                  <c:v>335.70601851851842</c:v>
                </c:pt>
                <c:pt idx="124">
                  <c:v>338.59953703703701</c:v>
                </c:pt>
                <c:pt idx="125">
                  <c:v>341.49305555555537</c:v>
                </c:pt>
                <c:pt idx="126">
                  <c:v>344.38657407407391</c:v>
                </c:pt>
                <c:pt idx="127">
                  <c:v>347.28009259259238</c:v>
                </c:pt>
                <c:pt idx="128">
                  <c:v>350.17361111111109</c:v>
                </c:pt>
                <c:pt idx="129">
                  <c:v>353.06712962962968</c:v>
                </c:pt>
                <c:pt idx="130">
                  <c:v>355.96064814814821</c:v>
                </c:pt>
                <c:pt idx="131">
                  <c:v>358.8541666666668</c:v>
                </c:pt>
                <c:pt idx="132">
                  <c:v>361.74768518518522</c:v>
                </c:pt>
                <c:pt idx="133">
                  <c:v>364.6412037037037</c:v>
                </c:pt>
                <c:pt idx="134">
                  <c:v>367.53472222222211</c:v>
                </c:pt>
                <c:pt idx="135">
                  <c:v>370.42824074074059</c:v>
                </c:pt>
                <c:pt idx="136">
                  <c:v>373.32175925925912</c:v>
                </c:pt>
                <c:pt idx="137">
                  <c:v>376.2152777777776</c:v>
                </c:pt>
                <c:pt idx="138">
                  <c:v>379.10879629629619</c:v>
                </c:pt>
                <c:pt idx="139">
                  <c:v>382.00231481481472</c:v>
                </c:pt>
                <c:pt idx="140">
                  <c:v>384.89583333333331</c:v>
                </c:pt>
                <c:pt idx="141">
                  <c:v>387.78935185185179</c:v>
                </c:pt>
                <c:pt idx="142">
                  <c:v>390.68287037037032</c:v>
                </c:pt>
                <c:pt idx="143">
                  <c:v>393.57638888888891</c:v>
                </c:pt>
                <c:pt idx="144">
                  <c:v>396.46990740740728</c:v>
                </c:pt>
                <c:pt idx="145">
                  <c:v>399.36342592592598</c:v>
                </c:pt>
                <c:pt idx="146">
                  <c:v>402.25694444444429</c:v>
                </c:pt>
                <c:pt idx="147">
                  <c:v>405.15046296296299</c:v>
                </c:pt>
                <c:pt idx="148">
                  <c:v>408.04398148148152</c:v>
                </c:pt>
                <c:pt idx="149">
                  <c:v>410.93749999999977</c:v>
                </c:pt>
                <c:pt idx="150">
                  <c:v>413.83101851851842</c:v>
                </c:pt>
                <c:pt idx="151">
                  <c:v>416.72453703703701</c:v>
                </c:pt>
                <c:pt idx="152">
                  <c:v>419.61805555555549</c:v>
                </c:pt>
                <c:pt idx="153">
                  <c:v>422.51157407407391</c:v>
                </c:pt>
                <c:pt idx="154">
                  <c:v>425.40509259259238</c:v>
                </c:pt>
                <c:pt idx="155">
                  <c:v>428.29861111111109</c:v>
                </c:pt>
                <c:pt idx="156">
                  <c:v>431.19212962962968</c:v>
                </c:pt>
                <c:pt idx="157">
                  <c:v>434.08564814814821</c:v>
                </c:pt>
                <c:pt idx="158">
                  <c:v>436.97916666666669</c:v>
                </c:pt>
                <c:pt idx="159">
                  <c:v>439.87268518518522</c:v>
                </c:pt>
                <c:pt idx="160">
                  <c:v>442.7662037037037</c:v>
                </c:pt>
                <c:pt idx="161">
                  <c:v>445.65972222222229</c:v>
                </c:pt>
                <c:pt idx="162">
                  <c:v>448.55324074074082</c:v>
                </c:pt>
                <c:pt idx="163">
                  <c:v>451.44675925925912</c:v>
                </c:pt>
                <c:pt idx="164">
                  <c:v>454.34027777777771</c:v>
                </c:pt>
                <c:pt idx="165">
                  <c:v>457.23379629629608</c:v>
                </c:pt>
                <c:pt idx="166">
                  <c:v>460.12731481481472</c:v>
                </c:pt>
                <c:pt idx="167">
                  <c:v>463.02083333333331</c:v>
                </c:pt>
                <c:pt idx="168">
                  <c:v>465.91435185185179</c:v>
                </c:pt>
                <c:pt idx="169">
                  <c:v>468.80787037037032</c:v>
                </c:pt>
                <c:pt idx="170">
                  <c:v>471.70138888888891</c:v>
                </c:pt>
                <c:pt idx="171">
                  <c:v>474.59490740740728</c:v>
                </c:pt>
                <c:pt idx="172">
                  <c:v>477.48842592592592</c:v>
                </c:pt>
                <c:pt idx="173">
                  <c:v>480.38194444444429</c:v>
                </c:pt>
                <c:pt idx="174">
                  <c:v>483.27546296296299</c:v>
                </c:pt>
                <c:pt idx="175">
                  <c:v>486.16898148148152</c:v>
                </c:pt>
                <c:pt idx="176">
                  <c:v>489.0625</c:v>
                </c:pt>
                <c:pt idx="177">
                  <c:v>491.95601851851842</c:v>
                </c:pt>
                <c:pt idx="178">
                  <c:v>494.84953703703701</c:v>
                </c:pt>
                <c:pt idx="179">
                  <c:v>497.74305555555549</c:v>
                </c:pt>
                <c:pt idx="180">
                  <c:v>500.63657407407391</c:v>
                </c:pt>
                <c:pt idx="181">
                  <c:v>503.53009259259238</c:v>
                </c:pt>
                <c:pt idx="182">
                  <c:v>506.42361111111109</c:v>
                </c:pt>
                <c:pt idx="183">
                  <c:v>509.31712962962968</c:v>
                </c:pt>
                <c:pt idx="184">
                  <c:v>512.21064814814815</c:v>
                </c:pt>
                <c:pt idx="185">
                  <c:v>515.10416666666686</c:v>
                </c:pt>
                <c:pt idx="186">
                  <c:v>517.99768518518499</c:v>
                </c:pt>
                <c:pt idx="187">
                  <c:v>520.89120370370335</c:v>
                </c:pt>
                <c:pt idx="188">
                  <c:v>523.78472222222251</c:v>
                </c:pt>
                <c:pt idx="189">
                  <c:v>526.67824074074076</c:v>
                </c:pt>
                <c:pt idx="190">
                  <c:v>529.57175925925935</c:v>
                </c:pt>
                <c:pt idx="191">
                  <c:v>532.46527777777783</c:v>
                </c:pt>
                <c:pt idx="192">
                  <c:v>535.35879629629653</c:v>
                </c:pt>
                <c:pt idx="193">
                  <c:v>538.25231481481455</c:v>
                </c:pt>
                <c:pt idx="194">
                  <c:v>541.14583333333337</c:v>
                </c:pt>
                <c:pt idx="195">
                  <c:v>544.03935185185185</c:v>
                </c:pt>
                <c:pt idx="196">
                  <c:v>546.93287037037055</c:v>
                </c:pt>
                <c:pt idx="197">
                  <c:v>549.82638888888869</c:v>
                </c:pt>
                <c:pt idx="198">
                  <c:v>552.7199074074075</c:v>
                </c:pt>
                <c:pt idx="199">
                  <c:v>555.61342592592587</c:v>
                </c:pt>
                <c:pt idx="200">
                  <c:v>558.50694444444446</c:v>
                </c:pt>
                <c:pt idx="201">
                  <c:v>561.40046296296305</c:v>
                </c:pt>
                <c:pt idx="202">
                  <c:v>564.29398148148152</c:v>
                </c:pt>
                <c:pt idx="203">
                  <c:v>567.1875</c:v>
                </c:pt>
                <c:pt idx="204">
                  <c:v>570.08101851851859</c:v>
                </c:pt>
                <c:pt idx="205">
                  <c:v>572.97453703703741</c:v>
                </c:pt>
                <c:pt idx="206">
                  <c:v>575.86805555555543</c:v>
                </c:pt>
                <c:pt idx="207">
                  <c:v>578.76157407407413</c:v>
                </c:pt>
                <c:pt idx="208">
                  <c:v>581.65509259259261</c:v>
                </c:pt>
                <c:pt idx="209">
                  <c:v>584.54861111111109</c:v>
                </c:pt>
                <c:pt idx="210">
                  <c:v>587.44212962962933</c:v>
                </c:pt>
                <c:pt idx="211">
                  <c:v>590.33564814814804</c:v>
                </c:pt>
                <c:pt idx="212">
                  <c:v>593.22916666666686</c:v>
                </c:pt>
                <c:pt idx="213">
                  <c:v>596.12268518518488</c:v>
                </c:pt>
                <c:pt idx="214">
                  <c:v>599.01620370370335</c:v>
                </c:pt>
                <c:pt idx="215">
                  <c:v>601.90972222222217</c:v>
                </c:pt>
                <c:pt idx="216">
                  <c:v>604.80324074074042</c:v>
                </c:pt>
                <c:pt idx="217">
                  <c:v>607.69675925925935</c:v>
                </c:pt>
                <c:pt idx="218">
                  <c:v>610.59027777777806</c:v>
                </c:pt>
                <c:pt idx="219">
                  <c:v>613.48379629629665</c:v>
                </c:pt>
                <c:pt idx="220">
                  <c:v>616.37731481481467</c:v>
                </c:pt>
                <c:pt idx="221">
                  <c:v>619.27083333333371</c:v>
                </c:pt>
                <c:pt idx="222">
                  <c:v>622.16435185185185</c:v>
                </c:pt>
                <c:pt idx="223">
                  <c:v>625.05787037037055</c:v>
                </c:pt>
                <c:pt idx="224">
                  <c:v>627.95138888888869</c:v>
                </c:pt>
                <c:pt idx="225">
                  <c:v>630.84490740740739</c:v>
                </c:pt>
                <c:pt idx="226">
                  <c:v>633.73842592592598</c:v>
                </c:pt>
                <c:pt idx="227">
                  <c:v>636.63194444444446</c:v>
                </c:pt>
                <c:pt idx="228">
                  <c:v>639.52546296296305</c:v>
                </c:pt>
                <c:pt idx="229">
                  <c:v>642.41898148148141</c:v>
                </c:pt>
                <c:pt idx="230">
                  <c:v>645.31249999999977</c:v>
                </c:pt>
                <c:pt idx="231">
                  <c:v>648.20601851851859</c:v>
                </c:pt>
                <c:pt idx="232">
                  <c:v>651.09953703703741</c:v>
                </c:pt>
                <c:pt idx="233">
                  <c:v>653.99305555555554</c:v>
                </c:pt>
                <c:pt idx="234">
                  <c:v>656.88657407407402</c:v>
                </c:pt>
                <c:pt idx="235">
                  <c:v>659.78009259259284</c:v>
                </c:pt>
                <c:pt idx="236">
                  <c:v>662.67361111111109</c:v>
                </c:pt>
                <c:pt idx="237">
                  <c:v>665.56712962962933</c:v>
                </c:pt>
                <c:pt idx="238">
                  <c:v>668.46064814814804</c:v>
                </c:pt>
                <c:pt idx="239">
                  <c:v>671.35416666666663</c:v>
                </c:pt>
                <c:pt idx="240">
                  <c:v>674.24768518518488</c:v>
                </c:pt>
              </c:numCache>
            </c:numRef>
          </c:xVal>
          <c:yVal>
            <c:numRef>
              <c:f>MaxElongation!$G$2:$G$242</c:f>
              <c:numCache>
                <c:formatCode>General</c:formatCode>
                <c:ptCount val="241"/>
                <c:pt idx="0">
                  <c:v>0</c:v>
                </c:pt>
                <c:pt idx="1">
                  <c:v>1.3129320135163001</c:v>
                </c:pt>
                <c:pt idx="2">
                  <c:v>1.3098309587354</c:v>
                </c:pt>
                <c:pt idx="3">
                  <c:v>1.2930432155259</c:v>
                </c:pt>
                <c:pt idx="4">
                  <c:v>1.2851279094231001</c:v>
                </c:pt>
                <c:pt idx="5">
                  <c:v>1.2999748954485</c:v>
                </c:pt>
                <c:pt idx="6">
                  <c:v>1.3052309031635001</c:v>
                </c:pt>
                <c:pt idx="7">
                  <c:v>1.3057908676361001</c:v>
                </c:pt>
                <c:pt idx="8">
                  <c:v>1.3061481187906001</c:v>
                </c:pt>
                <c:pt idx="9">
                  <c:v>1.3068545327529</c:v>
                </c:pt>
                <c:pt idx="10">
                  <c:v>1.3075591596867999</c:v>
                </c:pt>
                <c:pt idx="11">
                  <c:v>1.3082727245248</c:v>
                </c:pt>
                <c:pt idx="12">
                  <c:v>1.3089897788159</c:v>
                </c:pt>
                <c:pt idx="13">
                  <c:v>1.3097091300617001</c:v>
                </c:pt>
                <c:pt idx="14">
                  <c:v>1.3104303137958999</c:v>
                </c:pt>
                <c:pt idx="15">
                  <c:v>1.3111529671826001</c:v>
                </c:pt>
                <c:pt idx="16">
                  <c:v>1.3118768194043</c:v>
                </c:pt>
                <c:pt idx="17">
                  <c:v>1.3126018519163001</c:v>
                </c:pt>
                <c:pt idx="18">
                  <c:v>1.3133282095573</c:v>
                </c:pt>
                <c:pt idx="19">
                  <c:v>1.3140562581423001</c:v>
                </c:pt>
                <c:pt idx="20">
                  <c:v>1.3147858217960999</c:v>
                </c:pt>
                <c:pt idx="21">
                  <c:v>1.3155148247937001</c:v>
                </c:pt>
                <c:pt idx="22">
                  <c:v>1.3162476452923</c:v>
                </c:pt>
                <c:pt idx="23">
                  <c:v>1.3169819402916001</c:v>
                </c:pt>
                <c:pt idx="24">
                  <c:v>1.3177176575659</c:v>
                </c:pt>
                <c:pt idx="25">
                  <c:v>1.3184548050311</c:v>
                </c:pt>
                <c:pt idx="26">
                  <c:v>1.3191931494921001</c:v>
                </c:pt>
                <c:pt idx="27">
                  <c:v>1.3199324989889001</c:v>
                </c:pt>
                <c:pt idx="28">
                  <c:v>1.3206726748733999</c:v>
                </c:pt>
                <c:pt idx="29">
                  <c:v>1.3214136108221</c:v>
                </c:pt>
                <c:pt idx="30">
                  <c:v>1.3221552198358999</c:v>
                </c:pt>
                <c:pt idx="31">
                  <c:v>1.3228976481210999</c:v>
                </c:pt>
                <c:pt idx="32">
                  <c:v>1.3236411841307001</c:v>
                </c:pt>
                <c:pt idx="33">
                  <c:v>1.3243857746815</c:v>
                </c:pt>
                <c:pt idx="34">
                  <c:v>1.3251311704316</c:v>
                </c:pt>
                <c:pt idx="35">
                  <c:v>1.3258772750004</c:v>
                </c:pt>
                <c:pt idx="36">
                  <c:v>1.3266241469813</c:v>
                </c:pt>
                <c:pt idx="37">
                  <c:v>1.3273724574195001</c:v>
                </c:pt>
                <c:pt idx="38">
                  <c:v>1.3281222704765001</c:v>
                </c:pt>
                <c:pt idx="39">
                  <c:v>1.3288733437533999</c:v>
                </c:pt>
                <c:pt idx="40">
                  <c:v>1.3296255124944001</c:v>
                </c:pt>
                <c:pt idx="41">
                  <c:v>1.3303786653303999</c:v>
                </c:pt>
                <c:pt idx="42">
                  <c:v>1.3311327176640999</c:v>
                </c:pt>
                <c:pt idx="43">
                  <c:v>1.3318875723009</c:v>
                </c:pt>
                <c:pt idx="44">
                  <c:v>1.332643165586</c:v>
                </c:pt>
                <c:pt idx="45">
                  <c:v>1.3333994226632999</c:v>
                </c:pt>
                <c:pt idx="46">
                  <c:v>1.3341263207313001</c:v>
                </c:pt>
                <c:pt idx="47">
                  <c:v>1.3347802656954999</c:v>
                </c:pt>
                <c:pt idx="48">
                  <c:v>1.3354323637954</c:v>
                </c:pt>
                <c:pt idx="49">
                  <c:v>1.3360815558795001</c:v>
                </c:pt>
                <c:pt idx="50">
                  <c:v>1.3367268693051</c:v>
                </c:pt>
                <c:pt idx="51">
                  <c:v>1.3373687915306001</c:v>
                </c:pt>
                <c:pt idx="52">
                  <c:v>1.3380077576561999</c:v>
                </c:pt>
                <c:pt idx="53">
                  <c:v>1.3386442411869</c:v>
                </c:pt>
                <c:pt idx="54">
                  <c:v>1.3392783602094001</c:v>
                </c:pt>
                <c:pt idx="55">
                  <c:v>1.3399100444618</c:v>
                </c:pt>
                <c:pt idx="56">
                  <c:v>1.3405393021403</c:v>
                </c:pt>
                <c:pt idx="57">
                  <c:v>1.3411661791450999</c:v>
                </c:pt>
                <c:pt idx="58">
                  <c:v>1.3417907213338001</c:v>
                </c:pt>
                <c:pt idx="59">
                  <c:v>1.3424129751736</c:v>
                </c:pt>
                <c:pt idx="60">
                  <c:v>1.3430329647843</c:v>
                </c:pt>
                <c:pt idx="61">
                  <c:v>1.3436507155202999</c:v>
                </c:pt>
                <c:pt idx="62">
                  <c:v>1.3442662490051001</c:v>
                </c:pt>
                <c:pt idx="63">
                  <c:v>1.3448795903349</c:v>
                </c:pt>
                <c:pt idx="64">
                  <c:v>1.3454907612750999</c:v>
                </c:pt>
                <c:pt idx="65">
                  <c:v>1.3460997753738999</c:v>
                </c:pt>
                <c:pt idx="66">
                  <c:v>1.3467085440168001</c:v>
                </c:pt>
                <c:pt idx="67">
                  <c:v>1.3473133238368999</c:v>
                </c:pt>
                <c:pt idx="68">
                  <c:v>1.3479159820471001</c:v>
                </c:pt>
                <c:pt idx="69">
                  <c:v>1.3485165526622001</c:v>
                </c:pt>
                <c:pt idx="70">
                  <c:v>1.3491150419794</c:v>
                </c:pt>
                <c:pt idx="71">
                  <c:v>1.3497114612468</c:v>
                </c:pt>
                <c:pt idx="72">
                  <c:v>1.350305822428</c:v>
                </c:pt>
                <c:pt idx="73">
                  <c:v>1.3508981377617</c:v>
                </c:pt>
                <c:pt idx="74">
                  <c:v>1.3514884244676</c:v>
                </c:pt>
                <c:pt idx="75">
                  <c:v>1.3520766890817</c:v>
                </c:pt>
                <c:pt idx="76">
                  <c:v>1.3526629497933</c:v>
                </c:pt>
                <c:pt idx="77">
                  <c:v>1.3532472142959</c:v>
                </c:pt>
                <c:pt idx="78">
                  <c:v>1.3538294986385999</c:v>
                </c:pt>
                <c:pt idx="79">
                  <c:v>1.3544098160555</c:v>
                </c:pt>
                <c:pt idx="80">
                  <c:v>1.3549881800607999</c:v>
                </c:pt>
                <c:pt idx="81">
                  <c:v>1.3555646030758</c:v>
                </c:pt>
                <c:pt idx="82">
                  <c:v>1.3561390913938001</c:v>
                </c:pt>
                <c:pt idx="83">
                  <c:v>1.3567116685092</c:v>
                </c:pt>
                <c:pt idx="84">
                  <c:v>1.3572557952515001</c:v>
                </c:pt>
                <c:pt idx="85">
                  <c:v>1.3577178430904999</c:v>
                </c:pt>
                <c:pt idx="86">
                  <c:v>1.3581775029468</c:v>
                </c:pt>
                <c:pt idx="87">
                  <c:v>1.3586335736101001</c:v>
                </c:pt>
                <c:pt idx="88">
                  <c:v>1.3590857564643</c:v>
                </c:pt>
                <c:pt idx="89">
                  <c:v>1.3595341571880999</c:v>
                </c:pt>
                <c:pt idx="90">
                  <c:v>1.3599789495782</c:v>
                </c:pt>
                <c:pt idx="91">
                  <c:v>1.360420302813</c:v>
                </c:pt>
                <c:pt idx="92">
                  <c:v>1.3608583860118</c:v>
                </c:pt>
                <c:pt idx="93">
                  <c:v>1.3612933765946</c:v>
                </c:pt>
                <c:pt idx="94">
                  <c:v>1.3617254987478999</c:v>
                </c:pt>
                <c:pt idx="95">
                  <c:v>1.3621549536088999</c:v>
                </c:pt>
                <c:pt idx="96">
                  <c:v>1.3625819483506001</c:v>
                </c:pt>
                <c:pt idx="97">
                  <c:v>1.3630067275427999</c:v>
                </c:pt>
                <c:pt idx="98">
                  <c:v>1.3634295380812</c:v>
                </c:pt>
                <c:pt idx="99">
                  <c:v>1.3638506259601999</c:v>
                </c:pt>
                <c:pt idx="100">
                  <c:v>1.3642702040246999</c:v>
                </c:pt>
                <c:pt idx="101">
                  <c:v>1.3646884916582001</c:v>
                </c:pt>
                <c:pt idx="102">
                  <c:v>1.3651057664943</c:v>
                </c:pt>
                <c:pt idx="103">
                  <c:v>1.3655224027016</c:v>
                </c:pt>
                <c:pt idx="104">
                  <c:v>1.3659383630616</c:v>
                </c:pt>
                <c:pt idx="105">
                  <c:v>1.3663537262223</c:v>
                </c:pt>
                <c:pt idx="106">
                  <c:v>1.3667682548091999</c:v>
                </c:pt>
                <c:pt idx="107">
                  <c:v>1.3671822410968999</c:v>
                </c:pt>
                <c:pt idx="108">
                  <c:v>1.3675974723237001</c:v>
                </c:pt>
                <c:pt idx="109">
                  <c:v>1.3680140784735</c:v>
                </c:pt>
                <c:pt idx="110">
                  <c:v>1.368431045151</c:v>
                </c:pt>
                <c:pt idx="111">
                  <c:v>1.368848194258</c:v>
                </c:pt>
                <c:pt idx="112">
                  <c:v>1.3692655596743999</c:v>
                </c:pt>
                <c:pt idx="113">
                  <c:v>1.3696854160380001</c:v>
                </c:pt>
                <c:pt idx="114">
                  <c:v>1.3701068371641001</c:v>
                </c:pt>
                <c:pt idx="115">
                  <c:v>1.3705288168629</c:v>
                </c:pt>
                <c:pt idx="116">
                  <c:v>1.3709515779868999</c:v>
                </c:pt>
                <c:pt idx="117">
                  <c:v>1.3713767280110001</c:v>
                </c:pt>
                <c:pt idx="118">
                  <c:v>1.3718036105789</c:v>
                </c:pt>
                <c:pt idx="119">
                  <c:v>1.3722589993233001</c:v>
                </c:pt>
                <c:pt idx="120">
                  <c:v>1.3731991343608001</c:v>
                </c:pt>
                <c:pt idx="121">
                  <c:v>1.3741799461880999</c:v>
                </c:pt>
                <c:pt idx="122">
                  <c:v>1.3751555225234999</c:v>
                </c:pt>
                <c:pt idx="123">
                  <c:v>1.3761267462694999</c:v>
                </c:pt>
                <c:pt idx="124">
                  <c:v>1.3770957397865</c:v>
                </c:pt>
                <c:pt idx="125">
                  <c:v>1.3780636106566999</c:v>
                </c:pt>
                <c:pt idx="126">
                  <c:v>1.3790309681652999</c:v>
                </c:pt>
                <c:pt idx="127">
                  <c:v>1.3799983733784</c:v>
                </c:pt>
                <c:pt idx="128">
                  <c:v>1.3809663426765</c:v>
                </c:pt>
                <c:pt idx="129">
                  <c:v>1.3819353344028</c:v>
                </c:pt>
                <c:pt idx="130">
                  <c:v>1.3829057193419001</c:v>
                </c:pt>
                <c:pt idx="131">
                  <c:v>1.3838777907166</c:v>
                </c:pt>
                <c:pt idx="132">
                  <c:v>1.3848518219474</c:v>
                </c:pt>
                <c:pt idx="133">
                  <c:v>1.3858280485203001</c:v>
                </c:pt>
                <c:pt idx="134">
                  <c:v>1.3868100561237999</c:v>
                </c:pt>
                <c:pt idx="135">
                  <c:v>1.3877913085068001</c:v>
                </c:pt>
                <c:pt idx="136">
                  <c:v>1.3887753274437</c:v>
                </c:pt>
                <c:pt idx="137">
                  <c:v>1.3897622951577</c:v>
                </c:pt>
                <c:pt idx="138">
                  <c:v>1.3907524282757999</c:v>
                </c:pt>
                <c:pt idx="139">
                  <c:v>1.3917459182405001</c:v>
                </c:pt>
                <c:pt idx="140">
                  <c:v>1.3927429463406</c:v>
                </c:pt>
                <c:pt idx="141">
                  <c:v>1.3937437386059</c:v>
                </c:pt>
                <c:pt idx="142">
                  <c:v>1.3947485180543999</c:v>
                </c:pt>
                <c:pt idx="143">
                  <c:v>1.3957575776691999</c:v>
                </c:pt>
                <c:pt idx="144">
                  <c:v>1.3967712156661001</c:v>
                </c:pt>
                <c:pt idx="145">
                  <c:v>1.3977898234598001</c:v>
                </c:pt>
                <c:pt idx="146">
                  <c:v>1.3988139768611001</c:v>
                </c:pt>
                <c:pt idx="147">
                  <c:v>1.3998440608178</c:v>
                </c:pt>
                <c:pt idx="148">
                  <c:v>1.4008804870489</c:v>
                </c:pt>
                <c:pt idx="149">
                  <c:v>1.4019238766121001</c:v>
                </c:pt>
                <c:pt idx="150">
                  <c:v>1.4029751408769999</c:v>
                </c:pt>
                <c:pt idx="151">
                  <c:v>1.4040353742852001</c:v>
                </c:pt>
                <c:pt idx="152">
                  <c:v>1.4051075888882001</c:v>
                </c:pt>
                <c:pt idx="153">
                  <c:v>1.4061901697038</c:v>
                </c:pt>
                <c:pt idx="154">
                  <c:v>1.4072871287830999</c:v>
                </c:pt>
                <c:pt idx="155">
                  <c:v>1.4084010343266</c:v>
                </c:pt>
                <c:pt idx="156">
                  <c:v>1.4095338209342001</c:v>
                </c:pt>
                <c:pt idx="157">
                  <c:v>1.4106690394128001</c:v>
                </c:pt>
                <c:pt idx="158">
                  <c:v>1.4115725017377001</c:v>
                </c:pt>
                <c:pt idx="159">
                  <c:v>1.4124767862631999</c:v>
                </c:pt>
                <c:pt idx="160">
                  <c:v>1.4133882430569999</c:v>
                </c:pt>
                <c:pt idx="161">
                  <c:v>1.4143048886069001</c:v>
                </c:pt>
                <c:pt idx="162">
                  <c:v>1.4152237430523</c:v>
                </c:pt>
                <c:pt idx="163">
                  <c:v>1.4161467778004999</c:v>
                </c:pt>
                <c:pt idx="164">
                  <c:v>1.417074674467</c:v>
                </c:pt>
                <c:pt idx="165">
                  <c:v>1.4180082846441999</c:v>
                </c:pt>
                <c:pt idx="166">
                  <c:v>1.4189483531521001</c:v>
                </c:pt>
                <c:pt idx="167">
                  <c:v>1.4198935541705999</c:v>
                </c:pt>
                <c:pt idx="168">
                  <c:v>1.4208429511847001</c:v>
                </c:pt>
                <c:pt idx="169">
                  <c:v>1.421796480110999</c:v>
                </c:pt>
                <c:pt idx="170">
                  <c:v>1.4227543269053999</c:v>
                </c:pt>
                <c:pt idx="171">
                  <c:v>1.4237165142481001</c:v>
                </c:pt>
                <c:pt idx="172">
                  <c:v>1.4246831041870001</c:v>
                </c:pt>
                <c:pt idx="173">
                  <c:v>1.4256541169879999</c:v>
                </c:pt>
                <c:pt idx="174">
                  <c:v>1.4266295743310999</c:v>
                </c:pt>
                <c:pt idx="175">
                  <c:v>1.4276096861680001</c:v>
                </c:pt>
                <c:pt idx="176">
                  <c:v>1.4285956850046</c:v>
                </c:pt>
                <c:pt idx="177">
                  <c:v>1.4295939816637</c:v>
                </c:pt>
                <c:pt idx="178">
                  <c:v>1.4305999381356</c:v>
                </c:pt>
                <c:pt idx="179">
                  <c:v>1.4316149733970001</c:v>
                </c:pt>
                <c:pt idx="180">
                  <c:v>1.4326364820396</c:v>
                </c:pt>
                <c:pt idx="181">
                  <c:v>1.4336637750736001</c:v>
                </c:pt>
                <c:pt idx="182">
                  <c:v>1.434696898909499</c:v>
                </c:pt>
                <c:pt idx="183">
                  <c:v>1.4357352087059001</c:v>
                </c:pt>
                <c:pt idx="184">
                  <c:v>1.4367782959238</c:v>
                </c:pt>
                <c:pt idx="185">
                  <c:v>1.4378258148381</c:v>
                </c:pt>
                <c:pt idx="186">
                  <c:v>1.4388774203207999</c:v>
                </c:pt>
                <c:pt idx="187">
                  <c:v>1.4399339883101001</c:v>
                </c:pt>
                <c:pt idx="188">
                  <c:v>1.440996192032399</c:v>
                </c:pt>
                <c:pt idx="189">
                  <c:v>1.4420644768824999</c:v>
                </c:pt>
                <c:pt idx="190">
                  <c:v>1.4431402395910999</c:v>
                </c:pt>
                <c:pt idx="191">
                  <c:v>1.4442223448239</c:v>
                </c:pt>
                <c:pt idx="192">
                  <c:v>1.4453100500444001</c:v>
                </c:pt>
                <c:pt idx="193">
                  <c:v>1.4464035848837</c:v>
                </c:pt>
                <c:pt idx="194">
                  <c:v>1.4475015560033</c:v>
                </c:pt>
                <c:pt idx="195">
                  <c:v>1.4486022893337001</c:v>
                </c:pt>
                <c:pt idx="196">
                  <c:v>1.4497048946455</c:v>
                </c:pt>
                <c:pt idx="197">
                  <c:v>1.4508119861840001</c:v>
                </c:pt>
                <c:pt idx="198">
                  <c:v>1.4519169478017999</c:v>
                </c:pt>
                <c:pt idx="199">
                  <c:v>1.4530224766688</c:v>
                </c:pt>
                <c:pt idx="200">
                  <c:v>1.454128186828</c:v>
                </c:pt>
                <c:pt idx="201">
                  <c:v>1.4551748459230001</c:v>
                </c:pt>
                <c:pt idx="202">
                  <c:v>1.4561962352761999</c:v>
                </c:pt>
                <c:pt idx="203">
                  <c:v>1.4572084459178001</c:v>
                </c:pt>
                <c:pt idx="204">
                  <c:v>1.4582112158188001</c:v>
                </c:pt>
                <c:pt idx="205">
                  <c:v>1.4592044696244999</c:v>
                </c:pt>
                <c:pt idx="206">
                  <c:v>1.4601879905362001</c:v>
                </c:pt>
                <c:pt idx="207">
                  <c:v>1.461161659304399</c:v>
                </c:pt>
                <c:pt idx="208">
                  <c:v>1.4621291505523999</c:v>
                </c:pt>
                <c:pt idx="209">
                  <c:v>1.4630917633339999</c:v>
                </c:pt>
                <c:pt idx="210">
                  <c:v>1.4640480991880001</c:v>
                </c:pt>
                <c:pt idx="211">
                  <c:v>1.4649976387735</c:v>
                </c:pt>
                <c:pt idx="212">
                  <c:v>1.4659395544575</c:v>
                </c:pt>
                <c:pt idx="213">
                  <c:v>1.4668734646368999</c:v>
                </c:pt>
                <c:pt idx="214">
                  <c:v>1.467799705185</c:v>
                </c:pt>
                <c:pt idx="215">
                  <c:v>1.4687182628279001</c:v>
                </c:pt>
                <c:pt idx="216">
                  <c:v>1.4696291288276999</c:v>
                </c:pt>
                <c:pt idx="217">
                  <c:v>1.4705325494335</c:v>
                </c:pt>
                <c:pt idx="218">
                  <c:v>1.4714286184925001</c:v>
                </c:pt>
                <c:pt idx="219">
                  <c:v>1.4723173122116</c:v>
                </c:pt>
                <c:pt idx="220">
                  <c:v>1.473199484008</c:v>
                </c:pt>
                <c:pt idx="221">
                  <c:v>1.4740760302383999</c:v>
                </c:pt>
                <c:pt idx="222">
                  <c:v>1.4749687163964</c:v>
                </c:pt>
                <c:pt idx="223">
                  <c:v>1.4758183754998999</c:v>
                </c:pt>
                <c:pt idx="224">
                  <c:v>1.4767571830149999</c:v>
                </c:pt>
                <c:pt idx="225">
                  <c:v>1.4777947287744</c:v>
                </c:pt>
                <c:pt idx="226">
                  <c:v>1.4793380605413999</c:v>
                </c:pt>
                <c:pt idx="227">
                  <c:v>1.4813928565964001</c:v>
                </c:pt>
                <c:pt idx="228">
                  <c:v>1.48344040393</c:v>
                </c:pt>
                <c:pt idx="229">
                  <c:v>1.4851794343082001</c:v>
                </c:pt>
                <c:pt idx="230">
                  <c:v>1.4866653471343001</c:v>
                </c:pt>
                <c:pt idx="231">
                  <c:v>1.4880380913336</c:v>
                </c:pt>
                <c:pt idx="232">
                  <c:v>1.4893588847954999</c:v>
                </c:pt>
                <c:pt idx="233">
                  <c:v>1.4906521719295001</c:v>
                </c:pt>
                <c:pt idx="234">
                  <c:v>1.491923639568</c:v>
                </c:pt>
                <c:pt idx="235">
                  <c:v>1.4931789859282001</c:v>
                </c:pt>
                <c:pt idx="236">
                  <c:v>1.4944237808687999</c:v>
                </c:pt>
                <c:pt idx="237">
                  <c:v>1.4956619902770001</c:v>
                </c:pt>
                <c:pt idx="238">
                  <c:v>1.4968969672385</c:v>
                </c:pt>
                <c:pt idx="239">
                  <c:v>1.4981311489514999</c:v>
                </c:pt>
                <c:pt idx="240">
                  <c:v>1.4993665632147</c:v>
                </c:pt>
              </c:numCache>
            </c:numRef>
          </c:yVal>
          <c:smooth val="1"/>
        </c:ser>
        <c:ser>
          <c:idx val="1"/>
          <c:order val="1"/>
          <c:tx>
            <c:strRef>
              <c:f>MaxElongation!$H$1</c:f>
              <c:strCache>
                <c:ptCount val="1"/>
                <c:pt idx="0">
                  <c:v>FeCrAl - No Swelling</c:v>
                </c:pt>
              </c:strCache>
            </c:strRef>
          </c:tx>
          <c:spPr>
            <a:ln w="38100"/>
          </c:spPr>
          <c:marker>
            <c:symbol val="none"/>
          </c:marker>
          <c:xVal>
            <c:numRef>
              <c:f>MaxElongation!$F$2:$F$242</c:f>
              <c:numCache>
                <c:formatCode>0.00E+00</c:formatCode>
                <c:ptCount val="241"/>
                <c:pt idx="0">
                  <c:v>0</c:v>
                </c:pt>
                <c:pt idx="1">
                  <c:v>1.1574074074074099E-2</c:v>
                </c:pt>
                <c:pt idx="2">
                  <c:v>3.4722222222222203E-2</c:v>
                </c:pt>
                <c:pt idx="3">
                  <c:v>8.1018518518518504E-2</c:v>
                </c:pt>
                <c:pt idx="4">
                  <c:v>0.17361111111111099</c:v>
                </c:pt>
                <c:pt idx="5">
                  <c:v>0.358796296296296</c:v>
                </c:pt>
                <c:pt idx="6">
                  <c:v>0.72916666666666596</c:v>
                </c:pt>
                <c:pt idx="7">
                  <c:v>1.469907407407407</c:v>
                </c:pt>
                <c:pt idx="8">
                  <c:v>2.9513888888888871</c:v>
                </c:pt>
                <c:pt idx="9">
                  <c:v>5.8449074074074048</c:v>
                </c:pt>
                <c:pt idx="10">
                  <c:v>8.738425925925922</c:v>
                </c:pt>
                <c:pt idx="11">
                  <c:v>11.631944444444439</c:v>
                </c:pt>
                <c:pt idx="12">
                  <c:v>14.52546296296296</c:v>
                </c:pt>
                <c:pt idx="13">
                  <c:v>17.418981481481481</c:v>
                </c:pt>
                <c:pt idx="14">
                  <c:v>20.3125</c:v>
                </c:pt>
                <c:pt idx="15">
                  <c:v>23.206018518518519</c:v>
                </c:pt>
                <c:pt idx="16">
                  <c:v>26.09953703703702</c:v>
                </c:pt>
                <c:pt idx="17">
                  <c:v>28.993055555555561</c:v>
                </c:pt>
                <c:pt idx="18">
                  <c:v>31.88657407407408</c:v>
                </c:pt>
                <c:pt idx="19">
                  <c:v>34.780092592592567</c:v>
                </c:pt>
                <c:pt idx="20">
                  <c:v>37.673611111111107</c:v>
                </c:pt>
                <c:pt idx="21">
                  <c:v>40.567129629629633</c:v>
                </c:pt>
                <c:pt idx="22">
                  <c:v>43.460648148148152</c:v>
                </c:pt>
                <c:pt idx="23">
                  <c:v>46.354166666666622</c:v>
                </c:pt>
                <c:pt idx="24">
                  <c:v>49.247685185185183</c:v>
                </c:pt>
                <c:pt idx="25">
                  <c:v>52.141203703703702</c:v>
                </c:pt>
                <c:pt idx="26">
                  <c:v>55.034722222222221</c:v>
                </c:pt>
                <c:pt idx="27">
                  <c:v>57.92824074074074</c:v>
                </c:pt>
                <c:pt idx="28">
                  <c:v>60.821759259259252</c:v>
                </c:pt>
                <c:pt idx="29">
                  <c:v>63.715277777777779</c:v>
                </c:pt>
                <c:pt idx="30">
                  <c:v>66.608796296296234</c:v>
                </c:pt>
                <c:pt idx="31">
                  <c:v>69.502314814814767</c:v>
                </c:pt>
                <c:pt idx="32">
                  <c:v>72.3958333333333</c:v>
                </c:pt>
                <c:pt idx="33">
                  <c:v>75.289351851851805</c:v>
                </c:pt>
                <c:pt idx="34">
                  <c:v>78.182870370370324</c:v>
                </c:pt>
                <c:pt idx="35">
                  <c:v>81.076388888888829</c:v>
                </c:pt>
                <c:pt idx="36">
                  <c:v>83.969907407407433</c:v>
                </c:pt>
                <c:pt idx="37">
                  <c:v>86.863425925925924</c:v>
                </c:pt>
                <c:pt idx="38">
                  <c:v>89.756944444444443</c:v>
                </c:pt>
                <c:pt idx="39">
                  <c:v>92.650462962962948</c:v>
                </c:pt>
                <c:pt idx="40">
                  <c:v>95.543981481481481</c:v>
                </c:pt>
                <c:pt idx="41">
                  <c:v>98.4375</c:v>
                </c:pt>
                <c:pt idx="42">
                  <c:v>101.3310185185185</c:v>
                </c:pt>
                <c:pt idx="43">
                  <c:v>104.224537037037</c:v>
                </c:pt>
                <c:pt idx="44">
                  <c:v>107.1180555555555</c:v>
                </c:pt>
                <c:pt idx="45">
                  <c:v>110.0115740740741</c:v>
                </c:pt>
                <c:pt idx="46">
                  <c:v>112.9050925925926</c:v>
                </c:pt>
                <c:pt idx="47">
                  <c:v>115.7986111111111</c:v>
                </c:pt>
                <c:pt idx="48">
                  <c:v>118.6921296296296</c:v>
                </c:pt>
                <c:pt idx="49">
                  <c:v>121.5856481481481</c:v>
                </c:pt>
                <c:pt idx="50">
                  <c:v>124.4791666666667</c:v>
                </c:pt>
                <c:pt idx="51">
                  <c:v>127.3726851851852</c:v>
                </c:pt>
                <c:pt idx="52">
                  <c:v>130.2662037037037</c:v>
                </c:pt>
                <c:pt idx="53">
                  <c:v>133.1597222222222</c:v>
                </c:pt>
                <c:pt idx="54">
                  <c:v>136.0532407407407</c:v>
                </c:pt>
                <c:pt idx="55">
                  <c:v>138.94675925925921</c:v>
                </c:pt>
                <c:pt idx="56">
                  <c:v>141.8402777777778</c:v>
                </c:pt>
                <c:pt idx="57">
                  <c:v>144.7337962962963</c:v>
                </c:pt>
                <c:pt idx="58">
                  <c:v>147.62731481481481</c:v>
                </c:pt>
                <c:pt idx="59">
                  <c:v>150.5208333333334</c:v>
                </c:pt>
                <c:pt idx="60">
                  <c:v>153.41435185185179</c:v>
                </c:pt>
                <c:pt idx="61">
                  <c:v>156.30787037037041</c:v>
                </c:pt>
                <c:pt idx="62">
                  <c:v>159.201388888889</c:v>
                </c:pt>
                <c:pt idx="63">
                  <c:v>162.09490740740739</c:v>
                </c:pt>
                <c:pt idx="64">
                  <c:v>164.98842592592601</c:v>
                </c:pt>
                <c:pt idx="65">
                  <c:v>167.88194444444451</c:v>
                </c:pt>
                <c:pt idx="66">
                  <c:v>170.77546296296291</c:v>
                </c:pt>
                <c:pt idx="67">
                  <c:v>173.6689814814815</c:v>
                </c:pt>
                <c:pt idx="68">
                  <c:v>176.5625</c:v>
                </c:pt>
                <c:pt idx="69">
                  <c:v>179.4560185185185</c:v>
                </c:pt>
                <c:pt idx="70">
                  <c:v>182.34953703703701</c:v>
                </c:pt>
                <c:pt idx="71">
                  <c:v>185.2430555555554</c:v>
                </c:pt>
                <c:pt idx="72">
                  <c:v>188.13657407407399</c:v>
                </c:pt>
                <c:pt idx="73">
                  <c:v>191.03009259259261</c:v>
                </c:pt>
                <c:pt idx="74">
                  <c:v>193.92361111111109</c:v>
                </c:pt>
                <c:pt idx="75">
                  <c:v>196.81712962962959</c:v>
                </c:pt>
                <c:pt idx="76">
                  <c:v>199.7106481481481</c:v>
                </c:pt>
                <c:pt idx="77">
                  <c:v>202.6041666666666</c:v>
                </c:pt>
                <c:pt idx="78">
                  <c:v>205.49768518518519</c:v>
                </c:pt>
                <c:pt idx="79">
                  <c:v>208.39120370370381</c:v>
                </c:pt>
                <c:pt idx="80">
                  <c:v>211.2847222222222</c:v>
                </c:pt>
                <c:pt idx="81">
                  <c:v>214.1782407407407</c:v>
                </c:pt>
                <c:pt idx="82">
                  <c:v>217.07175925925921</c:v>
                </c:pt>
                <c:pt idx="83">
                  <c:v>219.9652777777778</c:v>
                </c:pt>
                <c:pt idx="84">
                  <c:v>222.8587962962963</c:v>
                </c:pt>
                <c:pt idx="85">
                  <c:v>225.75231481481481</c:v>
                </c:pt>
                <c:pt idx="86">
                  <c:v>228.64583333333329</c:v>
                </c:pt>
                <c:pt idx="87">
                  <c:v>231.53935185185179</c:v>
                </c:pt>
                <c:pt idx="88">
                  <c:v>234.43287037037041</c:v>
                </c:pt>
                <c:pt idx="89">
                  <c:v>237.326388888889</c:v>
                </c:pt>
                <c:pt idx="90">
                  <c:v>240.21990740740739</c:v>
                </c:pt>
                <c:pt idx="91">
                  <c:v>243.1134259259259</c:v>
                </c:pt>
                <c:pt idx="92">
                  <c:v>246.00694444444451</c:v>
                </c:pt>
                <c:pt idx="93">
                  <c:v>248.90046296296299</c:v>
                </c:pt>
                <c:pt idx="94">
                  <c:v>251.7939814814815</c:v>
                </c:pt>
                <c:pt idx="95">
                  <c:v>254.6875</c:v>
                </c:pt>
                <c:pt idx="96">
                  <c:v>257.58101851851842</c:v>
                </c:pt>
                <c:pt idx="97">
                  <c:v>260.47453703703701</c:v>
                </c:pt>
                <c:pt idx="98">
                  <c:v>263.36805555555549</c:v>
                </c:pt>
                <c:pt idx="99">
                  <c:v>266.26157407407391</c:v>
                </c:pt>
                <c:pt idx="100">
                  <c:v>269.15509259259261</c:v>
                </c:pt>
                <c:pt idx="101">
                  <c:v>272.04861111111109</c:v>
                </c:pt>
                <c:pt idx="102">
                  <c:v>274.94212962962962</c:v>
                </c:pt>
                <c:pt idx="103">
                  <c:v>277.83564814814821</c:v>
                </c:pt>
                <c:pt idx="104">
                  <c:v>280.72916666666669</c:v>
                </c:pt>
                <c:pt idx="105">
                  <c:v>283.62268518518522</c:v>
                </c:pt>
                <c:pt idx="106">
                  <c:v>286.5162037037037</c:v>
                </c:pt>
                <c:pt idx="107">
                  <c:v>289.40972222222211</c:v>
                </c:pt>
                <c:pt idx="108">
                  <c:v>292.30324074074082</c:v>
                </c:pt>
                <c:pt idx="109">
                  <c:v>295.19675925925912</c:v>
                </c:pt>
                <c:pt idx="110">
                  <c:v>298.0902777777776</c:v>
                </c:pt>
                <c:pt idx="111">
                  <c:v>300.98379629629608</c:v>
                </c:pt>
                <c:pt idx="112">
                  <c:v>303.87731481481472</c:v>
                </c:pt>
                <c:pt idx="113">
                  <c:v>306.77083333333331</c:v>
                </c:pt>
                <c:pt idx="114">
                  <c:v>309.66435185185202</c:v>
                </c:pt>
                <c:pt idx="115">
                  <c:v>312.55787037037032</c:v>
                </c:pt>
                <c:pt idx="116">
                  <c:v>315.45138888888891</c:v>
                </c:pt>
                <c:pt idx="117">
                  <c:v>318.34490740740739</c:v>
                </c:pt>
                <c:pt idx="118">
                  <c:v>321.23842592592592</c:v>
                </c:pt>
                <c:pt idx="119">
                  <c:v>324.13194444444429</c:v>
                </c:pt>
                <c:pt idx="120">
                  <c:v>327.02546296296299</c:v>
                </c:pt>
                <c:pt idx="121">
                  <c:v>329.91898148148141</c:v>
                </c:pt>
                <c:pt idx="122">
                  <c:v>332.8125</c:v>
                </c:pt>
                <c:pt idx="123">
                  <c:v>335.70601851851842</c:v>
                </c:pt>
                <c:pt idx="124">
                  <c:v>338.59953703703701</c:v>
                </c:pt>
                <c:pt idx="125">
                  <c:v>341.49305555555537</c:v>
                </c:pt>
                <c:pt idx="126">
                  <c:v>344.38657407407391</c:v>
                </c:pt>
                <c:pt idx="127">
                  <c:v>347.28009259259238</c:v>
                </c:pt>
                <c:pt idx="128">
                  <c:v>350.17361111111109</c:v>
                </c:pt>
                <c:pt idx="129">
                  <c:v>353.06712962962968</c:v>
                </c:pt>
                <c:pt idx="130">
                  <c:v>355.96064814814821</c:v>
                </c:pt>
                <c:pt idx="131">
                  <c:v>358.8541666666668</c:v>
                </c:pt>
                <c:pt idx="132">
                  <c:v>361.74768518518522</c:v>
                </c:pt>
                <c:pt idx="133">
                  <c:v>364.6412037037037</c:v>
                </c:pt>
                <c:pt idx="134">
                  <c:v>367.53472222222211</c:v>
                </c:pt>
                <c:pt idx="135">
                  <c:v>370.42824074074059</c:v>
                </c:pt>
                <c:pt idx="136">
                  <c:v>373.32175925925912</c:v>
                </c:pt>
                <c:pt idx="137">
                  <c:v>376.2152777777776</c:v>
                </c:pt>
                <c:pt idx="138">
                  <c:v>379.10879629629619</c:v>
                </c:pt>
                <c:pt idx="139">
                  <c:v>382.00231481481472</c:v>
                </c:pt>
                <c:pt idx="140">
                  <c:v>384.89583333333331</c:v>
                </c:pt>
                <c:pt idx="141">
                  <c:v>387.78935185185179</c:v>
                </c:pt>
                <c:pt idx="142">
                  <c:v>390.68287037037032</c:v>
                </c:pt>
                <c:pt idx="143">
                  <c:v>393.57638888888891</c:v>
                </c:pt>
                <c:pt idx="144">
                  <c:v>396.46990740740728</c:v>
                </c:pt>
                <c:pt idx="145">
                  <c:v>399.36342592592598</c:v>
                </c:pt>
                <c:pt idx="146">
                  <c:v>402.25694444444429</c:v>
                </c:pt>
                <c:pt idx="147">
                  <c:v>405.15046296296299</c:v>
                </c:pt>
                <c:pt idx="148">
                  <c:v>408.04398148148152</c:v>
                </c:pt>
                <c:pt idx="149">
                  <c:v>410.93749999999977</c:v>
                </c:pt>
                <c:pt idx="150">
                  <c:v>413.83101851851842</c:v>
                </c:pt>
                <c:pt idx="151">
                  <c:v>416.72453703703701</c:v>
                </c:pt>
                <c:pt idx="152">
                  <c:v>419.61805555555549</c:v>
                </c:pt>
                <c:pt idx="153">
                  <c:v>422.51157407407391</c:v>
                </c:pt>
                <c:pt idx="154">
                  <c:v>425.40509259259238</c:v>
                </c:pt>
                <c:pt idx="155">
                  <c:v>428.29861111111109</c:v>
                </c:pt>
                <c:pt idx="156">
                  <c:v>431.19212962962968</c:v>
                </c:pt>
                <c:pt idx="157">
                  <c:v>434.08564814814821</c:v>
                </c:pt>
                <c:pt idx="158">
                  <c:v>436.97916666666669</c:v>
                </c:pt>
                <c:pt idx="159">
                  <c:v>439.87268518518522</c:v>
                </c:pt>
                <c:pt idx="160">
                  <c:v>442.7662037037037</c:v>
                </c:pt>
                <c:pt idx="161">
                  <c:v>445.65972222222229</c:v>
                </c:pt>
                <c:pt idx="162">
                  <c:v>448.55324074074082</c:v>
                </c:pt>
                <c:pt idx="163">
                  <c:v>451.44675925925912</c:v>
                </c:pt>
                <c:pt idx="164">
                  <c:v>454.34027777777771</c:v>
                </c:pt>
                <c:pt idx="165">
                  <c:v>457.23379629629608</c:v>
                </c:pt>
                <c:pt idx="166">
                  <c:v>460.12731481481472</c:v>
                </c:pt>
                <c:pt idx="167">
                  <c:v>463.02083333333331</c:v>
                </c:pt>
                <c:pt idx="168">
                  <c:v>465.91435185185179</c:v>
                </c:pt>
                <c:pt idx="169">
                  <c:v>468.80787037037032</c:v>
                </c:pt>
                <c:pt idx="170">
                  <c:v>471.70138888888891</c:v>
                </c:pt>
                <c:pt idx="171">
                  <c:v>474.59490740740728</c:v>
                </c:pt>
                <c:pt idx="172">
                  <c:v>477.48842592592592</c:v>
                </c:pt>
                <c:pt idx="173">
                  <c:v>480.38194444444429</c:v>
                </c:pt>
                <c:pt idx="174">
                  <c:v>483.27546296296299</c:v>
                </c:pt>
                <c:pt idx="175">
                  <c:v>486.16898148148152</c:v>
                </c:pt>
                <c:pt idx="176">
                  <c:v>489.0625</c:v>
                </c:pt>
                <c:pt idx="177">
                  <c:v>491.95601851851842</c:v>
                </c:pt>
                <c:pt idx="178">
                  <c:v>494.84953703703701</c:v>
                </c:pt>
                <c:pt idx="179">
                  <c:v>497.74305555555549</c:v>
                </c:pt>
                <c:pt idx="180">
                  <c:v>500.63657407407391</c:v>
                </c:pt>
                <c:pt idx="181">
                  <c:v>503.53009259259238</c:v>
                </c:pt>
                <c:pt idx="182">
                  <c:v>506.42361111111109</c:v>
                </c:pt>
                <c:pt idx="183">
                  <c:v>509.31712962962968</c:v>
                </c:pt>
                <c:pt idx="184">
                  <c:v>512.21064814814815</c:v>
                </c:pt>
                <c:pt idx="185">
                  <c:v>515.10416666666686</c:v>
                </c:pt>
                <c:pt idx="186">
                  <c:v>517.99768518518499</c:v>
                </c:pt>
                <c:pt idx="187">
                  <c:v>520.89120370370335</c:v>
                </c:pt>
                <c:pt idx="188">
                  <c:v>523.78472222222251</c:v>
                </c:pt>
                <c:pt idx="189">
                  <c:v>526.67824074074076</c:v>
                </c:pt>
                <c:pt idx="190">
                  <c:v>529.57175925925935</c:v>
                </c:pt>
                <c:pt idx="191">
                  <c:v>532.46527777777783</c:v>
                </c:pt>
                <c:pt idx="192">
                  <c:v>535.35879629629653</c:v>
                </c:pt>
                <c:pt idx="193">
                  <c:v>538.25231481481455</c:v>
                </c:pt>
                <c:pt idx="194">
                  <c:v>541.14583333333337</c:v>
                </c:pt>
                <c:pt idx="195">
                  <c:v>544.03935185185185</c:v>
                </c:pt>
                <c:pt idx="196">
                  <c:v>546.93287037037055</c:v>
                </c:pt>
                <c:pt idx="197">
                  <c:v>549.82638888888869</c:v>
                </c:pt>
                <c:pt idx="198">
                  <c:v>552.7199074074075</c:v>
                </c:pt>
                <c:pt idx="199">
                  <c:v>555.61342592592587</c:v>
                </c:pt>
                <c:pt idx="200">
                  <c:v>558.50694444444446</c:v>
                </c:pt>
                <c:pt idx="201">
                  <c:v>561.40046296296305</c:v>
                </c:pt>
                <c:pt idx="202">
                  <c:v>564.29398148148152</c:v>
                </c:pt>
                <c:pt idx="203">
                  <c:v>567.1875</c:v>
                </c:pt>
                <c:pt idx="204">
                  <c:v>570.08101851851859</c:v>
                </c:pt>
                <c:pt idx="205">
                  <c:v>572.97453703703741</c:v>
                </c:pt>
                <c:pt idx="206">
                  <c:v>575.86805555555543</c:v>
                </c:pt>
                <c:pt idx="207">
                  <c:v>578.76157407407413</c:v>
                </c:pt>
                <c:pt idx="208">
                  <c:v>581.65509259259261</c:v>
                </c:pt>
                <c:pt idx="209">
                  <c:v>584.54861111111109</c:v>
                </c:pt>
                <c:pt idx="210">
                  <c:v>587.44212962962933</c:v>
                </c:pt>
                <c:pt idx="211">
                  <c:v>590.33564814814804</c:v>
                </c:pt>
                <c:pt idx="212">
                  <c:v>593.22916666666686</c:v>
                </c:pt>
                <c:pt idx="213">
                  <c:v>596.12268518518488</c:v>
                </c:pt>
                <c:pt idx="214">
                  <c:v>599.01620370370335</c:v>
                </c:pt>
                <c:pt idx="215">
                  <c:v>601.90972222222217</c:v>
                </c:pt>
                <c:pt idx="216">
                  <c:v>604.80324074074042</c:v>
                </c:pt>
                <c:pt idx="217">
                  <c:v>607.69675925925935</c:v>
                </c:pt>
                <c:pt idx="218">
                  <c:v>610.59027777777806</c:v>
                </c:pt>
                <c:pt idx="219">
                  <c:v>613.48379629629665</c:v>
                </c:pt>
                <c:pt idx="220">
                  <c:v>616.37731481481467</c:v>
                </c:pt>
                <c:pt idx="221">
                  <c:v>619.27083333333371</c:v>
                </c:pt>
                <c:pt idx="222">
                  <c:v>622.16435185185185</c:v>
                </c:pt>
                <c:pt idx="223">
                  <c:v>625.05787037037055</c:v>
                </c:pt>
                <c:pt idx="224">
                  <c:v>627.95138888888869</c:v>
                </c:pt>
                <c:pt idx="225">
                  <c:v>630.84490740740739</c:v>
                </c:pt>
                <c:pt idx="226">
                  <c:v>633.73842592592598</c:v>
                </c:pt>
                <c:pt idx="227">
                  <c:v>636.63194444444446</c:v>
                </c:pt>
                <c:pt idx="228">
                  <c:v>639.52546296296305</c:v>
                </c:pt>
                <c:pt idx="229">
                  <c:v>642.41898148148141</c:v>
                </c:pt>
                <c:pt idx="230">
                  <c:v>645.31249999999977</c:v>
                </c:pt>
                <c:pt idx="231">
                  <c:v>648.20601851851859</c:v>
                </c:pt>
                <c:pt idx="232">
                  <c:v>651.09953703703741</c:v>
                </c:pt>
                <c:pt idx="233">
                  <c:v>653.99305555555554</c:v>
                </c:pt>
                <c:pt idx="234">
                  <c:v>656.88657407407402</c:v>
                </c:pt>
                <c:pt idx="235">
                  <c:v>659.78009259259284</c:v>
                </c:pt>
                <c:pt idx="236">
                  <c:v>662.67361111111109</c:v>
                </c:pt>
                <c:pt idx="237">
                  <c:v>665.56712962962933</c:v>
                </c:pt>
                <c:pt idx="238">
                  <c:v>668.46064814814804</c:v>
                </c:pt>
                <c:pt idx="239">
                  <c:v>671.35416666666663</c:v>
                </c:pt>
                <c:pt idx="240">
                  <c:v>674.24768518518488</c:v>
                </c:pt>
              </c:numCache>
            </c:numRef>
          </c:xVal>
          <c:yVal>
            <c:numRef>
              <c:f>MaxElongation!$H$2:$H$242</c:f>
              <c:numCache>
                <c:formatCode>General</c:formatCode>
                <c:ptCount val="241"/>
                <c:pt idx="0">
                  <c:v>0</c:v>
                </c:pt>
                <c:pt idx="1">
                  <c:v>1.3129319650593001</c:v>
                </c:pt>
                <c:pt idx="2">
                  <c:v>1.309830390556</c:v>
                </c:pt>
                <c:pt idx="3">
                  <c:v>1.2930403752385</c:v>
                </c:pt>
                <c:pt idx="4">
                  <c:v>1.2851153234215</c:v>
                </c:pt>
                <c:pt idx="5">
                  <c:v>1.2999220485178999</c:v>
                </c:pt>
                <c:pt idx="6">
                  <c:v>1.3050871517449001</c:v>
                </c:pt>
                <c:pt idx="7">
                  <c:v>1.3054653283471001</c:v>
                </c:pt>
                <c:pt idx="8">
                  <c:v>1.3054590774057</c:v>
                </c:pt>
                <c:pt idx="9">
                  <c:v>1.3054558192175001</c:v>
                </c:pt>
                <c:pt idx="10">
                  <c:v>1.3054511954212</c:v>
                </c:pt>
                <c:pt idx="11">
                  <c:v>1.3054558296651</c:v>
                </c:pt>
                <c:pt idx="12">
                  <c:v>1.305464158274499</c:v>
                </c:pt>
                <c:pt idx="13">
                  <c:v>1.3054751240069</c:v>
                </c:pt>
                <c:pt idx="14">
                  <c:v>1.3054881835634999</c:v>
                </c:pt>
                <c:pt idx="15">
                  <c:v>1.3055029562772</c:v>
                </c:pt>
                <c:pt idx="16">
                  <c:v>1.3055192456014999</c:v>
                </c:pt>
                <c:pt idx="17">
                  <c:v>1.3055369334678999</c:v>
                </c:pt>
                <c:pt idx="18">
                  <c:v>1.305556289034</c:v>
                </c:pt>
                <c:pt idx="19">
                  <c:v>1.3055775211894001</c:v>
                </c:pt>
                <c:pt idx="20">
                  <c:v>1.3056005726041999</c:v>
                </c:pt>
                <c:pt idx="21">
                  <c:v>1.3056254510004</c:v>
                </c:pt>
                <c:pt idx="22">
                  <c:v>1.3056501652051</c:v>
                </c:pt>
                <c:pt idx="23">
                  <c:v>1.3056787213522001</c:v>
                </c:pt>
                <c:pt idx="24">
                  <c:v>1.3057089802374999</c:v>
                </c:pt>
                <c:pt idx="25">
                  <c:v>1.3057409246733001</c:v>
                </c:pt>
                <c:pt idx="26">
                  <c:v>1.3057743459310001</c:v>
                </c:pt>
                <c:pt idx="27">
                  <c:v>1.3058090485244001</c:v>
                </c:pt>
                <c:pt idx="28">
                  <c:v>1.3058448509531</c:v>
                </c:pt>
                <c:pt idx="29">
                  <c:v>1.3058816893086</c:v>
                </c:pt>
                <c:pt idx="30">
                  <c:v>1.3059194490788</c:v>
                </c:pt>
                <c:pt idx="31">
                  <c:v>1.3059582706985999</c:v>
                </c:pt>
                <c:pt idx="32">
                  <c:v>1.3059984513931</c:v>
                </c:pt>
                <c:pt idx="33">
                  <c:v>1.3060399587375</c:v>
                </c:pt>
                <c:pt idx="34">
                  <c:v>1.3060825447552999</c:v>
                </c:pt>
                <c:pt idx="35">
                  <c:v>1.3061261073724</c:v>
                </c:pt>
                <c:pt idx="36">
                  <c:v>1.3061706475070001</c:v>
                </c:pt>
                <c:pt idx="37">
                  <c:v>1.3062168008235</c:v>
                </c:pt>
                <c:pt idx="38">
                  <c:v>1.306264735376</c:v>
                </c:pt>
                <c:pt idx="39">
                  <c:v>1.3063142070330001</c:v>
                </c:pt>
                <c:pt idx="40">
                  <c:v>1.3063650330489001</c:v>
                </c:pt>
                <c:pt idx="41">
                  <c:v>1.3064171215941001</c:v>
                </c:pt>
                <c:pt idx="42">
                  <c:v>1.306470375957</c:v>
                </c:pt>
                <c:pt idx="43">
                  <c:v>1.306524693919199</c:v>
                </c:pt>
                <c:pt idx="44">
                  <c:v>1.3065800146472999</c:v>
                </c:pt>
                <c:pt idx="45">
                  <c:v>1.3066362702801999</c:v>
                </c:pt>
                <c:pt idx="46">
                  <c:v>1.3066637419186</c:v>
                </c:pt>
                <c:pt idx="47">
                  <c:v>1.3066194993696001</c:v>
                </c:pt>
                <c:pt idx="48">
                  <c:v>1.3065748382610001</c:v>
                </c:pt>
                <c:pt idx="49">
                  <c:v>1.3065288063006</c:v>
                </c:pt>
                <c:pt idx="50">
                  <c:v>1.3064804128548</c:v>
                </c:pt>
                <c:pt idx="51">
                  <c:v>1.3064301134948999</c:v>
                </c:pt>
                <c:pt idx="52">
                  <c:v>1.3063782177983001</c:v>
                </c:pt>
                <c:pt idx="53">
                  <c:v>1.3063251674330001</c:v>
                </c:pt>
                <c:pt idx="54">
                  <c:v>1.3062712394302001</c:v>
                </c:pt>
                <c:pt idx="55">
                  <c:v>1.3062164019672</c:v>
                </c:pt>
                <c:pt idx="56">
                  <c:v>1.306160610429</c:v>
                </c:pt>
                <c:pt idx="57">
                  <c:v>1.3061038905960001</c:v>
                </c:pt>
                <c:pt idx="58">
                  <c:v>1.3060481353605999</c:v>
                </c:pt>
                <c:pt idx="59">
                  <c:v>1.3059897026589999</c:v>
                </c:pt>
                <c:pt idx="60">
                  <c:v>1.3059304479881999</c:v>
                </c:pt>
                <c:pt idx="61">
                  <c:v>1.3058704031531001</c:v>
                </c:pt>
                <c:pt idx="62">
                  <c:v>1.3058095934906</c:v>
                </c:pt>
                <c:pt idx="63">
                  <c:v>1.3057480421184</c:v>
                </c:pt>
                <c:pt idx="64">
                  <c:v>1.3056857653284</c:v>
                </c:pt>
                <c:pt idx="65">
                  <c:v>1.3056227867137999</c:v>
                </c:pt>
                <c:pt idx="66">
                  <c:v>1.3055591168902001</c:v>
                </c:pt>
                <c:pt idx="67">
                  <c:v>1.3054947781837001</c:v>
                </c:pt>
                <c:pt idx="68">
                  <c:v>1.3054297848456</c:v>
                </c:pt>
                <c:pt idx="69">
                  <c:v>1.3053641496362001</c:v>
                </c:pt>
                <c:pt idx="70">
                  <c:v>1.3052978871144001</c:v>
                </c:pt>
                <c:pt idx="71">
                  <c:v>1.3052310113545</c:v>
                </c:pt>
                <c:pt idx="72">
                  <c:v>1.3051635355805999</c:v>
                </c:pt>
                <c:pt idx="73">
                  <c:v>1.3050954659628</c:v>
                </c:pt>
                <c:pt idx="74">
                  <c:v>1.3050268114776999</c:v>
                </c:pt>
                <c:pt idx="75">
                  <c:v>1.3049575903777</c:v>
                </c:pt>
                <c:pt idx="76">
                  <c:v>1.3048878143842</c:v>
                </c:pt>
                <c:pt idx="77">
                  <c:v>1.3048174965349</c:v>
                </c:pt>
                <c:pt idx="78">
                  <c:v>1.3047466452128</c:v>
                </c:pt>
                <c:pt idx="79">
                  <c:v>1.3046752761324001</c:v>
                </c:pt>
                <c:pt idx="80">
                  <c:v>1.3046034061070999</c:v>
                </c:pt>
                <c:pt idx="81">
                  <c:v>1.3045310453234</c:v>
                </c:pt>
                <c:pt idx="82">
                  <c:v>1.3044582041143999</c:v>
                </c:pt>
                <c:pt idx="83">
                  <c:v>1.304384898765</c:v>
                </c:pt>
                <c:pt idx="84">
                  <c:v>1.3042847631783001</c:v>
                </c:pt>
                <c:pt idx="85">
                  <c:v>1.3041047398458001</c:v>
                </c:pt>
                <c:pt idx="86">
                  <c:v>1.30392456255</c:v>
                </c:pt>
                <c:pt idx="87">
                  <c:v>1.3037430442524001</c:v>
                </c:pt>
                <c:pt idx="88">
                  <c:v>1.3035599028433</c:v>
                </c:pt>
                <c:pt idx="89">
                  <c:v>1.3033752436207</c:v>
                </c:pt>
                <c:pt idx="90">
                  <c:v>1.3031892270394001</c:v>
                </c:pt>
                <c:pt idx="91">
                  <c:v>1.3030020176768999</c:v>
                </c:pt>
                <c:pt idx="92">
                  <c:v>1.3028137689399999</c:v>
                </c:pt>
                <c:pt idx="93">
                  <c:v>1.3026246490619999</c:v>
                </c:pt>
                <c:pt idx="94">
                  <c:v>1.3024348702663</c:v>
                </c:pt>
                <c:pt idx="95">
                  <c:v>1.3022446121225999</c:v>
                </c:pt>
                <c:pt idx="96">
                  <c:v>1.3020540670125</c:v>
                </c:pt>
                <c:pt idx="97">
                  <c:v>1.3018634707985</c:v>
                </c:pt>
                <c:pt idx="98">
                  <c:v>1.3016730655591999</c:v>
                </c:pt>
                <c:pt idx="99">
                  <c:v>1.3014830733284</c:v>
                </c:pt>
                <c:pt idx="100">
                  <c:v>1.3012937336746999</c:v>
                </c:pt>
                <c:pt idx="101">
                  <c:v>1.3011052798483</c:v>
                </c:pt>
                <c:pt idx="102">
                  <c:v>1.3009179485692</c:v>
                </c:pt>
                <c:pt idx="103">
                  <c:v>1.3007319049121</c:v>
                </c:pt>
                <c:pt idx="104">
                  <c:v>1.3005474871059</c:v>
                </c:pt>
                <c:pt idx="105">
                  <c:v>1.3003647159859999</c:v>
                </c:pt>
                <c:pt idx="106">
                  <c:v>1.3001834297553001</c:v>
                </c:pt>
                <c:pt idx="107">
                  <c:v>1.3000034556596001</c:v>
                </c:pt>
                <c:pt idx="108">
                  <c:v>1.2998259706691</c:v>
                </c:pt>
                <c:pt idx="109">
                  <c:v>1.299652510759</c:v>
                </c:pt>
                <c:pt idx="110">
                  <c:v>1.2994819704125999</c:v>
                </c:pt>
                <c:pt idx="111">
                  <c:v>1.2993137822656999</c:v>
                </c:pt>
                <c:pt idx="112">
                  <c:v>1.2991479644548001</c:v>
                </c:pt>
                <c:pt idx="113">
                  <c:v>1.2989855710805001</c:v>
                </c:pt>
                <c:pt idx="114">
                  <c:v>1.2988275308885999</c:v>
                </c:pt>
                <c:pt idx="115">
                  <c:v>1.2986727559491</c:v>
                </c:pt>
                <c:pt idx="116">
                  <c:v>1.2985206619115</c:v>
                </c:pt>
                <c:pt idx="117">
                  <c:v>1.2983721879515</c:v>
                </c:pt>
                <c:pt idx="118">
                  <c:v>1.2982282274485</c:v>
                </c:pt>
                <c:pt idx="119">
                  <c:v>1.2981153525297999</c:v>
                </c:pt>
                <c:pt idx="120">
                  <c:v>1.2984836895665</c:v>
                </c:pt>
                <c:pt idx="121">
                  <c:v>1.2988886558278001</c:v>
                </c:pt>
                <c:pt idx="122">
                  <c:v>1.2992841055535</c:v>
                </c:pt>
                <c:pt idx="123">
                  <c:v>1.2996713152762001</c:v>
                </c:pt>
                <c:pt idx="124">
                  <c:v>1.3000529850177001</c:v>
                </c:pt>
                <c:pt idx="125">
                  <c:v>1.3004302564436001</c:v>
                </c:pt>
                <c:pt idx="126">
                  <c:v>1.3008038374854001</c:v>
                </c:pt>
                <c:pt idx="127">
                  <c:v>1.3011742320377999</c:v>
                </c:pt>
                <c:pt idx="128">
                  <c:v>1.3015417506497999</c:v>
                </c:pt>
                <c:pt idx="129">
                  <c:v>1.3019067331433001</c:v>
                </c:pt>
                <c:pt idx="130">
                  <c:v>1.3022729450906001</c:v>
                </c:pt>
                <c:pt idx="131">
                  <c:v>1.3026338482774</c:v>
                </c:pt>
                <c:pt idx="132">
                  <c:v>1.3029930842544</c:v>
                </c:pt>
                <c:pt idx="133">
                  <c:v>1.3033509048641001</c:v>
                </c:pt>
                <c:pt idx="134">
                  <c:v>1.3037075046968001</c:v>
                </c:pt>
                <c:pt idx="135">
                  <c:v>1.3040630820562</c:v>
                </c:pt>
                <c:pt idx="136">
                  <c:v>1.3044177959165</c:v>
                </c:pt>
                <c:pt idx="137">
                  <c:v>1.3047718309419001</c:v>
                </c:pt>
                <c:pt idx="138">
                  <c:v>1.3051253581739</c:v>
                </c:pt>
                <c:pt idx="139">
                  <c:v>1.3054785534154001</c:v>
                </c:pt>
                <c:pt idx="140">
                  <c:v>1.3058315884258</c:v>
                </c:pt>
                <c:pt idx="141">
                  <c:v>1.3061846702916999</c:v>
                </c:pt>
                <c:pt idx="142">
                  <c:v>1.3065379940369</c:v>
                </c:pt>
                <c:pt idx="143">
                  <c:v>1.3068917941308</c:v>
                </c:pt>
                <c:pt idx="144">
                  <c:v>1.3072463421205001</c:v>
                </c:pt>
                <c:pt idx="145">
                  <c:v>1.3076019364753</c:v>
                </c:pt>
                <c:pt idx="146">
                  <c:v>1.3079589251167001</c:v>
                </c:pt>
                <c:pt idx="147">
                  <c:v>1.308317841766</c:v>
                </c:pt>
                <c:pt idx="148">
                  <c:v>1.3086810740170001</c:v>
                </c:pt>
                <c:pt idx="149">
                  <c:v>1.3090456578059999</c:v>
                </c:pt>
                <c:pt idx="150">
                  <c:v>1.3094139059892</c:v>
                </c:pt>
                <c:pt idx="151">
                  <c:v>1.3097867513546999</c:v>
                </c:pt>
                <c:pt idx="152">
                  <c:v>1.3101652932351</c:v>
                </c:pt>
                <c:pt idx="153">
                  <c:v>1.3105508629466001</c:v>
                </c:pt>
                <c:pt idx="154">
                  <c:v>1.3109452005753</c:v>
                </c:pt>
                <c:pt idx="155">
                  <c:v>1.3113504574118</c:v>
                </c:pt>
                <c:pt idx="156">
                  <c:v>1.3117694417043</c:v>
                </c:pt>
                <c:pt idx="157">
                  <c:v>1.3121873082143001</c:v>
                </c:pt>
                <c:pt idx="158">
                  <c:v>1.3123687497123999</c:v>
                </c:pt>
                <c:pt idx="159">
                  <c:v>1.3125484891789001</c:v>
                </c:pt>
                <c:pt idx="160">
                  <c:v>1.3127339407975001</c:v>
                </c:pt>
                <c:pt idx="161">
                  <c:v>1.3129218024694</c:v>
                </c:pt>
                <c:pt idx="162">
                  <c:v>1.3131126232860999</c:v>
                </c:pt>
                <c:pt idx="163">
                  <c:v>1.3133065908782</c:v>
                </c:pt>
                <c:pt idx="164">
                  <c:v>1.3135040935986</c:v>
                </c:pt>
                <c:pt idx="165">
                  <c:v>1.3137054138527999</c:v>
                </c:pt>
                <c:pt idx="166">
                  <c:v>1.3139109966610001</c:v>
                </c:pt>
                <c:pt idx="167">
                  <c:v>1.3141213536792</c:v>
                </c:pt>
                <c:pt idx="168">
                  <c:v>1.3143368856066</c:v>
                </c:pt>
                <c:pt idx="169">
                  <c:v>1.3145575839807</c:v>
                </c:pt>
                <c:pt idx="170">
                  <c:v>1.3147823277633</c:v>
                </c:pt>
                <c:pt idx="171">
                  <c:v>1.31501054683</c:v>
                </c:pt>
                <c:pt idx="172">
                  <c:v>1.3152423294655999</c:v>
                </c:pt>
                <c:pt idx="173">
                  <c:v>1.3154777326360001</c:v>
                </c:pt>
                <c:pt idx="174">
                  <c:v>1.3157198876030001</c:v>
                </c:pt>
                <c:pt idx="175">
                  <c:v>1.3159626073121</c:v>
                </c:pt>
                <c:pt idx="176">
                  <c:v>1.3162089804088</c:v>
                </c:pt>
                <c:pt idx="177">
                  <c:v>1.3164590257976001</c:v>
                </c:pt>
                <c:pt idx="178">
                  <c:v>1.3167126882400999</c:v>
                </c:pt>
                <c:pt idx="179">
                  <c:v>1.316970925171</c:v>
                </c:pt>
                <c:pt idx="180">
                  <c:v>1.3172344012252</c:v>
                </c:pt>
                <c:pt idx="181">
                  <c:v>1.3175057462144999</c:v>
                </c:pt>
                <c:pt idx="182">
                  <c:v>1.3177851031265</c:v>
                </c:pt>
                <c:pt idx="183">
                  <c:v>1.3180724687108001</c:v>
                </c:pt>
                <c:pt idx="184">
                  <c:v>1.3183655425164</c:v>
                </c:pt>
                <c:pt idx="185">
                  <c:v>1.3186632983914</c:v>
                </c:pt>
                <c:pt idx="186">
                  <c:v>1.3189655565188001</c:v>
                </c:pt>
                <c:pt idx="187">
                  <c:v>1.3192722498931999</c:v>
                </c:pt>
                <c:pt idx="188">
                  <c:v>1.3195828847554001</c:v>
                </c:pt>
                <c:pt idx="189">
                  <c:v>1.3198970733293001</c:v>
                </c:pt>
                <c:pt idx="190">
                  <c:v>1.3202146861380999</c:v>
                </c:pt>
                <c:pt idx="191">
                  <c:v>1.3205354357450001</c:v>
                </c:pt>
                <c:pt idx="192">
                  <c:v>1.3208607245752999</c:v>
                </c:pt>
                <c:pt idx="193">
                  <c:v>1.3211899422094</c:v>
                </c:pt>
                <c:pt idx="194">
                  <c:v>1.321522863</c:v>
                </c:pt>
                <c:pt idx="195">
                  <c:v>1.3218649974015</c:v>
                </c:pt>
                <c:pt idx="196">
                  <c:v>1.3222094265591999</c:v>
                </c:pt>
                <c:pt idx="197">
                  <c:v>1.3225582309435</c:v>
                </c:pt>
                <c:pt idx="198">
                  <c:v>1.3229109728820001</c:v>
                </c:pt>
                <c:pt idx="199">
                  <c:v>1.3232674752918001</c:v>
                </c:pt>
                <c:pt idx="200">
                  <c:v>1.3236278023751</c:v>
                </c:pt>
                <c:pt idx="201">
                  <c:v>1.3239321923545999</c:v>
                </c:pt>
                <c:pt idx="202">
                  <c:v>1.3242143230904999</c:v>
                </c:pt>
                <c:pt idx="203">
                  <c:v>1.3244883576971</c:v>
                </c:pt>
                <c:pt idx="204">
                  <c:v>1.3247537511367</c:v>
                </c:pt>
                <c:pt idx="205">
                  <c:v>1.3250105078843</c:v>
                </c:pt>
                <c:pt idx="206">
                  <c:v>1.3252586453709001</c:v>
                </c:pt>
                <c:pt idx="207">
                  <c:v>1.3254981995665001</c:v>
                </c:pt>
                <c:pt idx="208">
                  <c:v>1.3257297246069</c:v>
                </c:pt>
                <c:pt idx="209">
                  <c:v>1.3259536768575</c:v>
                </c:pt>
                <c:pt idx="210">
                  <c:v>1.3261713181324</c:v>
                </c:pt>
                <c:pt idx="211">
                  <c:v>1.3263833336505999</c:v>
                </c:pt>
                <c:pt idx="212">
                  <c:v>1.3265896023971999</c:v>
                </c:pt>
                <c:pt idx="213">
                  <c:v>1.3267899784932999</c:v>
                </c:pt>
                <c:pt idx="214">
                  <c:v>1.3269847821256</c:v>
                </c:pt>
                <c:pt idx="215">
                  <c:v>1.3271735572587999</c:v>
                </c:pt>
                <c:pt idx="216">
                  <c:v>1.3273561531214</c:v>
                </c:pt>
                <c:pt idx="217">
                  <c:v>1.3275345027395</c:v>
                </c:pt>
                <c:pt idx="218">
                  <c:v>1.3277054460063</c:v>
                </c:pt>
                <c:pt idx="219">
                  <c:v>1.3278707189715999</c:v>
                </c:pt>
                <c:pt idx="220">
                  <c:v>1.3280316544908</c:v>
                </c:pt>
                <c:pt idx="221">
                  <c:v>1.3281895040530001</c:v>
                </c:pt>
                <c:pt idx="222">
                  <c:v>1.328364418701</c:v>
                </c:pt>
                <c:pt idx="223">
                  <c:v>1.3284932301975001</c:v>
                </c:pt>
                <c:pt idx="224">
                  <c:v>1.3286945686728</c:v>
                </c:pt>
                <c:pt idx="225">
                  <c:v>1.3289511026422001</c:v>
                </c:pt>
                <c:pt idx="226">
                  <c:v>1.3296299776252001</c:v>
                </c:pt>
                <c:pt idx="227">
                  <c:v>1.3308887607205999</c:v>
                </c:pt>
                <c:pt idx="228">
                  <c:v>1.3321758316985</c:v>
                </c:pt>
                <c:pt idx="229">
                  <c:v>1.3331902354527001</c:v>
                </c:pt>
                <c:pt idx="230">
                  <c:v>1.3339600643098</c:v>
                </c:pt>
                <c:pt idx="231">
                  <c:v>1.3346139560454</c:v>
                </c:pt>
                <c:pt idx="232">
                  <c:v>1.3352048598866999</c:v>
                </c:pt>
                <c:pt idx="233">
                  <c:v>1.3357552888613999</c:v>
                </c:pt>
                <c:pt idx="234">
                  <c:v>1.3362785338020999</c:v>
                </c:pt>
                <c:pt idx="235">
                  <c:v>1.3367832371312001</c:v>
                </c:pt>
                <c:pt idx="236">
                  <c:v>1.3372775953864</c:v>
                </c:pt>
                <c:pt idx="237">
                  <c:v>1.3377694578756001</c:v>
                </c:pt>
                <c:pt idx="238">
                  <c:v>1.3382589345458</c:v>
                </c:pt>
                <c:pt idx="239">
                  <c:v>1.3387470020050001</c:v>
                </c:pt>
                <c:pt idx="240">
                  <c:v>1.3392361758271001</c:v>
                </c:pt>
              </c:numCache>
            </c:numRef>
          </c:yVal>
          <c:smooth val="1"/>
        </c:ser>
        <c:ser>
          <c:idx val="2"/>
          <c:order val="2"/>
          <c:tx>
            <c:strRef>
              <c:f>MaxElongation!$I$1</c:f>
              <c:strCache>
                <c:ptCount val="1"/>
                <c:pt idx="0">
                  <c:v>Zircaloy</c:v>
                </c:pt>
              </c:strCache>
            </c:strRef>
          </c:tx>
          <c:spPr>
            <a:ln w="38100"/>
          </c:spPr>
          <c:marker>
            <c:symbol val="none"/>
          </c:marker>
          <c:xVal>
            <c:numRef>
              <c:f>MaxElongation!$F$2:$F$242</c:f>
              <c:numCache>
                <c:formatCode>0.00E+00</c:formatCode>
                <c:ptCount val="241"/>
                <c:pt idx="0">
                  <c:v>0</c:v>
                </c:pt>
                <c:pt idx="1">
                  <c:v>1.1574074074074099E-2</c:v>
                </c:pt>
                <c:pt idx="2">
                  <c:v>3.4722222222222203E-2</c:v>
                </c:pt>
                <c:pt idx="3">
                  <c:v>8.1018518518518504E-2</c:v>
                </c:pt>
                <c:pt idx="4">
                  <c:v>0.17361111111111099</c:v>
                </c:pt>
                <c:pt idx="5">
                  <c:v>0.358796296296296</c:v>
                </c:pt>
                <c:pt idx="6">
                  <c:v>0.72916666666666596</c:v>
                </c:pt>
                <c:pt idx="7">
                  <c:v>1.469907407407407</c:v>
                </c:pt>
                <c:pt idx="8">
                  <c:v>2.9513888888888871</c:v>
                </c:pt>
                <c:pt idx="9">
                  <c:v>5.8449074074074048</c:v>
                </c:pt>
                <c:pt idx="10">
                  <c:v>8.738425925925922</c:v>
                </c:pt>
                <c:pt idx="11">
                  <c:v>11.631944444444439</c:v>
                </c:pt>
                <c:pt idx="12">
                  <c:v>14.52546296296296</c:v>
                </c:pt>
                <c:pt idx="13">
                  <c:v>17.418981481481481</c:v>
                </c:pt>
                <c:pt idx="14">
                  <c:v>20.3125</c:v>
                </c:pt>
                <c:pt idx="15">
                  <c:v>23.206018518518519</c:v>
                </c:pt>
                <c:pt idx="16">
                  <c:v>26.09953703703702</c:v>
                </c:pt>
                <c:pt idx="17">
                  <c:v>28.993055555555561</c:v>
                </c:pt>
                <c:pt idx="18">
                  <c:v>31.88657407407408</c:v>
                </c:pt>
                <c:pt idx="19">
                  <c:v>34.780092592592567</c:v>
                </c:pt>
                <c:pt idx="20">
                  <c:v>37.673611111111107</c:v>
                </c:pt>
                <c:pt idx="21">
                  <c:v>40.567129629629633</c:v>
                </c:pt>
                <c:pt idx="22">
                  <c:v>43.460648148148152</c:v>
                </c:pt>
                <c:pt idx="23">
                  <c:v>46.354166666666622</c:v>
                </c:pt>
                <c:pt idx="24">
                  <c:v>49.247685185185183</c:v>
                </c:pt>
                <c:pt idx="25">
                  <c:v>52.141203703703702</c:v>
                </c:pt>
                <c:pt idx="26">
                  <c:v>55.034722222222221</c:v>
                </c:pt>
                <c:pt idx="27">
                  <c:v>57.92824074074074</c:v>
                </c:pt>
                <c:pt idx="28">
                  <c:v>60.821759259259252</c:v>
                </c:pt>
                <c:pt idx="29">
                  <c:v>63.715277777777779</c:v>
                </c:pt>
                <c:pt idx="30">
                  <c:v>66.608796296296234</c:v>
                </c:pt>
                <c:pt idx="31">
                  <c:v>69.502314814814767</c:v>
                </c:pt>
                <c:pt idx="32">
                  <c:v>72.3958333333333</c:v>
                </c:pt>
                <c:pt idx="33">
                  <c:v>75.289351851851805</c:v>
                </c:pt>
                <c:pt idx="34">
                  <c:v>78.182870370370324</c:v>
                </c:pt>
                <c:pt idx="35">
                  <c:v>81.076388888888829</c:v>
                </c:pt>
                <c:pt idx="36">
                  <c:v>83.969907407407433</c:v>
                </c:pt>
                <c:pt idx="37">
                  <c:v>86.863425925925924</c:v>
                </c:pt>
                <c:pt idx="38">
                  <c:v>89.756944444444443</c:v>
                </c:pt>
                <c:pt idx="39">
                  <c:v>92.650462962962948</c:v>
                </c:pt>
                <c:pt idx="40">
                  <c:v>95.543981481481481</c:v>
                </c:pt>
                <c:pt idx="41">
                  <c:v>98.4375</c:v>
                </c:pt>
                <c:pt idx="42">
                  <c:v>101.3310185185185</c:v>
                </c:pt>
                <c:pt idx="43">
                  <c:v>104.224537037037</c:v>
                </c:pt>
                <c:pt idx="44">
                  <c:v>107.1180555555555</c:v>
                </c:pt>
                <c:pt idx="45">
                  <c:v>110.0115740740741</c:v>
                </c:pt>
                <c:pt idx="46">
                  <c:v>112.9050925925926</c:v>
                </c:pt>
                <c:pt idx="47">
                  <c:v>115.7986111111111</c:v>
                </c:pt>
                <c:pt idx="48">
                  <c:v>118.6921296296296</c:v>
                </c:pt>
                <c:pt idx="49">
                  <c:v>121.5856481481481</c:v>
                </c:pt>
                <c:pt idx="50">
                  <c:v>124.4791666666667</c:v>
                </c:pt>
                <c:pt idx="51">
                  <c:v>127.3726851851852</c:v>
                </c:pt>
                <c:pt idx="52">
                  <c:v>130.2662037037037</c:v>
                </c:pt>
                <c:pt idx="53">
                  <c:v>133.1597222222222</c:v>
                </c:pt>
                <c:pt idx="54">
                  <c:v>136.0532407407407</c:v>
                </c:pt>
                <c:pt idx="55">
                  <c:v>138.94675925925921</c:v>
                </c:pt>
                <c:pt idx="56">
                  <c:v>141.8402777777778</c:v>
                </c:pt>
                <c:pt idx="57">
                  <c:v>144.7337962962963</c:v>
                </c:pt>
                <c:pt idx="58">
                  <c:v>147.62731481481481</c:v>
                </c:pt>
                <c:pt idx="59">
                  <c:v>150.5208333333334</c:v>
                </c:pt>
                <c:pt idx="60">
                  <c:v>153.41435185185179</c:v>
                </c:pt>
                <c:pt idx="61">
                  <c:v>156.30787037037041</c:v>
                </c:pt>
                <c:pt idx="62">
                  <c:v>159.201388888889</c:v>
                </c:pt>
                <c:pt idx="63">
                  <c:v>162.09490740740739</c:v>
                </c:pt>
                <c:pt idx="64">
                  <c:v>164.98842592592601</c:v>
                </c:pt>
                <c:pt idx="65">
                  <c:v>167.88194444444451</c:v>
                </c:pt>
                <c:pt idx="66">
                  <c:v>170.77546296296291</c:v>
                </c:pt>
                <c:pt idx="67">
                  <c:v>173.6689814814815</c:v>
                </c:pt>
                <c:pt idx="68">
                  <c:v>176.5625</c:v>
                </c:pt>
                <c:pt idx="69">
                  <c:v>179.4560185185185</c:v>
                </c:pt>
                <c:pt idx="70">
                  <c:v>182.34953703703701</c:v>
                </c:pt>
                <c:pt idx="71">
                  <c:v>185.2430555555554</c:v>
                </c:pt>
                <c:pt idx="72">
                  <c:v>188.13657407407399</c:v>
                </c:pt>
                <c:pt idx="73">
                  <c:v>191.03009259259261</c:v>
                </c:pt>
                <c:pt idx="74">
                  <c:v>193.92361111111109</c:v>
                </c:pt>
                <c:pt idx="75">
                  <c:v>196.81712962962959</c:v>
                </c:pt>
                <c:pt idx="76">
                  <c:v>199.7106481481481</c:v>
                </c:pt>
                <c:pt idx="77">
                  <c:v>202.6041666666666</c:v>
                </c:pt>
                <c:pt idx="78">
                  <c:v>205.49768518518519</c:v>
                </c:pt>
                <c:pt idx="79">
                  <c:v>208.39120370370381</c:v>
                </c:pt>
                <c:pt idx="80">
                  <c:v>211.2847222222222</c:v>
                </c:pt>
                <c:pt idx="81">
                  <c:v>214.1782407407407</c:v>
                </c:pt>
                <c:pt idx="82">
                  <c:v>217.07175925925921</c:v>
                </c:pt>
                <c:pt idx="83">
                  <c:v>219.9652777777778</c:v>
                </c:pt>
                <c:pt idx="84">
                  <c:v>222.8587962962963</c:v>
                </c:pt>
                <c:pt idx="85">
                  <c:v>225.75231481481481</c:v>
                </c:pt>
                <c:pt idx="86">
                  <c:v>228.64583333333329</c:v>
                </c:pt>
                <c:pt idx="87">
                  <c:v>231.53935185185179</c:v>
                </c:pt>
                <c:pt idx="88">
                  <c:v>234.43287037037041</c:v>
                </c:pt>
                <c:pt idx="89">
                  <c:v>237.326388888889</c:v>
                </c:pt>
                <c:pt idx="90">
                  <c:v>240.21990740740739</c:v>
                </c:pt>
                <c:pt idx="91">
                  <c:v>243.1134259259259</c:v>
                </c:pt>
                <c:pt idx="92">
                  <c:v>246.00694444444451</c:v>
                </c:pt>
                <c:pt idx="93">
                  <c:v>248.90046296296299</c:v>
                </c:pt>
                <c:pt idx="94">
                  <c:v>251.7939814814815</c:v>
                </c:pt>
                <c:pt idx="95">
                  <c:v>254.6875</c:v>
                </c:pt>
                <c:pt idx="96">
                  <c:v>257.58101851851842</c:v>
                </c:pt>
                <c:pt idx="97">
                  <c:v>260.47453703703701</c:v>
                </c:pt>
                <c:pt idx="98">
                  <c:v>263.36805555555549</c:v>
                </c:pt>
                <c:pt idx="99">
                  <c:v>266.26157407407391</c:v>
                </c:pt>
                <c:pt idx="100">
                  <c:v>269.15509259259261</c:v>
                </c:pt>
                <c:pt idx="101">
                  <c:v>272.04861111111109</c:v>
                </c:pt>
                <c:pt idx="102">
                  <c:v>274.94212962962962</c:v>
                </c:pt>
                <c:pt idx="103">
                  <c:v>277.83564814814821</c:v>
                </c:pt>
                <c:pt idx="104">
                  <c:v>280.72916666666669</c:v>
                </c:pt>
                <c:pt idx="105">
                  <c:v>283.62268518518522</c:v>
                </c:pt>
                <c:pt idx="106">
                  <c:v>286.5162037037037</c:v>
                </c:pt>
                <c:pt idx="107">
                  <c:v>289.40972222222211</c:v>
                </c:pt>
                <c:pt idx="108">
                  <c:v>292.30324074074082</c:v>
                </c:pt>
                <c:pt idx="109">
                  <c:v>295.19675925925912</c:v>
                </c:pt>
                <c:pt idx="110">
                  <c:v>298.0902777777776</c:v>
                </c:pt>
                <c:pt idx="111">
                  <c:v>300.98379629629608</c:v>
                </c:pt>
                <c:pt idx="112">
                  <c:v>303.87731481481472</c:v>
                </c:pt>
                <c:pt idx="113">
                  <c:v>306.77083333333331</c:v>
                </c:pt>
                <c:pt idx="114">
                  <c:v>309.66435185185202</c:v>
                </c:pt>
                <c:pt idx="115">
                  <c:v>312.55787037037032</c:v>
                </c:pt>
                <c:pt idx="116">
                  <c:v>315.45138888888891</c:v>
                </c:pt>
                <c:pt idx="117">
                  <c:v>318.34490740740739</c:v>
                </c:pt>
                <c:pt idx="118">
                  <c:v>321.23842592592592</c:v>
                </c:pt>
                <c:pt idx="119">
                  <c:v>324.13194444444429</c:v>
                </c:pt>
                <c:pt idx="120">
                  <c:v>327.02546296296299</c:v>
                </c:pt>
                <c:pt idx="121">
                  <c:v>329.91898148148141</c:v>
                </c:pt>
                <c:pt idx="122">
                  <c:v>332.8125</c:v>
                </c:pt>
                <c:pt idx="123">
                  <c:v>335.70601851851842</c:v>
                </c:pt>
                <c:pt idx="124">
                  <c:v>338.59953703703701</c:v>
                </c:pt>
                <c:pt idx="125">
                  <c:v>341.49305555555537</c:v>
                </c:pt>
                <c:pt idx="126">
                  <c:v>344.38657407407391</c:v>
                </c:pt>
                <c:pt idx="127">
                  <c:v>347.28009259259238</c:v>
                </c:pt>
                <c:pt idx="128">
                  <c:v>350.17361111111109</c:v>
                </c:pt>
                <c:pt idx="129">
                  <c:v>353.06712962962968</c:v>
                </c:pt>
                <c:pt idx="130">
                  <c:v>355.96064814814821</c:v>
                </c:pt>
                <c:pt idx="131">
                  <c:v>358.8541666666668</c:v>
                </c:pt>
                <c:pt idx="132">
                  <c:v>361.74768518518522</c:v>
                </c:pt>
                <c:pt idx="133">
                  <c:v>364.6412037037037</c:v>
                </c:pt>
                <c:pt idx="134">
                  <c:v>367.53472222222211</c:v>
                </c:pt>
                <c:pt idx="135">
                  <c:v>370.42824074074059</c:v>
                </c:pt>
                <c:pt idx="136">
                  <c:v>373.32175925925912</c:v>
                </c:pt>
                <c:pt idx="137">
                  <c:v>376.2152777777776</c:v>
                </c:pt>
                <c:pt idx="138">
                  <c:v>379.10879629629619</c:v>
                </c:pt>
                <c:pt idx="139">
                  <c:v>382.00231481481472</c:v>
                </c:pt>
                <c:pt idx="140">
                  <c:v>384.89583333333331</c:v>
                </c:pt>
                <c:pt idx="141">
                  <c:v>387.78935185185179</c:v>
                </c:pt>
                <c:pt idx="142">
                  <c:v>390.68287037037032</c:v>
                </c:pt>
                <c:pt idx="143">
                  <c:v>393.57638888888891</c:v>
                </c:pt>
                <c:pt idx="144">
                  <c:v>396.46990740740728</c:v>
                </c:pt>
                <c:pt idx="145">
                  <c:v>399.36342592592598</c:v>
                </c:pt>
                <c:pt idx="146">
                  <c:v>402.25694444444429</c:v>
                </c:pt>
                <c:pt idx="147">
                  <c:v>405.15046296296299</c:v>
                </c:pt>
                <c:pt idx="148">
                  <c:v>408.04398148148152</c:v>
                </c:pt>
                <c:pt idx="149">
                  <c:v>410.93749999999977</c:v>
                </c:pt>
                <c:pt idx="150">
                  <c:v>413.83101851851842</c:v>
                </c:pt>
                <c:pt idx="151">
                  <c:v>416.72453703703701</c:v>
                </c:pt>
                <c:pt idx="152">
                  <c:v>419.61805555555549</c:v>
                </c:pt>
                <c:pt idx="153">
                  <c:v>422.51157407407391</c:v>
                </c:pt>
                <c:pt idx="154">
                  <c:v>425.40509259259238</c:v>
                </c:pt>
                <c:pt idx="155">
                  <c:v>428.29861111111109</c:v>
                </c:pt>
                <c:pt idx="156">
                  <c:v>431.19212962962968</c:v>
                </c:pt>
                <c:pt idx="157">
                  <c:v>434.08564814814821</c:v>
                </c:pt>
                <c:pt idx="158">
                  <c:v>436.97916666666669</c:v>
                </c:pt>
                <c:pt idx="159">
                  <c:v>439.87268518518522</c:v>
                </c:pt>
                <c:pt idx="160">
                  <c:v>442.7662037037037</c:v>
                </c:pt>
                <c:pt idx="161">
                  <c:v>445.65972222222229</c:v>
                </c:pt>
                <c:pt idx="162">
                  <c:v>448.55324074074082</c:v>
                </c:pt>
                <c:pt idx="163">
                  <c:v>451.44675925925912</c:v>
                </c:pt>
                <c:pt idx="164">
                  <c:v>454.34027777777771</c:v>
                </c:pt>
                <c:pt idx="165">
                  <c:v>457.23379629629608</c:v>
                </c:pt>
                <c:pt idx="166">
                  <c:v>460.12731481481472</c:v>
                </c:pt>
                <c:pt idx="167">
                  <c:v>463.02083333333331</c:v>
                </c:pt>
                <c:pt idx="168">
                  <c:v>465.91435185185179</c:v>
                </c:pt>
                <c:pt idx="169">
                  <c:v>468.80787037037032</c:v>
                </c:pt>
                <c:pt idx="170">
                  <c:v>471.70138888888891</c:v>
                </c:pt>
                <c:pt idx="171">
                  <c:v>474.59490740740728</c:v>
                </c:pt>
                <c:pt idx="172">
                  <c:v>477.48842592592592</c:v>
                </c:pt>
                <c:pt idx="173">
                  <c:v>480.38194444444429</c:v>
                </c:pt>
                <c:pt idx="174">
                  <c:v>483.27546296296299</c:v>
                </c:pt>
                <c:pt idx="175">
                  <c:v>486.16898148148152</c:v>
                </c:pt>
                <c:pt idx="176">
                  <c:v>489.0625</c:v>
                </c:pt>
                <c:pt idx="177">
                  <c:v>491.95601851851842</c:v>
                </c:pt>
                <c:pt idx="178">
                  <c:v>494.84953703703701</c:v>
                </c:pt>
                <c:pt idx="179">
                  <c:v>497.74305555555549</c:v>
                </c:pt>
                <c:pt idx="180">
                  <c:v>500.63657407407391</c:v>
                </c:pt>
                <c:pt idx="181">
                  <c:v>503.53009259259238</c:v>
                </c:pt>
                <c:pt idx="182">
                  <c:v>506.42361111111109</c:v>
                </c:pt>
                <c:pt idx="183">
                  <c:v>509.31712962962968</c:v>
                </c:pt>
                <c:pt idx="184">
                  <c:v>512.21064814814815</c:v>
                </c:pt>
                <c:pt idx="185">
                  <c:v>515.10416666666686</c:v>
                </c:pt>
                <c:pt idx="186">
                  <c:v>517.99768518518499</c:v>
                </c:pt>
                <c:pt idx="187">
                  <c:v>520.89120370370335</c:v>
                </c:pt>
                <c:pt idx="188">
                  <c:v>523.78472222222251</c:v>
                </c:pt>
                <c:pt idx="189">
                  <c:v>526.67824074074076</c:v>
                </c:pt>
                <c:pt idx="190">
                  <c:v>529.57175925925935</c:v>
                </c:pt>
                <c:pt idx="191">
                  <c:v>532.46527777777783</c:v>
                </c:pt>
                <c:pt idx="192">
                  <c:v>535.35879629629653</c:v>
                </c:pt>
                <c:pt idx="193">
                  <c:v>538.25231481481455</c:v>
                </c:pt>
                <c:pt idx="194">
                  <c:v>541.14583333333337</c:v>
                </c:pt>
                <c:pt idx="195">
                  <c:v>544.03935185185185</c:v>
                </c:pt>
                <c:pt idx="196">
                  <c:v>546.93287037037055</c:v>
                </c:pt>
                <c:pt idx="197">
                  <c:v>549.82638888888869</c:v>
                </c:pt>
                <c:pt idx="198">
                  <c:v>552.7199074074075</c:v>
                </c:pt>
                <c:pt idx="199">
                  <c:v>555.61342592592587</c:v>
                </c:pt>
                <c:pt idx="200">
                  <c:v>558.50694444444446</c:v>
                </c:pt>
                <c:pt idx="201">
                  <c:v>561.40046296296305</c:v>
                </c:pt>
                <c:pt idx="202">
                  <c:v>564.29398148148152</c:v>
                </c:pt>
                <c:pt idx="203">
                  <c:v>567.1875</c:v>
                </c:pt>
                <c:pt idx="204">
                  <c:v>570.08101851851859</c:v>
                </c:pt>
                <c:pt idx="205">
                  <c:v>572.97453703703741</c:v>
                </c:pt>
                <c:pt idx="206">
                  <c:v>575.86805555555543</c:v>
                </c:pt>
                <c:pt idx="207">
                  <c:v>578.76157407407413</c:v>
                </c:pt>
                <c:pt idx="208">
                  <c:v>581.65509259259261</c:v>
                </c:pt>
                <c:pt idx="209">
                  <c:v>584.54861111111109</c:v>
                </c:pt>
                <c:pt idx="210">
                  <c:v>587.44212962962933</c:v>
                </c:pt>
                <c:pt idx="211">
                  <c:v>590.33564814814804</c:v>
                </c:pt>
                <c:pt idx="212">
                  <c:v>593.22916666666686</c:v>
                </c:pt>
                <c:pt idx="213">
                  <c:v>596.12268518518488</c:v>
                </c:pt>
                <c:pt idx="214">
                  <c:v>599.01620370370335</c:v>
                </c:pt>
                <c:pt idx="215">
                  <c:v>601.90972222222217</c:v>
                </c:pt>
                <c:pt idx="216">
                  <c:v>604.80324074074042</c:v>
                </c:pt>
                <c:pt idx="217">
                  <c:v>607.69675925925935</c:v>
                </c:pt>
                <c:pt idx="218">
                  <c:v>610.59027777777806</c:v>
                </c:pt>
                <c:pt idx="219">
                  <c:v>613.48379629629665</c:v>
                </c:pt>
                <c:pt idx="220">
                  <c:v>616.37731481481467</c:v>
                </c:pt>
                <c:pt idx="221">
                  <c:v>619.27083333333371</c:v>
                </c:pt>
                <c:pt idx="222">
                  <c:v>622.16435185185185</c:v>
                </c:pt>
                <c:pt idx="223">
                  <c:v>625.05787037037055</c:v>
                </c:pt>
                <c:pt idx="224">
                  <c:v>627.95138888888869</c:v>
                </c:pt>
                <c:pt idx="225">
                  <c:v>630.84490740740739</c:v>
                </c:pt>
                <c:pt idx="226">
                  <c:v>633.73842592592598</c:v>
                </c:pt>
                <c:pt idx="227">
                  <c:v>636.63194444444446</c:v>
                </c:pt>
                <c:pt idx="228">
                  <c:v>639.52546296296305</c:v>
                </c:pt>
                <c:pt idx="229">
                  <c:v>642.41898148148141</c:v>
                </c:pt>
                <c:pt idx="230">
                  <c:v>645.31249999999977</c:v>
                </c:pt>
                <c:pt idx="231">
                  <c:v>648.20601851851859</c:v>
                </c:pt>
                <c:pt idx="232">
                  <c:v>651.09953703703741</c:v>
                </c:pt>
                <c:pt idx="233">
                  <c:v>653.99305555555554</c:v>
                </c:pt>
                <c:pt idx="234">
                  <c:v>656.88657407407402</c:v>
                </c:pt>
                <c:pt idx="235">
                  <c:v>659.78009259259284</c:v>
                </c:pt>
                <c:pt idx="236">
                  <c:v>662.67361111111109</c:v>
                </c:pt>
                <c:pt idx="237">
                  <c:v>665.56712962962933</c:v>
                </c:pt>
                <c:pt idx="238">
                  <c:v>668.46064814814804</c:v>
                </c:pt>
                <c:pt idx="239">
                  <c:v>671.35416666666663</c:v>
                </c:pt>
                <c:pt idx="240">
                  <c:v>674.24768518518488</c:v>
                </c:pt>
              </c:numCache>
            </c:numRef>
          </c:xVal>
          <c:yVal>
            <c:numRef>
              <c:f>MaxElongation!$I$2:$I$242</c:f>
              <c:numCache>
                <c:formatCode>General</c:formatCode>
                <c:ptCount val="241"/>
                <c:pt idx="0">
                  <c:v>0</c:v>
                </c:pt>
                <c:pt idx="1">
                  <c:v>0.46746690584194001</c:v>
                </c:pt>
                <c:pt idx="2">
                  <c:v>0.46511844517152001</c:v>
                </c:pt>
                <c:pt idx="3">
                  <c:v>0.45264410843656</c:v>
                </c:pt>
                <c:pt idx="4">
                  <c:v>0.44755049677636</c:v>
                </c:pt>
                <c:pt idx="5">
                  <c:v>0.46100753209158002</c:v>
                </c:pt>
                <c:pt idx="6">
                  <c:v>0.46591117727513998</c:v>
                </c:pt>
                <c:pt idx="7">
                  <c:v>0.46677440695304001</c:v>
                </c:pt>
                <c:pt idx="8">
                  <c:v>0.46777053457938</c:v>
                </c:pt>
                <c:pt idx="9">
                  <c:v>0.46951352990202999</c:v>
                </c:pt>
                <c:pt idx="10">
                  <c:v>0.47111935492479001</c:v>
                </c:pt>
                <c:pt idx="11">
                  <c:v>0.47264590875425</c:v>
                </c:pt>
                <c:pt idx="12">
                  <c:v>0.47412637795369</c:v>
                </c:pt>
                <c:pt idx="13">
                  <c:v>0.47556497316954</c:v>
                </c:pt>
                <c:pt idx="14">
                  <c:v>0.47696562196293002</c:v>
                </c:pt>
                <c:pt idx="15">
                  <c:v>0.4783333188701</c:v>
                </c:pt>
                <c:pt idx="16">
                  <c:v>0.47967048152503999</c:v>
                </c:pt>
                <c:pt idx="17">
                  <c:v>0.48098078945929001</c:v>
                </c:pt>
                <c:pt idx="18">
                  <c:v>0.4822708993057</c:v>
                </c:pt>
                <c:pt idx="19">
                  <c:v>0.48354156087158001</c:v>
                </c:pt>
                <c:pt idx="20">
                  <c:v>0.48479437108961998</c:v>
                </c:pt>
                <c:pt idx="21">
                  <c:v>0.48603078568287</c:v>
                </c:pt>
                <c:pt idx="22">
                  <c:v>0.48725213681927998</c:v>
                </c:pt>
                <c:pt idx="23">
                  <c:v>0.48845969011915003</c:v>
                </c:pt>
                <c:pt idx="24">
                  <c:v>0.48965434041215999</c:v>
                </c:pt>
                <c:pt idx="25">
                  <c:v>0.49083681165242998</c:v>
                </c:pt>
                <c:pt idx="26">
                  <c:v>0.49200768443458998</c:v>
                </c:pt>
                <c:pt idx="27">
                  <c:v>0.49316749107249003</c:v>
                </c:pt>
                <c:pt idx="28">
                  <c:v>0.49431676831834997</c:v>
                </c:pt>
                <c:pt idx="29">
                  <c:v>0.49545633060003003</c:v>
                </c:pt>
                <c:pt idx="30">
                  <c:v>0.49658671944371002</c:v>
                </c:pt>
                <c:pt idx="31">
                  <c:v>0.49770817706525</c:v>
                </c:pt>
                <c:pt idx="32">
                  <c:v>0.49882099045867001</c:v>
                </c:pt>
                <c:pt idx="33">
                  <c:v>0.49992536810798999</c:v>
                </c:pt>
                <c:pt idx="34">
                  <c:v>0.50102168509208</c:v>
                </c:pt>
                <c:pt idx="35">
                  <c:v>0.50211051138974006</c:v>
                </c:pt>
                <c:pt idx="36">
                  <c:v>0.50319214447979999</c:v>
                </c:pt>
                <c:pt idx="37">
                  <c:v>0.50426663425324003</c:v>
                </c:pt>
                <c:pt idx="38">
                  <c:v>0.50533420004772001</c:v>
                </c:pt>
                <c:pt idx="39">
                  <c:v>0.50639510531375997</c:v>
                </c:pt>
                <c:pt idx="40">
                  <c:v>0.50744967111101003</c:v>
                </c:pt>
                <c:pt idx="41">
                  <c:v>0.50849787852164996</c:v>
                </c:pt>
                <c:pt idx="42">
                  <c:v>0.50953986263664997</c:v>
                </c:pt>
                <c:pt idx="43">
                  <c:v>0.51057584199854</c:v>
                </c:pt>
                <c:pt idx="44">
                  <c:v>0.51160614894477996</c:v>
                </c:pt>
                <c:pt idx="45">
                  <c:v>0.51263091716099995</c:v>
                </c:pt>
                <c:pt idx="46">
                  <c:v>0.51365031470516997</c:v>
                </c:pt>
                <c:pt idx="47">
                  <c:v>0.51466440482261</c:v>
                </c:pt>
                <c:pt idx="48">
                  <c:v>0.51563002064079</c:v>
                </c:pt>
                <c:pt idx="49">
                  <c:v>0.51641475646556001</c:v>
                </c:pt>
                <c:pt idx="50">
                  <c:v>0.51717618337629001</c:v>
                </c:pt>
                <c:pt idx="51">
                  <c:v>0.51792354065773005</c:v>
                </c:pt>
                <c:pt idx="52">
                  <c:v>0.51865648089049998</c:v>
                </c:pt>
                <c:pt idx="53">
                  <c:v>0.51937590145781998</c:v>
                </c:pt>
                <c:pt idx="54">
                  <c:v>0.52008228596831996</c:v>
                </c:pt>
                <c:pt idx="55">
                  <c:v>0.52077602768959996</c:v>
                </c:pt>
                <c:pt idx="56">
                  <c:v>0.52145738257860996</c:v>
                </c:pt>
                <c:pt idx="57">
                  <c:v>0.52212660532739996</c:v>
                </c:pt>
                <c:pt idx="58">
                  <c:v>0.52278392729196999</c:v>
                </c:pt>
                <c:pt idx="59">
                  <c:v>0.52342951609573996</c:v>
                </c:pt>
                <c:pt idx="60">
                  <c:v>0.52406357131175996</c:v>
                </c:pt>
                <c:pt idx="61">
                  <c:v>0.52468450714917003</c:v>
                </c:pt>
                <c:pt idx="62">
                  <c:v>0.52529593175400002</c:v>
                </c:pt>
                <c:pt idx="63">
                  <c:v>0.52589635338980001</c:v>
                </c:pt>
                <c:pt idx="64">
                  <c:v>0.52648584155293998</c:v>
                </c:pt>
                <c:pt idx="65">
                  <c:v>0.52706451104440999</c:v>
                </c:pt>
                <c:pt idx="66">
                  <c:v>0.52763253346049999</c:v>
                </c:pt>
                <c:pt idx="67">
                  <c:v>0.52819000222382995</c:v>
                </c:pt>
                <c:pt idx="68">
                  <c:v>0.52873701662845995</c:v>
                </c:pt>
                <c:pt idx="69">
                  <c:v>0.52927370960335995</c:v>
                </c:pt>
                <c:pt idx="70">
                  <c:v>0.52980017772729004</c:v>
                </c:pt>
                <c:pt idx="71">
                  <c:v>0.53031651632151</c:v>
                </c:pt>
                <c:pt idx="72">
                  <c:v>0.53082281483310001</c:v>
                </c:pt>
                <c:pt idx="73">
                  <c:v>0.53131917822068997</c:v>
                </c:pt>
                <c:pt idx="74">
                  <c:v>0.53180568589468002</c:v>
                </c:pt>
                <c:pt idx="75">
                  <c:v>0.53228241865457004</c:v>
                </c:pt>
                <c:pt idx="76">
                  <c:v>0.53274946823036995</c:v>
                </c:pt>
                <c:pt idx="77">
                  <c:v>0.53320689460149995</c:v>
                </c:pt>
                <c:pt idx="78">
                  <c:v>0.53365480761503004</c:v>
                </c:pt>
                <c:pt idx="79">
                  <c:v>0.53409324367724997</c:v>
                </c:pt>
                <c:pt idx="80">
                  <c:v>0.53452227903912997</c:v>
                </c:pt>
                <c:pt idx="81">
                  <c:v>0.53494198830267004</c:v>
                </c:pt>
                <c:pt idx="82">
                  <c:v>0.53535242914849002</c:v>
                </c:pt>
                <c:pt idx="83">
                  <c:v>0.53575366960812998</c:v>
                </c:pt>
                <c:pt idx="84">
                  <c:v>0.53614576845965001</c:v>
                </c:pt>
                <c:pt idx="85">
                  <c:v>0.53652877755726003</c:v>
                </c:pt>
                <c:pt idx="86">
                  <c:v>0.53690276343355003</c:v>
                </c:pt>
                <c:pt idx="87">
                  <c:v>0.53726776461248005</c:v>
                </c:pt>
                <c:pt idx="88">
                  <c:v>0.53762385456132</c:v>
                </c:pt>
                <c:pt idx="89">
                  <c:v>0.53797107043388004</c:v>
                </c:pt>
                <c:pt idx="90">
                  <c:v>0.53830946684134995</c:v>
                </c:pt>
                <c:pt idx="91">
                  <c:v>0.53863907513461995</c:v>
                </c:pt>
                <c:pt idx="92">
                  <c:v>0.53933867538334002</c:v>
                </c:pt>
                <c:pt idx="93">
                  <c:v>0.54015692841922003</c:v>
                </c:pt>
                <c:pt idx="94">
                  <c:v>0.54098711488258</c:v>
                </c:pt>
                <c:pt idx="95">
                  <c:v>0.54182220503605005</c:v>
                </c:pt>
                <c:pt idx="96">
                  <c:v>0.54266224222196002</c:v>
                </c:pt>
                <c:pt idx="97">
                  <c:v>0.54350723380747001</c:v>
                </c:pt>
                <c:pt idx="98">
                  <c:v>0.54435717900153002</c:v>
                </c:pt>
                <c:pt idx="99">
                  <c:v>0.54521207205694999</c:v>
                </c:pt>
                <c:pt idx="100">
                  <c:v>0.54607190414057005</c:v>
                </c:pt>
                <c:pt idx="101">
                  <c:v>0.54693667242313004</c:v>
                </c:pt>
                <c:pt idx="102">
                  <c:v>0.54780875726778</c:v>
                </c:pt>
                <c:pt idx="103">
                  <c:v>0.54866399164305002</c:v>
                </c:pt>
                <c:pt idx="104">
                  <c:v>0.54940091265274005</c:v>
                </c:pt>
                <c:pt idx="105">
                  <c:v>0.54999866689149002</c:v>
                </c:pt>
                <c:pt idx="106">
                  <c:v>0.55047707115764999</c:v>
                </c:pt>
                <c:pt idx="107">
                  <c:v>0.55086545056794001</c:v>
                </c:pt>
                <c:pt idx="108">
                  <c:v>0.55122188542965</c:v>
                </c:pt>
                <c:pt idx="109">
                  <c:v>0.55154913566288999</c:v>
                </c:pt>
                <c:pt idx="110">
                  <c:v>0.55184321375193002</c:v>
                </c:pt>
                <c:pt idx="111">
                  <c:v>0.55210974597271001</c:v>
                </c:pt>
                <c:pt idx="112">
                  <c:v>0.55234467466825998</c:v>
                </c:pt>
                <c:pt idx="113">
                  <c:v>0.55255063780790004</c:v>
                </c:pt>
                <c:pt idx="114">
                  <c:v>0.55272737752643997</c:v>
                </c:pt>
                <c:pt idx="115">
                  <c:v>0.55287269120615001</c:v>
                </c:pt>
                <c:pt idx="116">
                  <c:v>0.55298981720081997</c:v>
                </c:pt>
                <c:pt idx="117">
                  <c:v>0.55307573770478002</c:v>
                </c:pt>
                <c:pt idx="118">
                  <c:v>0.55313638801658005</c:v>
                </c:pt>
                <c:pt idx="119">
                  <c:v>0.55316778679254996</c:v>
                </c:pt>
                <c:pt idx="120">
                  <c:v>0.55320151130233997</c:v>
                </c:pt>
                <c:pt idx="121">
                  <c:v>0.55322122492615999</c:v>
                </c:pt>
                <c:pt idx="122">
                  <c:v>0.55323832481541002</c:v>
                </c:pt>
                <c:pt idx="123">
                  <c:v>0.55325847058607003</c:v>
                </c:pt>
                <c:pt idx="124">
                  <c:v>0.55329262667943002</c:v>
                </c:pt>
                <c:pt idx="125">
                  <c:v>0.55332976335061002</c:v>
                </c:pt>
                <c:pt idx="126">
                  <c:v>0.55336707544663</c:v>
                </c:pt>
                <c:pt idx="127">
                  <c:v>0.55342128647588995</c:v>
                </c:pt>
                <c:pt idx="128">
                  <c:v>0.55347880396912996</c:v>
                </c:pt>
                <c:pt idx="129">
                  <c:v>0.55354021898725003</c:v>
                </c:pt>
                <c:pt idx="130">
                  <c:v>0.55360937945499999</c:v>
                </c:pt>
                <c:pt idx="131">
                  <c:v>0.55368736350749004</c:v>
                </c:pt>
                <c:pt idx="132">
                  <c:v>0.55377402415426003</c:v>
                </c:pt>
                <c:pt idx="133">
                  <c:v>0.55386010782219997</c:v>
                </c:pt>
                <c:pt idx="134">
                  <c:v>0.55479935095527999</c:v>
                </c:pt>
                <c:pt idx="135">
                  <c:v>0.55570867549810998</c:v>
                </c:pt>
                <c:pt idx="136">
                  <c:v>0.55661792689787004</c:v>
                </c:pt>
                <c:pt idx="137">
                  <c:v>0.55750567209443003</c:v>
                </c:pt>
                <c:pt idx="138">
                  <c:v>0.55837819014770995</c:v>
                </c:pt>
                <c:pt idx="139">
                  <c:v>0.55924137518146999</c:v>
                </c:pt>
                <c:pt idx="140">
                  <c:v>0.56008354348867995</c:v>
                </c:pt>
                <c:pt idx="141">
                  <c:v>0.56091065840761001</c:v>
                </c:pt>
                <c:pt idx="142">
                  <c:v>0.56172360425414003</c:v>
                </c:pt>
                <c:pt idx="143">
                  <c:v>0.56252226645864001</c:v>
                </c:pt>
                <c:pt idx="144">
                  <c:v>0.56330480771735003</c:v>
                </c:pt>
                <c:pt idx="145">
                  <c:v>0.56408153081379997</c:v>
                </c:pt>
                <c:pt idx="146">
                  <c:v>0.56484022330950001</c:v>
                </c:pt>
                <c:pt idx="147">
                  <c:v>0.56558813373702999</c:v>
                </c:pt>
                <c:pt idx="148">
                  <c:v>0.56632748678574996</c:v>
                </c:pt>
                <c:pt idx="149">
                  <c:v>0.56705318778810998</c:v>
                </c:pt>
                <c:pt idx="150">
                  <c:v>0.56776949824441003</c:v>
                </c:pt>
                <c:pt idx="151">
                  <c:v>0.56848209116244997</c:v>
                </c:pt>
                <c:pt idx="152">
                  <c:v>0.56917807496178996</c:v>
                </c:pt>
                <c:pt idx="153">
                  <c:v>0.56987172361503002</c:v>
                </c:pt>
                <c:pt idx="154">
                  <c:v>0.57055138382439996</c:v>
                </c:pt>
                <c:pt idx="155">
                  <c:v>0.57122634589082999</c:v>
                </c:pt>
                <c:pt idx="156">
                  <c:v>0.57189743166289997</c:v>
                </c:pt>
                <c:pt idx="157">
                  <c:v>0.57255388757959003</c:v>
                </c:pt>
                <c:pt idx="158">
                  <c:v>0.57322022392150995</c:v>
                </c:pt>
                <c:pt idx="159">
                  <c:v>0.57387819958467001</c:v>
                </c:pt>
                <c:pt idx="160">
                  <c:v>0.57454450261479995</c:v>
                </c:pt>
                <c:pt idx="161">
                  <c:v>0.57519313453418996</c:v>
                </c:pt>
                <c:pt idx="162">
                  <c:v>0.57584227332772997</c:v>
                </c:pt>
                <c:pt idx="163">
                  <c:v>0.57650052996408996</c:v>
                </c:pt>
                <c:pt idx="164">
                  <c:v>0.57716632891707997</c:v>
                </c:pt>
                <c:pt idx="165">
                  <c:v>0.57783003877188999</c:v>
                </c:pt>
                <c:pt idx="166">
                  <c:v>0.57847884932257998</c:v>
                </c:pt>
                <c:pt idx="167">
                  <c:v>0.57913505226216999</c:v>
                </c:pt>
                <c:pt idx="168">
                  <c:v>0.57978932906308001</c:v>
                </c:pt>
                <c:pt idx="169">
                  <c:v>0.58045695854418999</c:v>
                </c:pt>
                <c:pt idx="170">
                  <c:v>0.58111823612969005</c:v>
                </c:pt>
                <c:pt idx="171">
                  <c:v>0.58176726803881995</c:v>
                </c:pt>
                <c:pt idx="172">
                  <c:v>0.58242155801784001</c:v>
                </c:pt>
                <c:pt idx="173">
                  <c:v>0.58308383641729</c:v>
                </c:pt>
                <c:pt idx="174">
                  <c:v>0.58373803227660004</c:v>
                </c:pt>
                <c:pt idx="175">
                  <c:v>0.58438669958754996</c:v>
                </c:pt>
                <c:pt idx="176">
                  <c:v>0.58504483257080997</c:v>
                </c:pt>
                <c:pt idx="177">
                  <c:v>0.58569930431449002</c:v>
                </c:pt>
                <c:pt idx="178">
                  <c:v>0.58635282877857997</c:v>
                </c:pt>
                <c:pt idx="179">
                  <c:v>0.58748568232904996</c:v>
                </c:pt>
                <c:pt idx="180">
                  <c:v>0.58923939135645997</c:v>
                </c:pt>
                <c:pt idx="181">
                  <c:v>0.59092774500856005</c:v>
                </c:pt>
                <c:pt idx="182">
                  <c:v>0.59256712880536</c:v>
                </c:pt>
                <c:pt idx="183">
                  <c:v>0.59415565628418998</c:v>
                </c:pt>
                <c:pt idx="184">
                  <c:v>0.59569975298274003</c:v>
                </c:pt>
                <c:pt idx="185">
                  <c:v>0.59718101006722002</c:v>
                </c:pt>
                <c:pt idx="186">
                  <c:v>0.59862711043412997</c:v>
                </c:pt>
                <c:pt idx="187">
                  <c:v>0.60003812627911002</c:v>
                </c:pt>
                <c:pt idx="188">
                  <c:v>0.60140622661669996</c:v>
                </c:pt>
                <c:pt idx="189">
                  <c:v>0.60273841044915999</c:v>
                </c:pt>
                <c:pt idx="190">
                  <c:v>0.60403692535137998</c:v>
                </c:pt>
                <c:pt idx="191">
                  <c:v>0.60530464871379996</c:v>
                </c:pt>
                <c:pt idx="192">
                  <c:v>0.60655141349959996</c:v>
                </c:pt>
                <c:pt idx="193">
                  <c:v>0.60774617869742997</c:v>
                </c:pt>
                <c:pt idx="194">
                  <c:v>0.60892629916909002</c:v>
                </c:pt>
                <c:pt idx="195">
                  <c:v>0.61008327460744005</c:v>
                </c:pt>
                <c:pt idx="196">
                  <c:v>0.61121880954704999</c:v>
                </c:pt>
                <c:pt idx="197">
                  <c:v>0.61233428529752998</c:v>
                </c:pt>
                <c:pt idx="198">
                  <c:v>0.61345766533170998</c:v>
                </c:pt>
                <c:pt idx="199">
                  <c:v>0.61450110679017</c:v>
                </c:pt>
                <c:pt idx="200">
                  <c:v>0.61555920083912996</c:v>
                </c:pt>
                <c:pt idx="201">
                  <c:v>0.61660239910461001</c:v>
                </c:pt>
                <c:pt idx="202">
                  <c:v>0.61763523488472005</c:v>
                </c:pt>
                <c:pt idx="203">
                  <c:v>0.61864288329709005</c:v>
                </c:pt>
                <c:pt idx="204">
                  <c:v>0.61964290947455003</c:v>
                </c:pt>
                <c:pt idx="205">
                  <c:v>0.62063212863412998</c:v>
                </c:pt>
                <c:pt idx="206">
                  <c:v>0.62158833846413997</c:v>
                </c:pt>
                <c:pt idx="207">
                  <c:v>0.62282249694757996</c:v>
                </c:pt>
                <c:pt idx="208">
                  <c:v>0.62359126456985003</c:v>
                </c:pt>
                <c:pt idx="209">
                  <c:v>0.62458100990194998</c:v>
                </c:pt>
                <c:pt idx="210">
                  <c:v>0.62551085341724999</c:v>
                </c:pt>
                <c:pt idx="211">
                  <c:v>0.62626244834566003</c:v>
                </c:pt>
                <c:pt idx="212">
                  <c:v>0.62692192980257999</c:v>
                </c:pt>
                <c:pt idx="213">
                  <c:v>0.62793908191202996</c:v>
                </c:pt>
                <c:pt idx="214">
                  <c:v>0.62816567845384996</c:v>
                </c:pt>
                <c:pt idx="215">
                  <c:v>0.62884410651633005</c:v>
                </c:pt>
                <c:pt idx="216">
                  <c:v>0.62968360128685996</c:v>
                </c:pt>
                <c:pt idx="217">
                  <c:v>0.63050332098659001</c:v>
                </c:pt>
                <c:pt idx="218">
                  <c:v>0.63114123906427</c:v>
                </c:pt>
                <c:pt idx="219">
                  <c:v>0.63158419809258004</c:v>
                </c:pt>
                <c:pt idx="220">
                  <c:v>0.63266983380241004</c:v>
                </c:pt>
                <c:pt idx="221">
                  <c:v>0.63397310977401</c:v>
                </c:pt>
                <c:pt idx="222">
                  <c:v>0.63538040081647995</c:v>
                </c:pt>
                <c:pt idx="223">
                  <c:v>0.63685225415695002</c:v>
                </c:pt>
                <c:pt idx="224">
                  <c:v>0.63825389092535001</c:v>
                </c:pt>
                <c:pt idx="225">
                  <c:v>0.63975028120121002</c:v>
                </c:pt>
                <c:pt idx="226">
                  <c:v>0.64125380318347003</c:v>
                </c:pt>
                <c:pt idx="227">
                  <c:v>0.64247258067024005</c:v>
                </c:pt>
                <c:pt idx="228">
                  <c:v>0.64339690884042</c:v>
                </c:pt>
                <c:pt idx="229">
                  <c:v>0.64421331652224001</c:v>
                </c:pt>
                <c:pt idx="230">
                  <c:v>0.64495614627997</c:v>
                </c:pt>
                <c:pt idx="231">
                  <c:v>0.64563558937110999</c:v>
                </c:pt>
                <c:pt idx="232">
                  <c:v>0.64627019280700004</c:v>
                </c:pt>
                <c:pt idx="233">
                  <c:v>0.64684867215691999</c:v>
                </c:pt>
                <c:pt idx="234">
                  <c:v>0.64740244377987999</c:v>
                </c:pt>
                <c:pt idx="235">
                  <c:v>0.64792876794225995</c:v>
                </c:pt>
                <c:pt idx="236">
                  <c:v>0.64843012850522996</c:v>
                </c:pt>
                <c:pt idx="237">
                  <c:v>0.64890910042746996</c:v>
                </c:pt>
                <c:pt idx="238">
                  <c:v>0.64936149575463997</c:v>
                </c:pt>
                <c:pt idx="239">
                  <c:v>0.64979336910600005</c:v>
                </c:pt>
                <c:pt idx="240">
                  <c:v>0.65019734410306995</c:v>
                </c:pt>
              </c:numCache>
            </c:numRef>
          </c:yVal>
          <c:smooth val="1"/>
        </c:ser>
        <c:dLbls>
          <c:showLegendKey val="0"/>
          <c:showVal val="0"/>
          <c:showCatName val="0"/>
          <c:showSerName val="0"/>
          <c:showPercent val="0"/>
          <c:showBubbleSize val="0"/>
        </c:dLbls>
        <c:axId val="135001984"/>
        <c:axId val="135139328"/>
      </c:scatterChart>
      <c:valAx>
        <c:axId val="135001984"/>
        <c:scaling>
          <c:orientation val="minMax"/>
          <c:max val="700"/>
          <c:min val="0"/>
        </c:scaling>
        <c:delete val="0"/>
        <c:axPos val="b"/>
        <c:majorGridlines>
          <c:spPr>
            <a:ln>
              <a:prstDash val="sysDash"/>
            </a:ln>
          </c:spPr>
        </c:majorGridlines>
        <c:title>
          <c:tx>
            <c:rich>
              <a:bodyPr/>
              <a:lstStyle/>
              <a:p>
                <a:pPr>
                  <a:defRPr/>
                </a:pPr>
                <a:r>
                  <a:rPr lang="en-US"/>
                  <a:t>Time</a:t>
                </a:r>
                <a:r>
                  <a:rPr lang="en-US" baseline="0"/>
                  <a:t> (EFPD)</a:t>
                </a:r>
                <a:endParaRPr lang="en-US"/>
              </a:p>
            </c:rich>
          </c:tx>
          <c:layout>
            <c:manualLayout>
              <c:xMode val="edge"/>
              <c:yMode val="edge"/>
              <c:x val="0.44588261905486598"/>
              <c:y val="0.92148735392953296"/>
            </c:manualLayout>
          </c:layout>
          <c:overlay val="0"/>
        </c:title>
        <c:numFmt formatCode="#,##0" sourceLinked="0"/>
        <c:majorTickMark val="out"/>
        <c:minorTickMark val="none"/>
        <c:tickLblPos val="nextTo"/>
        <c:crossAx val="135139328"/>
        <c:crosses val="autoZero"/>
        <c:crossBetween val="midCat"/>
        <c:majorUnit val="100"/>
      </c:valAx>
      <c:valAx>
        <c:axId val="135139328"/>
        <c:scaling>
          <c:orientation val="minMax"/>
        </c:scaling>
        <c:delete val="0"/>
        <c:axPos val="l"/>
        <c:majorGridlines>
          <c:spPr>
            <a:ln>
              <a:prstDash val="sysDash"/>
            </a:ln>
          </c:spPr>
        </c:majorGridlines>
        <c:title>
          <c:tx>
            <c:rich>
              <a:bodyPr rot="-5400000" vert="horz"/>
              <a:lstStyle/>
              <a:p>
                <a:pPr>
                  <a:defRPr/>
                </a:pPr>
                <a:r>
                  <a:rPr lang="en-US"/>
                  <a:t>Axial Displacement</a:t>
                </a:r>
                <a:r>
                  <a:rPr lang="en-US" baseline="0"/>
                  <a:t> (cm)</a:t>
                </a:r>
                <a:endParaRPr lang="en-US"/>
              </a:p>
            </c:rich>
          </c:tx>
          <c:layout/>
          <c:overlay val="0"/>
        </c:title>
        <c:numFmt formatCode="#,##0.0" sourceLinked="0"/>
        <c:majorTickMark val="out"/>
        <c:minorTickMark val="none"/>
        <c:tickLblPos val="nextTo"/>
        <c:crossAx val="135001984"/>
        <c:crosses val="autoZero"/>
        <c:crossBetween val="midCat"/>
      </c:valAx>
      <c:spPr>
        <a:ln>
          <a:solidFill>
            <a:sysClr val="windowText" lastClr="000000"/>
          </a:solidFill>
        </a:ln>
      </c:spPr>
    </c:plotArea>
    <c:legend>
      <c:legendPos val="r"/>
      <c:layout>
        <c:manualLayout>
          <c:xMode val="edge"/>
          <c:yMode val="edge"/>
          <c:x val="0.505939687174213"/>
          <c:y val="0.60528517871415299"/>
          <c:w val="0.380042318259324"/>
          <c:h val="0.186666244713938"/>
        </c:manualLayout>
      </c:layout>
      <c:overlay val="0"/>
      <c:spPr>
        <a:solidFill>
          <a:sysClr val="window" lastClr="FFFFFF"/>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autoTitleDeleted val="0"/>
    <c:plotArea>
      <c:layout>
        <c:manualLayout>
          <c:layoutTarget val="inner"/>
          <c:xMode val="edge"/>
          <c:yMode val="edge"/>
          <c:x val="0.13438083559227201"/>
          <c:y val="6.0185185185185203E-2"/>
          <c:w val="0.82122895769640103"/>
          <c:h val="0.77290593286932696"/>
        </c:manualLayout>
      </c:layout>
      <c:scatterChart>
        <c:scatterStyle val="lineMarker"/>
        <c:varyColors val="0"/>
        <c:ser>
          <c:idx val="0"/>
          <c:order val="0"/>
          <c:tx>
            <c:strRef>
              <c:f>MaxDiameterIncrease!$B$1</c:f>
              <c:strCache>
                <c:ptCount val="1"/>
                <c:pt idx="0">
                  <c:v>FeCrAl</c:v>
                </c:pt>
              </c:strCache>
            </c:strRef>
          </c:tx>
          <c:spPr>
            <a:ln w="38100"/>
          </c:spPr>
          <c:marker>
            <c:symbol val="none"/>
          </c:marker>
          <c:xVal>
            <c:numRef>
              <c:f>MaxDiameterIncrease!$F$2:$F$242</c:f>
              <c:numCache>
                <c:formatCode>0.00E+00</c:formatCode>
                <c:ptCount val="241"/>
                <c:pt idx="0">
                  <c:v>0</c:v>
                </c:pt>
                <c:pt idx="1">
                  <c:v>1.1574074074074099E-2</c:v>
                </c:pt>
                <c:pt idx="2">
                  <c:v>3.4722222222222203E-2</c:v>
                </c:pt>
                <c:pt idx="3">
                  <c:v>8.1018518518518504E-2</c:v>
                </c:pt>
                <c:pt idx="4">
                  <c:v>0.17361111111111099</c:v>
                </c:pt>
                <c:pt idx="5">
                  <c:v>0.358796296296296</c:v>
                </c:pt>
                <c:pt idx="6">
                  <c:v>0.72916666666666596</c:v>
                </c:pt>
                <c:pt idx="7">
                  <c:v>1.469907407407407</c:v>
                </c:pt>
                <c:pt idx="8">
                  <c:v>2.9513888888888871</c:v>
                </c:pt>
                <c:pt idx="9">
                  <c:v>5.8449074074074048</c:v>
                </c:pt>
                <c:pt idx="10">
                  <c:v>8.738425925925922</c:v>
                </c:pt>
                <c:pt idx="11">
                  <c:v>11.631944444444439</c:v>
                </c:pt>
                <c:pt idx="12">
                  <c:v>14.52546296296296</c:v>
                </c:pt>
                <c:pt idx="13">
                  <c:v>17.418981481481481</c:v>
                </c:pt>
                <c:pt idx="14">
                  <c:v>20.3125</c:v>
                </c:pt>
                <c:pt idx="15">
                  <c:v>23.206018518518519</c:v>
                </c:pt>
                <c:pt idx="16">
                  <c:v>26.09953703703702</c:v>
                </c:pt>
                <c:pt idx="17">
                  <c:v>28.993055555555561</c:v>
                </c:pt>
                <c:pt idx="18">
                  <c:v>31.88657407407408</c:v>
                </c:pt>
                <c:pt idx="19">
                  <c:v>34.780092592592567</c:v>
                </c:pt>
                <c:pt idx="20">
                  <c:v>37.673611111111107</c:v>
                </c:pt>
                <c:pt idx="21">
                  <c:v>40.567129629629633</c:v>
                </c:pt>
                <c:pt idx="22">
                  <c:v>43.460648148148152</c:v>
                </c:pt>
                <c:pt idx="23">
                  <c:v>46.354166666666622</c:v>
                </c:pt>
                <c:pt idx="24">
                  <c:v>49.247685185185183</c:v>
                </c:pt>
                <c:pt idx="25">
                  <c:v>52.141203703703702</c:v>
                </c:pt>
                <c:pt idx="26">
                  <c:v>55.034722222222221</c:v>
                </c:pt>
                <c:pt idx="27">
                  <c:v>57.92824074074074</c:v>
                </c:pt>
                <c:pt idx="28">
                  <c:v>60.821759259259252</c:v>
                </c:pt>
                <c:pt idx="29">
                  <c:v>63.715277777777779</c:v>
                </c:pt>
                <c:pt idx="30">
                  <c:v>66.608796296296234</c:v>
                </c:pt>
                <c:pt idx="31">
                  <c:v>69.502314814814767</c:v>
                </c:pt>
                <c:pt idx="32">
                  <c:v>72.3958333333333</c:v>
                </c:pt>
                <c:pt idx="33">
                  <c:v>75.289351851851805</c:v>
                </c:pt>
                <c:pt idx="34">
                  <c:v>78.182870370370324</c:v>
                </c:pt>
                <c:pt idx="35">
                  <c:v>81.076388888888829</c:v>
                </c:pt>
                <c:pt idx="36">
                  <c:v>83.969907407407433</c:v>
                </c:pt>
                <c:pt idx="37">
                  <c:v>86.863425925925924</c:v>
                </c:pt>
                <c:pt idx="38">
                  <c:v>89.756944444444443</c:v>
                </c:pt>
                <c:pt idx="39">
                  <c:v>92.650462962962948</c:v>
                </c:pt>
                <c:pt idx="40">
                  <c:v>95.543981481481481</c:v>
                </c:pt>
                <c:pt idx="41">
                  <c:v>98.4375</c:v>
                </c:pt>
                <c:pt idx="42">
                  <c:v>101.3310185185185</c:v>
                </c:pt>
                <c:pt idx="43">
                  <c:v>104.224537037037</c:v>
                </c:pt>
                <c:pt idx="44">
                  <c:v>107.1180555555555</c:v>
                </c:pt>
                <c:pt idx="45">
                  <c:v>110.0115740740741</c:v>
                </c:pt>
                <c:pt idx="46">
                  <c:v>112.9050925925926</c:v>
                </c:pt>
                <c:pt idx="47">
                  <c:v>115.7986111111111</c:v>
                </c:pt>
                <c:pt idx="48">
                  <c:v>118.6921296296296</c:v>
                </c:pt>
                <c:pt idx="49">
                  <c:v>121.5856481481481</c:v>
                </c:pt>
                <c:pt idx="50">
                  <c:v>124.4791666666667</c:v>
                </c:pt>
                <c:pt idx="51">
                  <c:v>127.3726851851852</c:v>
                </c:pt>
                <c:pt idx="52">
                  <c:v>130.2662037037037</c:v>
                </c:pt>
                <c:pt idx="53">
                  <c:v>133.1597222222222</c:v>
                </c:pt>
                <c:pt idx="54">
                  <c:v>136.0532407407407</c:v>
                </c:pt>
                <c:pt idx="55">
                  <c:v>138.94675925925921</c:v>
                </c:pt>
                <c:pt idx="56">
                  <c:v>141.8402777777778</c:v>
                </c:pt>
                <c:pt idx="57">
                  <c:v>144.7337962962963</c:v>
                </c:pt>
                <c:pt idx="58">
                  <c:v>147.62731481481481</c:v>
                </c:pt>
                <c:pt idx="59">
                  <c:v>150.5208333333334</c:v>
                </c:pt>
                <c:pt idx="60">
                  <c:v>153.41435185185179</c:v>
                </c:pt>
                <c:pt idx="61">
                  <c:v>156.30787037037041</c:v>
                </c:pt>
                <c:pt idx="62">
                  <c:v>159.201388888889</c:v>
                </c:pt>
                <c:pt idx="63">
                  <c:v>162.09490740740739</c:v>
                </c:pt>
                <c:pt idx="64">
                  <c:v>164.98842592592601</c:v>
                </c:pt>
                <c:pt idx="65">
                  <c:v>167.88194444444451</c:v>
                </c:pt>
                <c:pt idx="66">
                  <c:v>170.77546296296291</c:v>
                </c:pt>
                <c:pt idx="67">
                  <c:v>173.6689814814815</c:v>
                </c:pt>
                <c:pt idx="68">
                  <c:v>176.5625</c:v>
                </c:pt>
                <c:pt idx="69">
                  <c:v>179.4560185185185</c:v>
                </c:pt>
                <c:pt idx="70">
                  <c:v>182.34953703703701</c:v>
                </c:pt>
                <c:pt idx="71">
                  <c:v>185.2430555555554</c:v>
                </c:pt>
                <c:pt idx="72">
                  <c:v>188.13657407407399</c:v>
                </c:pt>
                <c:pt idx="73">
                  <c:v>191.03009259259261</c:v>
                </c:pt>
                <c:pt idx="74">
                  <c:v>193.92361111111109</c:v>
                </c:pt>
                <c:pt idx="75">
                  <c:v>196.81712962962959</c:v>
                </c:pt>
                <c:pt idx="76">
                  <c:v>199.7106481481481</c:v>
                </c:pt>
                <c:pt idx="77">
                  <c:v>202.6041666666666</c:v>
                </c:pt>
                <c:pt idx="78">
                  <c:v>205.49768518518519</c:v>
                </c:pt>
                <c:pt idx="79">
                  <c:v>208.39120370370381</c:v>
                </c:pt>
                <c:pt idx="80">
                  <c:v>211.2847222222222</c:v>
                </c:pt>
                <c:pt idx="81">
                  <c:v>214.1782407407407</c:v>
                </c:pt>
                <c:pt idx="82">
                  <c:v>217.07175925925921</c:v>
                </c:pt>
                <c:pt idx="83">
                  <c:v>219.9652777777778</c:v>
                </c:pt>
                <c:pt idx="84">
                  <c:v>222.8587962962963</c:v>
                </c:pt>
                <c:pt idx="85">
                  <c:v>225.75231481481481</c:v>
                </c:pt>
                <c:pt idx="86">
                  <c:v>228.64583333333329</c:v>
                </c:pt>
                <c:pt idx="87">
                  <c:v>231.53935185185179</c:v>
                </c:pt>
                <c:pt idx="88">
                  <c:v>234.43287037037041</c:v>
                </c:pt>
                <c:pt idx="89">
                  <c:v>237.326388888889</c:v>
                </c:pt>
                <c:pt idx="90">
                  <c:v>240.21990740740739</c:v>
                </c:pt>
                <c:pt idx="91">
                  <c:v>243.1134259259259</c:v>
                </c:pt>
                <c:pt idx="92">
                  <c:v>246.00694444444451</c:v>
                </c:pt>
                <c:pt idx="93">
                  <c:v>248.90046296296299</c:v>
                </c:pt>
                <c:pt idx="94">
                  <c:v>251.7939814814815</c:v>
                </c:pt>
                <c:pt idx="95">
                  <c:v>254.6875</c:v>
                </c:pt>
                <c:pt idx="96">
                  <c:v>257.58101851851842</c:v>
                </c:pt>
                <c:pt idx="97">
                  <c:v>260.47453703703701</c:v>
                </c:pt>
                <c:pt idx="98">
                  <c:v>263.36805555555549</c:v>
                </c:pt>
                <c:pt idx="99">
                  <c:v>266.26157407407391</c:v>
                </c:pt>
                <c:pt idx="100">
                  <c:v>269.15509259259261</c:v>
                </c:pt>
                <c:pt idx="101">
                  <c:v>272.04861111111109</c:v>
                </c:pt>
                <c:pt idx="102">
                  <c:v>274.94212962962962</c:v>
                </c:pt>
                <c:pt idx="103">
                  <c:v>277.83564814814821</c:v>
                </c:pt>
                <c:pt idx="104">
                  <c:v>280.72916666666669</c:v>
                </c:pt>
                <c:pt idx="105">
                  <c:v>283.62268518518522</c:v>
                </c:pt>
                <c:pt idx="106">
                  <c:v>286.5162037037037</c:v>
                </c:pt>
                <c:pt idx="107">
                  <c:v>289.40972222222211</c:v>
                </c:pt>
                <c:pt idx="108">
                  <c:v>292.30324074074082</c:v>
                </c:pt>
                <c:pt idx="109">
                  <c:v>295.19675925925912</c:v>
                </c:pt>
                <c:pt idx="110">
                  <c:v>298.0902777777776</c:v>
                </c:pt>
                <c:pt idx="111">
                  <c:v>300.98379629629608</c:v>
                </c:pt>
                <c:pt idx="112">
                  <c:v>303.87731481481472</c:v>
                </c:pt>
                <c:pt idx="113">
                  <c:v>306.77083333333331</c:v>
                </c:pt>
                <c:pt idx="114">
                  <c:v>309.66435185185202</c:v>
                </c:pt>
                <c:pt idx="115">
                  <c:v>312.55787037037032</c:v>
                </c:pt>
                <c:pt idx="116">
                  <c:v>315.45138888888891</c:v>
                </c:pt>
                <c:pt idx="117">
                  <c:v>318.34490740740739</c:v>
                </c:pt>
                <c:pt idx="118">
                  <c:v>321.23842592592592</c:v>
                </c:pt>
                <c:pt idx="119">
                  <c:v>324.13194444444429</c:v>
                </c:pt>
                <c:pt idx="120">
                  <c:v>327.02546296296299</c:v>
                </c:pt>
                <c:pt idx="121">
                  <c:v>329.91898148148141</c:v>
                </c:pt>
                <c:pt idx="122">
                  <c:v>332.8125</c:v>
                </c:pt>
                <c:pt idx="123">
                  <c:v>335.70601851851842</c:v>
                </c:pt>
                <c:pt idx="124">
                  <c:v>338.59953703703701</c:v>
                </c:pt>
                <c:pt idx="125">
                  <c:v>341.49305555555537</c:v>
                </c:pt>
                <c:pt idx="126">
                  <c:v>344.38657407407391</c:v>
                </c:pt>
                <c:pt idx="127">
                  <c:v>347.28009259259238</c:v>
                </c:pt>
                <c:pt idx="128">
                  <c:v>350.17361111111109</c:v>
                </c:pt>
                <c:pt idx="129">
                  <c:v>353.06712962962968</c:v>
                </c:pt>
                <c:pt idx="130">
                  <c:v>355.96064814814821</c:v>
                </c:pt>
                <c:pt idx="131">
                  <c:v>358.8541666666668</c:v>
                </c:pt>
                <c:pt idx="132">
                  <c:v>361.74768518518522</c:v>
                </c:pt>
                <c:pt idx="133">
                  <c:v>364.6412037037037</c:v>
                </c:pt>
                <c:pt idx="134">
                  <c:v>367.53472222222211</c:v>
                </c:pt>
                <c:pt idx="135">
                  <c:v>370.42824074074059</c:v>
                </c:pt>
                <c:pt idx="136">
                  <c:v>373.32175925925912</c:v>
                </c:pt>
                <c:pt idx="137">
                  <c:v>376.2152777777776</c:v>
                </c:pt>
                <c:pt idx="138">
                  <c:v>379.10879629629619</c:v>
                </c:pt>
                <c:pt idx="139">
                  <c:v>382.00231481481472</c:v>
                </c:pt>
                <c:pt idx="140">
                  <c:v>384.89583333333331</c:v>
                </c:pt>
                <c:pt idx="141">
                  <c:v>387.78935185185179</c:v>
                </c:pt>
                <c:pt idx="142">
                  <c:v>390.68287037037032</c:v>
                </c:pt>
                <c:pt idx="143">
                  <c:v>393.57638888888891</c:v>
                </c:pt>
                <c:pt idx="144">
                  <c:v>396.46990740740728</c:v>
                </c:pt>
                <c:pt idx="145">
                  <c:v>399.36342592592598</c:v>
                </c:pt>
                <c:pt idx="146">
                  <c:v>402.25694444444429</c:v>
                </c:pt>
                <c:pt idx="147">
                  <c:v>405.15046296296299</c:v>
                </c:pt>
                <c:pt idx="148">
                  <c:v>408.04398148148152</c:v>
                </c:pt>
                <c:pt idx="149">
                  <c:v>410.93749999999977</c:v>
                </c:pt>
                <c:pt idx="150">
                  <c:v>413.83101851851842</c:v>
                </c:pt>
                <c:pt idx="151">
                  <c:v>416.72453703703701</c:v>
                </c:pt>
                <c:pt idx="152">
                  <c:v>419.61805555555549</c:v>
                </c:pt>
                <c:pt idx="153">
                  <c:v>422.51157407407391</c:v>
                </c:pt>
                <c:pt idx="154">
                  <c:v>425.40509259259238</c:v>
                </c:pt>
                <c:pt idx="155">
                  <c:v>428.29861111111109</c:v>
                </c:pt>
                <c:pt idx="156">
                  <c:v>431.19212962962968</c:v>
                </c:pt>
                <c:pt idx="157">
                  <c:v>434.08564814814821</c:v>
                </c:pt>
                <c:pt idx="158">
                  <c:v>436.97916666666669</c:v>
                </c:pt>
                <c:pt idx="159">
                  <c:v>439.87268518518522</c:v>
                </c:pt>
                <c:pt idx="160">
                  <c:v>442.7662037037037</c:v>
                </c:pt>
                <c:pt idx="161">
                  <c:v>445.65972222222229</c:v>
                </c:pt>
                <c:pt idx="162">
                  <c:v>448.55324074074082</c:v>
                </c:pt>
                <c:pt idx="163">
                  <c:v>451.44675925925912</c:v>
                </c:pt>
                <c:pt idx="164">
                  <c:v>454.34027777777771</c:v>
                </c:pt>
                <c:pt idx="165">
                  <c:v>457.23379629629608</c:v>
                </c:pt>
                <c:pt idx="166">
                  <c:v>460.12731481481472</c:v>
                </c:pt>
                <c:pt idx="167">
                  <c:v>463.02083333333331</c:v>
                </c:pt>
                <c:pt idx="168">
                  <c:v>465.91435185185179</c:v>
                </c:pt>
                <c:pt idx="169">
                  <c:v>468.80787037037032</c:v>
                </c:pt>
                <c:pt idx="170">
                  <c:v>471.70138888888891</c:v>
                </c:pt>
                <c:pt idx="171">
                  <c:v>474.59490740740728</c:v>
                </c:pt>
                <c:pt idx="172">
                  <c:v>477.48842592592592</c:v>
                </c:pt>
                <c:pt idx="173">
                  <c:v>480.38194444444429</c:v>
                </c:pt>
                <c:pt idx="174">
                  <c:v>483.27546296296299</c:v>
                </c:pt>
                <c:pt idx="175">
                  <c:v>486.16898148148152</c:v>
                </c:pt>
                <c:pt idx="176">
                  <c:v>489.0625</c:v>
                </c:pt>
                <c:pt idx="177">
                  <c:v>491.95601851851842</c:v>
                </c:pt>
                <c:pt idx="178">
                  <c:v>494.84953703703701</c:v>
                </c:pt>
                <c:pt idx="179">
                  <c:v>497.74305555555549</c:v>
                </c:pt>
                <c:pt idx="180">
                  <c:v>500.63657407407391</c:v>
                </c:pt>
                <c:pt idx="181">
                  <c:v>503.53009259259238</c:v>
                </c:pt>
                <c:pt idx="182">
                  <c:v>506.42361111111109</c:v>
                </c:pt>
                <c:pt idx="183">
                  <c:v>509.31712962962968</c:v>
                </c:pt>
                <c:pt idx="184">
                  <c:v>512.21064814814815</c:v>
                </c:pt>
                <c:pt idx="185">
                  <c:v>515.10416666666686</c:v>
                </c:pt>
                <c:pt idx="186">
                  <c:v>517.99768518518499</c:v>
                </c:pt>
                <c:pt idx="187">
                  <c:v>520.89120370370335</c:v>
                </c:pt>
                <c:pt idx="188">
                  <c:v>523.78472222222251</c:v>
                </c:pt>
                <c:pt idx="189">
                  <c:v>526.67824074074076</c:v>
                </c:pt>
                <c:pt idx="190">
                  <c:v>529.57175925925935</c:v>
                </c:pt>
                <c:pt idx="191">
                  <c:v>532.46527777777783</c:v>
                </c:pt>
                <c:pt idx="192">
                  <c:v>535.35879629629653</c:v>
                </c:pt>
                <c:pt idx="193">
                  <c:v>538.25231481481455</c:v>
                </c:pt>
                <c:pt idx="194">
                  <c:v>541.14583333333337</c:v>
                </c:pt>
                <c:pt idx="195">
                  <c:v>544.03935185185185</c:v>
                </c:pt>
                <c:pt idx="196">
                  <c:v>546.93287037037055</c:v>
                </c:pt>
                <c:pt idx="197">
                  <c:v>549.82638888888869</c:v>
                </c:pt>
                <c:pt idx="198">
                  <c:v>552.7199074074075</c:v>
                </c:pt>
                <c:pt idx="199">
                  <c:v>555.61342592592587</c:v>
                </c:pt>
                <c:pt idx="200">
                  <c:v>558.50694444444446</c:v>
                </c:pt>
                <c:pt idx="201">
                  <c:v>561.40046296296305</c:v>
                </c:pt>
                <c:pt idx="202">
                  <c:v>564.29398148148152</c:v>
                </c:pt>
                <c:pt idx="203">
                  <c:v>567.1875</c:v>
                </c:pt>
                <c:pt idx="204">
                  <c:v>570.08101851851859</c:v>
                </c:pt>
                <c:pt idx="205">
                  <c:v>572.97453703703741</c:v>
                </c:pt>
                <c:pt idx="206">
                  <c:v>575.86805555555543</c:v>
                </c:pt>
                <c:pt idx="207">
                  <c:v>578.76157407407413</c:v>
                </c:pt>
                <c:pt idx="208">
                  <c:v>581.65509259259261</c:v>
                </c:pt>
                <c:pt idx="209">
                  <c:v>584.54861111111109</c:v>
                </c:pt>
                <c:pt idx="210">
                  <c:v>587.44212962962933</c:v>
                </c:pt>
                <c:pt idx="211">
                  <c:v>590.33564814814804</c:v>
                </c:pt>
                <c:pt idx="212">
                  <c:v>593.22916666666686</c:v>
                </c:pt>
                <c:pt idx="213">
                  <c:v>596.12268518518488</c:v>
                </c:pt>
                <c:pt idx="214">
                  <c:v>599.01620370370335</c:v>
                </c:pt>
                <c:pt idx="215">
                  <c:v>601.90972222222217</c:v>
                </c:pt>
                <c:pt idx="216">
                  <c:v>604.80324074074042</c:v>
                </c:pt>
                <c:pt idx="217">
                  <c:v>607.69675925925935</c:v>
                </c:pt>
                <c:pt idx="218">
                  <c:v>610.59027777777806</c:v>
                </c:pt>
                <c:pt idx="219">
                  <c:v>613.48379629629665</c:v>
                </c:pt>
                <c:pt idx="220">
                  <c:v>616.37731481481467</c:v>
                </c:pt>
                <c:pt idx="221">
                  <c:v>619.27083333333371</c:v>
                </c:pt>
                <c:pt idx="222">
                  <c:v>622.16435185185185</c:v>
                </c:pt>
                <c:pt idx="223">
                  <c:v>625.05787037037055</c:v>
                </c:pt>
                <c:pt idx="224">
                  <c:v>627.95138888888869</c:v>
                </c:pt>
                <c:pt idx="225">
                  <c:v>630.84490740740739</c:v>
                </c:pt>
                <c:pt idx="226">
                  <c:v>633.73842592592598</c:v>
                </c:pt>
                <c:pt idx="227">
                  <c:v>636.63194444444446</c:v>
                </c:pt>
                <c:pt idx="228">
                  <c:v>639.52546296296305</c:v>
                </c:pt>
                <c:pt idx="229">
                  <c:v>642.41898148148141</c:v>
                </c:pt>
                <c:pt idx="230">
                  <c:v>645.31249999999977</c:v>
                </c:pt>
                <c:pt idx="231">
                  <c:v>648.20601851851859</c:v>
                </c:pt>
                <c:pt idx="232">
                  <c:v>651.09953703703741</c:v>
                </c:pt>
                <c:pt idx="233">
                  <c:v>653.99305555555554</c:v>
                </c:pt>
                <c:pt idx="234">
                  <c:v>656.88657407407402</c:v>
                </c:pt>
                <c:pt idx="235">
                  <c:v>659.78009259259284</c:v>
                </c:pt>
                <c:pt idx="236">
                  <c:v>662.67361111111109</c:v>
                </c:pt>
                <c:pt idx="237">
                  <c:v>665.56712962962933</c:v>
                </c:pt>
                <c:pt idx="238">
                  <c:v>668.46064814814804</c:v>
                </c:pt>
                <c:pt idx="239">
                  <c:v>671.35416666666663</c:v>
                </c:pt>
                <c:pt idx="240">
                  <c:v>674.24768518518488</c:v>
                </c:pt>
              </c:numCache>
            </c:numRef>
          </c:xVal>
          <c:yVal>
            <c:numRef>
              <c:f>MaxDiameterIncrease!$G$2:$G$242</c:f>
              <c:numCache>
                <c:formatCode>General</c:formatCode>
                <c:ptCount val="241"/>
                <c:pt idx="0">
                  <c:v>0</c:v>
                </c:pt>
                <c:pt idx="1">
                  <c:v>16.645390540172979</c:v>
                </c:pt>
                <c:pt idx="2">
                  <c:v>16.494717677798</c:v>
                </c:pt>
                <c:pt idx="3">
                  <c:v>16.418841548267981</c:v>
                </c:pt>
                <c:pt idx="4">
                  <c:v>16.362764919549001</c:v>
                </c:pt>
                <c:pt idx="5">
                  <c:v>16.365205482568999</c:v>
                </c:pt>
                <c:pt idx="6">
                  <c:v>16.369703781239991</c:v>
                </c:pt>
                <c:pt idx="7">
                  <c:v>16.37087051244</c:v>
                </c:pt>
                <c:pt idx="8">
                  <c:v>16.371203395847001</c:v>
                </c:pt>
                <c:pt idx="9">
                  <c:v>16.371862212359009</c:v>
                </c:pt>
                <c:pt idx="10">
                  <c:v>16.372485695091999</c:v>
                </c:pt>
                <c:pt idx="11">
                  <c:v>16.373124449085001</c:v>
                </c:pt>
                <c:pt idx="12">
                  <c:v>16.373769391993999</c:v>
                </c:pt>
                <c:pt idx="13">
                  <c:v>16.374417207935</c:v>
                </c:pt>
                <c:pt idx="14">
                  <c:v>16.375066376699991</c:v>
                </c:pt>
                <c:pt idx="15">
                  <c:v>16.375716335907981</c:v>
                </c:pt>
                <c:pt idx="16">
                  <c:v>16.376366170258009</c:v>
                </c:pt>
                <c:pt idx="17">
                  <c:v>16.377015310125</c:v>
                </c:pt>
                <c:pt idx="18">
                  <c:v>16.377663980375001</c:v>
                </c:pt>
                <c:pt idx="19">
                  <c:v>16.378315550928999</c:v>
                </c:pt>
                <c:pt idx="20">
                  <c:v>16.378966903058</c:v>
                </c:pt>
                <c:pt idx="21">
                  <c:v>16.379618808217991</c:v>
                </c:pt>
                <c:pt idx="22">
                  <c:v>16.380271844922</c:v>
                </c:pt>
                <c:pt idx="23">
                  <c:v>16.380925300952999</c:v>
                </c:pt>
                <c:pt idx="24">
                  <c:v>16.381579397212999</c:v>
                </c:pt>
                <c:pt idx="25">
                  <c:v>16.38223354673698</c:v>
                </c:pt>
                <c:pt idx="26">
                  <c:v>16.382887925272001</c:v>
                </c:pt>
                <c:pt idx="27">
                  <c:v>16.383541299994999</c:v>
                </c:pt>
                <c:pt idx="28">
                  <c:v>16.384193578302</c:v>
                </c:pt>
                <c:pt idx="29">
                  <c:v>16.384844352696</c:v>
                </c:pt>
                <c:pt idx="30">
                  <c:v>16.385493940498002</c:v>
                </c:pt>
                <c:pt idx="31">
                  <c:v>16.386142175423981</c:v>
                </c:pt>
                <c:pt idx="32">
                  <c:v>16.386790063397999</c:v>
                </c:pt>
                <c:pt idx="33">
                  <c:v>16.387437359617</c:v>
                </c:pt>
                <c:pt idx="34">
                  <c:v>16.388083114055991</c:v>
                </c:pt>
                <c:pt idx="35">
                  <c:v>16.388727738106979</c:v>
                </c:pt>
                <c:pt idx="36">
                  <c:v>16.389370703145001</c:v>
                </c:pt>
                <c:pt idx="37">
                  <c:v>16.390014786670999</c:v>
                </c:pt>
                <c:pt idx="38">
                  <c:v>16.390659104651</c:v>
                </c:pt>
                <c:pt idx="39">
                  <c:v>16.391303376515999</c:v>
                </c:pt>
                <c:pt idx="40">
                  <c:v>16.391947215641</c:v>
                </c:pt>
                <c:pt idx="41">
                  <c:v>16.39259033038098</c:v>
                </c:pt>
                <c:pt idx="42">
                  <c:v>16.393232471385002</c:v>
                </c:pt>
                <c:pt idx="43">
                  <c:v>16.393873427536001</c:v>
                </c:pt>
                <c:pt idx="44">
                  <c:v>16.394512982729989</c:v>
                </c:pt>
                <c:pt idx="45">
                  <c:v>16.395150998011001</c:v>
                </c:pt>
                <c:pt idx="46">
                  <c:v>16.395789164332999</c:v>
                </c:pt>
                <c:pt idx="47">
                  <c:v>16.396431315612009</c:v>
                </c:pt>
                <c:pt idx="48">
                  <c:v>16.397074507566</c:v>
                </c:pt>
                <c:pt idx="49">
                  <c:v>16.397716012592991</c:v>
                </c:pt>
                <c:pt idx="50">
                  <c:v>16.398353301328001</c:v>
                </c:pt>
                <c:pt idx="51">
                  <c:v>16.398987623699</c:v>
                </c:pt>
                <c:pt idx="52">
                  <c:v>16.399620117582991</c:v>
                </c:pt>
                <c:pt idx="53">
                  <c:v>16.400251973619</c:v>
                </c:pt>
                <c:pt idx="54">
                  <c:v>16.400883525369</c:v>
                </c:pt>
                <c:pt idx="55">
                  <c:v>16.401514638786999</c:v>
                </c:pt>
                <c:pt idx="56">
                  <c:v>16.40214509993098</c:v>
                </c:pt>
                <c:pt idx="57">
                  <c:v>16.402775321665999</c:v>
                </c:pt>
                <c:pt idx="58">
                  <c:v>16.403405209087001</c:v>
                </c:pt>
                <c:pt idx="59">
                  <c:v>16.404034957541999</c:v>
                </c:pt>
                <c:pt idx="60">
                  <c:v>16.404664589795999</c:v>
                </c:pt>
                <c:pt idx="61">
                  <c:v>16.405294242539991</c:v>
                </c:pt>
                <c:pt idx="62">
                  <c:v>16.40592383810198</c:v>
                </c:pt>
                <c:pt idx="63">
                  <c:v>16.406553595295001</c:v>
                </c:pt>
                <c:pt idx="64">
                  <c:v>16.407183337404</c:v>
                </c:pt>
                <c:pt idx="65">
                  <c:v>16.407813318277</c:v>
                </c:pt>
                <c:pt idx="66">
                  <c:v>16.40844351245098</c:v>
                </c:pt>
                <c:pt idx="67">
                  <c:v>16.409073963836999</c:v>
                </c:pt>
                <c:pt idx="68">
                  <c:v>16.40970469217098</c:v>
                </c:pt>
                <c:pt idx="69">
                  <c:v>16.410335643717001</c:v>
                </c:pt>
                <c:pt idx="70">
                  <c:v>16.410966872585</c:v>
                </c:pt>
                <c:pt idx="71">
                  <c:v>16.420297739115</c:v>
                </c:pt>
                <c:pt idx="72">
                  <c:v>16.432891503088001</c:v>
                </c:pt>
                <c:pt idx="73">
                  <c:v>16.445410604452999</c:v>
                </c:pt>
                <c:pt idx="74">
                  <c:v>16.457855904761001</c:v>
                </c:pt>
                <c:pt idx="75">
                  <c:v>16.470227885164981</c:v>
                </c:pt>
                <c:pt idx="76">
                  <c:v>16.48252727068898</c:v>
                </c:pt>
                <c:pt idx="77">
                  <c:v>16.494754693379001</c:v>
                </c:pt>
                <c:pt idx="78">
                  <c:v>16.506910831656999</c:v>
                </c:pt>
                <c:pt idx="79">
                  <c:v>16.518995933060999</c:v>
                </c:pt>
                <c:pt idx="80">
                  <c:v>16.531011408971001</c:v>
                </c:pt>
                <c:pt idx="81">
                  <c:v>16.542957400300001</c:v>
                </c:pt>
                <c:pt idx="82">
                  <c:v>16.554834548540999</c:v>
                </c:pt>
                <c:pt idx="83">
                  <c:v>16.56664388429898</c:v>
                </c:pt>
                <c:pt idx="84">
                  <c:v>16.576679487764981</c:v>
                </c:pt>
                <c:pt idx="85">
                  <c:v>16.581922364884001</c:v>
                </c:pt>
                <c:pt idx="86">
                  <c:v>16.588610090654999</c:v>
                </c:pt>
                <c:pt idx="87">
                  <c:v>16.595120841796</c:v>
                </c:pt>
                <c:pt idx="88">
                  <c:v>16.60149237976098</c:v>
                </c:pt>
                <c:pt idx="89">
                  <c:v>16.607717713252001</c:v>
                </c:pt>
                <c:pt idx="90">
                  <c:v>16.613843462337009</c:v>
                </c:pt>
                <c:pt idx="91">
                  <c:v>16.619828575145991</c:v>
                </c:pt>
                <c:pt idx="92">
                  <c:v>16.625661157989999</c:v>
                </c:pt>
                <c:pt idx="93">
                  <c:v>16.631373590934999</c:v>
                </c:pt>
                <c:pt idx="94">
                  <c:v>16.636907027446</c:v>
                </c:pt>
                <c:pt idx="95">
                  <c:v>16.642272450720981</c:v>
                </c:pt>
                <c:pt idx="96">
                  <c:v>16.647479566428</c:v>
                </c:pt>
                <c:pt idx="97">
                  <c:v>16.652559290964</c:v>
                </c:pt>
                <c:pt idx="98">
                  <c:v>16.657512445828999</c:v>
                </c:pt>
                <c:pt idx="99">
                  <c:v>16.662346730205002</c:v>
                </c:pt>
                <c:pt idx="100">
                  <c:v>16.667074333041999</c:v>
                </c:pt>
                <c:pt idx="101">
                  <c:v>16.671706106847001</c:v>
                </c:pt>
                <c:pt idx="102">
                  <c:v>16.676257066887</c:v>
                </c:pt>
                <c:pt idx="103">
                  <c:v>16.680746481429981</c:v>
                </c:pt>
                <c:pt idx="104">
                  <c:v>16.685172380282999</c:v>
                </c:pt>
                <c:pt idx="105">
                  <c:v>16.689538392233999</c:v>
                </c:pt>
                <c:pt idx="106">
                  <c:v>16.693832358521</c:v>
                </c:pt>
                <c:pt idx="107">
                  <c:v>16.698069570209</c:v>
                </c:pt>
                <c:pt idx="108">
                  <c:v>16.702344683662002</c:v>
                </c:pt>
                <c:pt idx="109">
                  <c:v>16.706665053424</c:v>
                </c:pt>
                <c:pt idx="110">
                  <c:v>16.711017251775001</c:v>
                </c:pt>
                <c:pt idx="111">
                  <c:v>16.715603934754</c:v>
                </c:pt>
                <c:pt idx="112">
                  <c:v>16.72086637525199</c:v>
                </c:pt>
                <c:pt idx="113">
                  <c:v>16.726251259790999</c:v>
                </c:pt>
                <c:pt idx="114">
                  <c:v>16.731708697994002</c:v>
                </c:pt>
                <c:pt idx="115">
                  <c:v>16.737184395206</c:v>
                </c:pt>
                <c:pt idx="116">
                  <c:v>16.742690702408002</c:v>
                </c:pt>
                <c:pt idx="117">
                  <c:v>16.748312465923991</c:v>
                </c:pt>
                <c:pt idx="118">
                  <c:v>16.754027358445001</c:v>
                </c:pt>
                <c:pt idx="119">
                  <c:v>16.759996584465981</c:v>
                </c:pt>
                <c:pt idx="120">
                  <c:v>16.776822182644999</c:v>
                </c:pt>
                <c:pt idx="121">
                  <c:v>16.7957356764</c:v>
                </c:pt>
                <c:pt idx="122">
                  <c:v>16.814285599236001</c:v>
                </c:pt>
                <c:pt idx="123">
                  <c:v>16.832518327292998</c:v>
                </c:pt>
                <c:pt idx="124">
                  <c:v>16.850546444626001</c:v>
                </c:pt>
                <c:pt idx="125">
                  <c:v>16.868428746997001</c:v>
                </c:pt>
                <c:pt idx="126">
                  <c:v>16.886198452273</c:v>
                </c:pt>
                <c:pt idx="127">
                  <c:v>16.903889210306001</c:v>
                </c:pt>
                <c:pt idx="128">
                  <c:v>16.921523773114</c:v>
                </c:pt>
                <c:pt idx="129">
                  <c:v>16.939126454817991</c:v>
                </c:pt>
                <c:pt idx="130">
                  <c:v>16.956716721309</c:v>
                </c:pt>
                <c:pt idx="131">
                  <c:v>16.974310403998999</c:v>
                </c:pt>
                <c:pt idx="132">
                  <c:v>16.991921627789999</c:v>
                </c:pt>
                <c:pt idx="133">
                  <c:v>17.009562264446991</c:v>
                </c:pt>
                <c:pt idx="134">
                  <c:v>17.027244185017999</c:v>
                </c:pt>
                <c:pt idx="135">
                  <c:v>17.044978363590001</c:v>
                </c:pt>
                <c:pt idx="136">
                  <c:v>17.062772617981981</c:v>
                </c:pt>
                <c:pt idx="137">
                  <c:v>17.080636989965981</c:v>
                </c:pt>
                <c:pt idx="138">
                  <c:v>17.098582226162002</c:v>
                </c:pt>
                <c:pt idx="139">
                  <c:v>17.11661795357</c:v>
                </c:pt>
                <c:pt idx="140">
                  <c:v>17.134754767145001</c:v>
                </c:pt>
                <c:pt idx="141">
                  <c:v>17.153003341959</c:v>
                </c:pt>
                <c:pt idx="142">
                  <c:v>17.171376679704991</c:v>
                </c:pt>
                <c:pt idx="143">
                  <c:v>17.189889436190999</c:v>
                </c:pt>
                <c:pt idx="144">
                  <c:v>17.208557763236001</c:v>
                </c:pt>
                <c:pt idx="145">
                  <c:v>17.22740264372398</c:v>
                </c:pt>
                <c:pt idx="146">
                  <c:v>17.246454061445991</c:v>
                </c:pt>
                <c:pt idx="147">
                  <c:v>17.26573278398698</c:v>
                </c:pt>
                <c:pt idx="148">
                  <c:v>17.285260451427</c:v>
                </c:pt>
                <c:pt idx="149">
                  <c:v>17.305083838072001</c:v>
                </c:pt>
                <c:pt idx="150">
                  <c:v>17.325442057107988</c:v>
                </c:pt>
                <c:pt idx="151">
                  <c:v>17.346416041792001</c:v>
                </c:pt>
                <c:pt idx="152">
                  <c:v>17.367931399128</c:v>
                </c:pt>
                <c:pt idx="153">
                  <c:v>17.390033200013001</c:v>
                </c:pt>
                <c:pt idx="154">
                  <c:v>17.412826575234</c:v>
                </c:pt>
                <c:pt idx="155">
                  <c:v>17.436486771016991</c:v>
                </c:pt>
                <c:pt idx="156">
                  <c:v>17.461349018318</c:v>
                </c:pt>
                <c:pt idx="157">
                  <c:v>17.487355781379001</c:v>
                </c:pt>
                <c:pt idx="158">
                  <c:v>17.508585752633</c:v>
                </c:pt>
                <c:pt idx="159">
                  <c:v>17.529957638300999</c:v>
                </c:pt>
                <c:pt idx="160">
                  <c:v>17.551702724479</c:v>
                </c:pt>
                <c:pt idx="161">
                  <c:v>17.573626920622999</c:v>
                </c:pt>
                <c:pt idx="162">
                  <c:v>17.59574796691</c:v>
                </c:pt>
                <c:pt idx="163">
                  <c:v>17.618083082232001</c:v>
                </c:pt>
                <c:pt idx="164">
                  <c:v>17.640668570460001</c:v>
                </c:pt>
                <c:pt idx="165">
                  <c:v>17.66354970008998</c:v>
                </c:pt>
                <c:pt idx="166">
                  <c:v>17.68676626469599</c:v>
                </c:pt>
                <c:pt idx="167">
                  <c:v>17.710247833996981</c:v>
                </c:pt>
                <c:pt idx="168">
                  <c:v>17.733944178883</c:v>
                </c:pt>
                <c:pt idx="169">
                  <c:v>17.75785196328501</c:v>
                </c:pt>
                <c:pt idx="170">
                  <c:v>17.781981027377</c:v>
                </c:pt>
                <c:pt idx="171">
                  <c:v>17.80633249521199</c:v>
                </c:pt>
                <c:pt idx="172">
                  <c:v>17.83090980791</c:v>
                </c:pt>
                <c:pt idx="173">
                  <c:v>17.855713761173</c:v>
                </c:pt>
                <c:pt idx="174">
                  <c:v>17.880746643663979</c:v>
                </c:pt>
                <c:pt idx="175">
                  <c:v>17.90602218168798</c:v>
                </c:pt>
                <c:pt idx="176">
                  <c:v>17.931602574835988</c:v>
                </c:pt>
                <c:pt idx="177">
                  <c:v>17.957663185681</c:v>
                </c:pt>
                <c:pt idx="178">
                  <c:v>17.984289960373989</c:v>
                </c:pt>
                <c:pt idx="179">
                  <c:v>18.011392246145981</c:v>
                </c:pt>
                <c:pt idx="180">
                  <c:v>18.038830939137</c:v>
                </c:pt>
                <c:pt idx="181">
                  <c:v>18.066569158010999</c:v>
                </c:pt>
                <c:pt idx="182">
                  <c:v>18.094618463715001</c:v>
                </c:pt>
                <c:pt idx="183">
                  <c:v>18.122946978973989</c:v>
                </c:pt>
                <c:pt idx="184">
                  <c:v>18.151521111453</c:v>
                </c:pt>
                <c:pt idx="185">
                  <c:v>18.18032296533098</c:v>
                </c:pt>
                <c:pt idx="186">
                  <c:v>18.209333715816999</c:v>
                </c:pt>
                <c:pt idx="187">
                  <c:v>18.238600510478999</c:v>
                </c:pt>
                <c:pt idx="188">
                  <c:v>18.268158886028001</c:v>
                </c:pt>
                <c:pt idx="189">
                  <c:v>18.29803282451898</c:v>
                </c:pt>
                <c:pt idx="190">
                  <c:v>18.328296744189</c:v>
                </c:pt>
                <c:pt idx="191">
                  <c:v>18.358890085553</c:v>
                </c:pt>
                <c:pt idx="192">
                  <c:v>18.389772984874991</c:v>
                </c:pt>
                <c:pt idx="193">
                  <c:v>18.420957927437001</c:v>
                </c:pt>
                <c:pt idx="194">
                  <c:v>18.45237037174698</c:v>
                </c:pt>
                <c:pt idx="195">
                  <c:v>18.483921224334999</c:v>
                </c:pt>
                <c:pt idx="196">
                  <c:v>18.515562982599999</c:v>
                </c:pt>
                <c:pt idx="197">
                  <c:v>18.547267521904001</c:v>
                </c:pt>
                <c:pt idx="198">
                  <c:v>18.579016568128001</c:v>
                </c:pt>
                <c:pt idx="199">
                  <c:v>18.610787154011</c:v>
                </c:pt>
                <c:pt idx="200">
                  <c:v>18.642558005790001</c:v>
                </c:pt>
                <c:pt idx="201">
                  <c:v>18.673411600674001</c:v>
                </c:pt>
                <c:pt idx="202">
                  <c:v>18.703482673340989</c:v>
                </c:pt>
                <c:pt idx="203">
                  <c:v>18.733110866446999</c:v>
                </c:pt>
                <c:pt idx="204">
                  <c:v>18.76228257475098</c:v>
                </c:pt>
                <c:pt idx="205">
                  <c:v>18.790993826670999</c:v>
                </c:pt>
                <c:pt idx="206">
                  <c:v>18.819232904071999</c:v>
                </c:pt>
                <c:pt idx="207">
                  <c:v>18.846993422292009</c:v>
                </c:pt>
                <c:pt idx="208">
                  <c:v>18.874471336414</c:v>
                </c:pt>
                <c:pt idx="209">
                  <c:v>18.901735897138</c:v>
                </c:pt>
                <c:pt idx="210">
                  <c:v>18.928712494866989</c:v>
                </c:pt>
                <c:pt idx="211">
                  <c:v>18.955373501819</c:v>
                </c:pt>
                <c:pt idx="212">
                  <c:v>18.981674737119</c:v>
                </c:pt>
                <c:pt idx="213">
                  <c:v>19.00759576519</c:v>
                </c:pt>
                <c:pt idx="214">
                  <c:v>19.03315431484101</c:v>
                </c:pt>
                <c:pt idx="215">
                  <c:v>19.058349342814001</c:v>
                </c:pt>
                <c:pt idx="216">
                  <c:v>19.083180790857991</c:v>
                </c:pt>
                <c:pt idx="217">
                  <c:v>19.10766161441801</c:v>
                </c:pt>
                <c:pt idx="218">
                  <c:v>19.13179676688301</c:v>
                </c:pt>
                <c:pt idx="219">
                  <c:v>19.15558507358099</c:v>
                </c:pt>
                <c:pt idx="220">
                  <c:v>19.179071919693001</c:v>
                </c:pt>
                <c:pt idx="221">
                  <c:v>19.202305272524988</c:v>
                </c:pt>
                <c:pt idx="222">
                  <c:v>19.22362389403898</c:v>
                </c:pt>
                <c:pt idx="223">
                  <c:v>19.24064278904498</c:v>
                </c:pt>
                <c:pt idx="224">
                  <c:v>19.262105004092</c:v>
                </c:pt>
                <c:pt idx="225">
                  <c:v>19.288513487418001</c:v>
                </c:pt>
                <c:pt idx="226">
                  <c:v>19.341595688806009</c:v>
                </c:pt>
                <c:pt idx="227">
                  <c:v>19.419402422613</c:v>
                </c:pt>
                <c:pt idx="228">
                  <c:v>19.498415977770989</c:v>
                </c:pt>
                <c:pt idx="229">
                  <c:v>19.561012480273</c:v>
                </c:pt>
                <c:pt idx="230">
                  <c:v>19.610046998938</c:v>
                </c:pt>
                <c:pt idx="231">
                  <c:v>19.652989824372991</c:v>
                </c:pt>
                <c:pt idx="232">
                  <c:v>19.693108656031999</c:v>
                </c:pt>
                <c:pt idx="233">
                  <c:v>19.731708764779</c:v>
                </c:pt>
                <c:pt idx="234">
                  <c:v>19.769093465767</c:v>
                </c:pt>
                <c:pt idx="235">
                  <c:v>19.80556687353798</c:v>
                </c:pt>
                <c:pt idx="236">
                  <c:v>19.841426494979981</c:v>
                </c:pt>
                <c:pt idx="237">
                  <c:v>19.876882287954999</c:v>
                </c:pt>
                <c:pt idx="238">
                  <c:v>19.912100745484</c:v>
                </c:pt>
                <c:pt idx="239">
                  <c:v>19.947225940715001</c:v>
                </c:pt>
                <c:pt idx="240">
                  <c:v>19.982366269460989</c:v>
                </c:pt>
              </c:numCache>
            </c:numRef>
          </c:yVal>
          <c:smooth val="0"/>
        </c:ser>
        <c:ser>
          <c:idx val="1"/>
          <c:order val="1"/>
          <c:tx>
            <c:strRef>
              <c:f>MaxDiameterIncrease!$C$1</c:f>
              <c:strCache>
                <c:ptCount val="1"/>
                <c:pt idx="0">
                  <c:v>FeCrAl - No Swelling</c:v>
                </c:pt>
              </c:strCache>
            </c:strRef>
          </c:tx>
          <c:spPr>
            <a:ln w="38100"/>
          </c:spPr>
          <c:marker>
            <c:symbol val="none"/>
          </c:marker>
          <c:xVal>
            <c:numRef>
              <c:f>MaxDiameterIncrease!$F$2:$F$242</c:f>
              <c:numCache>
                <c:formatCode>0.00E+00</c:formatCode>
                <c:ptCount val="241"/>
                <c:pt idx="0">
                  <c:v>0</c:v>
                </c:pt>
                <c:pt idx="1">
                  <c:v>1.1574074074074099E-2</c:v>
                </c:pt>
                <c:pt idx="2">
                  <c:v>3.4722222222222203E-2</c:v>
                </c:pt>
                <c:pt idx="3">
                  <c:v>8.1018518518518504E-2</c:v>
                </c:pt>
                <c:pt idx="4">
                  <c:v>0.17361111111111099</c:v>
                </c:pt>
                <c:pt idx="5">
                  <c:v>0.358796296296296</c:v>
                </c:pt>
                <c:pt idx="6">
                  <c:v>0.72916666666666596</c:v>
                </c:pt>
                <c:pt idx="7">
                  <c:v>1.469907407407407</c:v>
                </c:pt>
                <c:pt idx="8">
                  <c:v>2.9513888888888871</c:v>
                </c:pt>
                <c:pt idx="9">
                  <c:v>5.8449074074074048</c:v>
                </c:pt>
                <c:pt idx="10">
                  <c:v>8.738425925925922</c:v>
                </c:pt>
                <c:pt idx="11">
                  <c:v>11.631944444444439</c:v>
                </c:pt>
                <c:pt idx="12">
                  <c:v>14.52546296296296</c:v>
                </c:pt>
                <c:pt idx="13">
                  <c:v>17.418981481481481</c:v>
                </c:pt>
                <c:pt idx="14">
                  <c:v>20.3125</c:v>
                </c:pt>
                <c:pt idx="15">
                  <c:v>23.206018518518519</c:v>
                </c:pt>
                <c:pt idx="16">
                  <c:v>26.09953703703702</c:v>
                </c:pt>
                <c:pt idx="17">
                  <c:v>28.993055555555561</c:v>
                </c:pt>
                <c:pt idx="18">
                  <c:v>31.88657407407408</c:v>
                </c:pt>
                <c:pt idx="19">
                  <c:v>34.780092592592567</c:v>
                </c:pt>
                <c:pt idx="20">
                  <c:v>37.673611111111107</c:v>
                </c:pt>
                <c:pt idx="21">
                  <c:v>40.567129629629633</c:v>
                </c:pt>
                <c:pt idx="22">
                  <c:v>43.460648148148152</c:v>
                </c:pt>
                <c:pt idx="23">
                  <c:v>46.354166666666622</c:v>
                </c:pt>
                <c:pt idx="24">
                  <c:v>49.247685185185183</c:v>
                </c:pt>
                <c:pt idx="25">
                  <c:v>52.141203703703702</c:v>
                </c:pt>
                <c:pt idx="26">
                  <c:v>55.034722222222221</c:v>
                </c:pt>
                <c:pt idx="27">
                  <c:v>57.92824074074074</c:v>
                </c:pt>
                <c:pt idx="28">
                  <c:v>60.821759259259252</c:v>
                </c:pt>
                <c:pt idx="29">
                  <c:v>63.715277777777779</c:v>
                </c:pt>
                <c:pt idx="30">
                  <c:v>66.608796296296234</c:v>
                </c:pt>
                <c:pt idx="31">
                  <c:v>69.502314814814767</c:v>
                </c:pt>
                <c:pt idx="32">
                  <c:v>72.3958333333333</c:v>
                </c:pt>
                <c:pt idx="33">
                  <c:v>75.289351851851805</c:v>
                </c:pt>
                <c:pt idx="34">
                  <c:v>78.182870370370324</c:v>
                </c:pt>
                <c:pt idx="35">
                  <c:v>81.076388888888829</c:v>
                </c:pt>
                <c:pt idx="36">
                  <c:v>83.969907407407433</c:v>
                </c:pt>
                <c:pt idx="37">
                  <c:v>86.863425925925924</c:v>
                </c:pt>
                <c:pt idx="38">
                  <c:v>89.756944444444443</c:v>
                </c:pt>
                <c:pt idx="39">
                  <c:v>92.650462962962948</c:v>
                </c:pt>
                <c:pt idx="40">
                  <c:v>95.543981481481481</c:v>
                </c:pt>
                <c:pt idx="41">
                  <c:v>98.4375</c:v>
                </c:pt>
                <c:pt idx="42">
                  <c:v>101.3310185185185</c:v>
                </c:pt>
                <c:pt idx="43">
                  <c:v>104.224537037037</c:v>
                </c:pt>
                <c:pt idx="44">
                  <c:v>107.1180555555555</c:v>
                </c:pt>
                <c:pt idx="45">
                  <c:v>110.0115740740741</c:v>
                </c:pt>
                <c:pt idx="46">
                  <c:v>112.9050925925926</c:v>
                </c:pt>
                <c:pt idx="47">
                  <c:v>115.7986111111111</c:v>
                </c:pt>
                <c:pt idx="48">
                  <c:v>118.6921296296296</c:v>
                </c:pt>
                <c:pt idx="49">
                  <c:v>121.5856481481481</c:v>
                </c:pt>
                <c:pt idx="50">
                  <c:v>124.4791666666667</c:v>
                </c:pt>
                <c:pt idx="51">
                  <c:v>127.3726851851852</c:v>
                </c:pt>
                <c:pt idx="52">
                  <c:v>130.2662037037037</c:v>
                </c:pt>
                <c:pt idx="53">
                  <c:v>133.1597222222222</c:v>
                </c:pt>
                <c:pt idx="54">
                  <c:v>136.0532407407407</c:v>
                </c:pt>
                <c:pt idx="55">
                  <c:v>138.94675925925921</c:v>
                </c:pt>
                <c:pt idx="56">
                  <c:v>141.8402777777778</c:v>
                </c:pt>
                <c:pt idx="57">
                  <c:v>144.7337962962963</c:v>
                </c:pt>
                <c:pt idx="58">
                  <c:v>147.62731481481481</c:v>
                </c:pt>
                <c:pt idx="59">
                  <c:v>150.5208333333334</c:v>
                </c:pt>
                <c:pt idx="60">
                  <c:v>153.41435185185179</c:v>
                </c:pt>
                <c:pt idx="61">
                  <c:v>156.30787037037041</c:v>
                </c:pt>
                <c:pt idx="62">
                  <c:v>159.201388888889</c:v>
                </c:pt>
                <c:pt idx="63">
                  <c:v>162.09490740740739</c:v>
                </c:pt>
                <c:pt idx="64">
                  <c:v>164.98842592592601</c:v>
                </c:pt>
                <c:pt idx="65">
                  <c:v>167.88194444444451</c:v>
                </c:pt>
                <c:pt idx="66">
                  <c:v>170.77546296296291</c:v>
                </c:pt>
                <c:pt idx="67">
                  <c:v>173.6689814814815</c:v>
                </c:pt>
                <c:pt idx="68">
                  <c:v>176.5625</c:v>
                </c:pt>
                <c:pt idx="69">
                  <c:v>179.4560185185185</c:v>
                </c:pt>
                <c:pt idx="70">
                  <c:v>182.34953703703701</c:v>
                </c:pt>
                <c:pt idx="71">
                  <c:v>185.2430555555554</c:v>
                </c:pt>
                <c:pt idx="72">
                  <c:v>188.13657407407399</c:v>
                </c:pt>
                <c:pt idx="73">
                  <c:v>191.03009259259261</c:v>
                </c:pt>
                <c:pt idx="74">
                  <c:v>193.92361111111109</c:v>
                </c:pt>
                <c:pt idx="75">
                  <c:v>196.81712962962959</c:v>
                </c:pt>
                <c:pt idx="76">
                  <c:v>199.7106481481481</c:v>
                </c:pt>
                <c:pt idx="77">
                  <c:v>202.6041666666666</c:v>
                </c:pt>
                <c:pt idx="78">
                  <c:v>205.49768518518519</c:v>
                </c:pt>
                <c:pt idx="79">
                  <c:v>208.39120370370381</c:v>
                </c:pt>
                <c:pt idx="80">
                  <c:v>211.2847222222222</c:v>
                </c:pt>
                <c:pt idx="81">
                  <c:v>214.1782407407407</c:v>
                </c:pt>
                <c:pt idx="82">
                  <c:v>217.07175925925921</c:v>
                </c:pt>
                <c:pt idx="83">
                  <c:v>219.9652777777778</c:v>
                </c:pt>
                <c:pt idx="84">
                  <c:v>222.8587962962963</c:v>
                </c:pt>
                <c:pt idx="85">
                  <c:v>225.75231481481481</c:v>
                </c:pt>
                <c:pt idx="86">
                  <c:v>228.64583333333329</c:v>
                </c:pt>
                <c:pt idx="87">
                  <c:v>231.53935185185179</c:v>
                </c:pt>
                <c:pt idx="88">
                  <c:v>234.43287037037041</c:v>
                </c:pt>
                <c:pt idx="89">
                  <c:v>237.326388888889</c:v>
                </c:pt>
                <c:pt idx="90">
                  <c:v>240.21990740740739</c:v>
                </c:pt>
                <c:pt idx="91">
                  <c:v>243.1134259259259</c:v>
                </c:pt>
                <c:pt idx="92">
                  <c:v>246.00694444444451</c:v>
                </c:pt>
                <c:pt idx="93">
                  <c:v>248.90046296296299</c:v>
                </c:pt>
                <c:pt idx="94">
                  <c:v>251.7939814814815</c:v>
                </c:pt>
                <c:pt idx="95">
                  <c:v>254.6875</c:v>
                </c:pt>
                <c:pt idx="96">
                  <c:v>257.58101851851842</c:v>
                </c:pt>
                <c:pt idx="97">
                  <c:v>260.47453703703701</c:v>
                </c:pt>
                <c:pt idx="98">
                  <c:v>263.36805555555549</c:v>
                </c:pt>
                <c:pt idx="99">
                  <c:v>266.26157407407391</c:v>
                </c:pt>
                <c:pt idx="100">
                  <c:v>269.15509259259261</c:v>
                </c:pt>
                <c:pt idx="101">
                  <c:v>272.04861111111109</c:v>
                </c:pt>
                <c:pt idx="102">
                  <c:v>274.94212962962962</c:v>
                </c:pt>
                <c:pt idx="103">
                  <c:v>277.83564814814821</c:v>
                </c:pt>
                <c:pt idx="104">
                  <c:v>280.72916666666669</c:v>
                </c:pt>
                <c:pt idx="105">
                  <c:v>283.62268518518522</c:v>
                </c:pt>
                <c:pt idx="106">
                  <c:v>286.5162037037037</c:v>
                </c:pt>
                <c:pt idx="107">
                  <c:v>289.40972222222211</c:v>
                </c:pt>
                <c:pt idx="108">
                  <c:v>292.30324074074082</c:v>
                </c:pt>
                <c:pt idx="109">
                  <c:v>295.19675925925912</c:v>
                </c:pt>
                <c:pt idx="110">
                  <c:v>298.0902777777776</c:v>
                </c:pt>
                <c:pt idx="111">
                  <c:v>300.98379629629608</c:v>
                </c:pt>
                <c:pt idx="112">
                  <c:v>303.87731481481472</c:v>
                </c:pt>
                <c:pt idx="113">
                  <c:v>306.77083333333331</c:v>
                </c:pt>
                <c:pt idx="114">
                  <c:v>309.66435185185202</c:v>
                </c:pt>
                <c:pt idx="115">
                  <c:v>312.55787037037032</c:v>
                </c:pt>
                <c:pt idx="116">
                  <c:v>315.45138888888891</c:v>
                </c:pt>
                <c:pt idx="117">
                  <c:v>318.34490740740739</c:v>
                </c:pt>
                <c:pt idx="118">
                  <c:v>321.23842592592592</c:v>
                </c:pt>
                <c:pt idx="119">
                  <c:v>324.13194444444429</c:v>
                </c:pt>
                <c:pt idx="120">
                  <c:v>327.02546296296299</c:v>
                </c:pt>
                <c:pt idx="121">
                  <c:v>329.91898148148141</c:v>
                </c:pt>
                <c:pt idx="122">
                  <c:v>332.8125</c:v>
                </c:pt>
                <c:pt idx="123">
                  <c:v>335.70601851851842</c:v>
                </c:pt>
                <c:pt idx="124">
                  <c:v>338.59953703703701</c:v>
                </c:pt>
                <c:pt idx="125">
                  <c:v>341.49305555555537</c:v>
                </c:pt>
                <c:pt idx="126">
                  <c:v>344.38657407407391</c:v>
                </c:pt>
                <c:pt idx="127">
                  <c:v>347.28009259259238</c:v>
                </c:pt>
                <c:pt idx="128">
                  <c:v>350.17361111111109</c:v>
                </c:pt>
                <c:pt idx="129">
                  <c:v>353.06712962962968</c:v>
                </c:pt>
                <c:pt idx="130">
                  <c:v>355.96064814814821</c:v>
                </c:pt>
                <c:pt idx="131">
                  <c:v>358.8541666666668</c:v>
                </c:pt>
                <c:pt idx="132">
                  <c:v>361.74768518518522</c:v>
                </c:pt>
                <c:pt idx="133">
                  <c:v>364.6412037037037</c:v>
                </c:pt>
                <c:pt idx="134">
                  <c:v>367.53472222222211</c:v>
                </c:pt>
                <c:pt idx="135">
                  <c:v>370.42824074074059</c:v>
                </c:pt>
                <c:pt idx="136">
                  <c:v>373.32175925925912</c:v>
                </c:pt>
                <c:pt idx="137">
                  <c:v>376.2152777777776</c:v>
                </c:pt>
                <c:pt idx="138">
                  <c:v>379.10879629629619</c:v>
                </c:pt>
                <c:pt idx="139">
                  <c:v>382.00231481481472</c:v>
                </c:pt>
                <c:pt idx="140">
                  <c:v>384.89583333333331</c:v>
                </c:pt>
                <c:pt idx="141">
                  <c:v>387.78935185185179</c:v>
                </c:pt>
                <c:pt idx="142">
                  <c:v>390.68287037037032</c:v>
                </c:pt>
                <c:pt idx="143">
                  <c:v>393.57638888888891</c:v>
                </c:pt>
                <c:pt idx="144">
                  <c:v>396.46990740740728</c:v>
                </c:pt>
                <c:pt idx="145">
                  <c:v>399.36342592592598</c:v>
                </c:pt>
                <c:pt idx="146">
                  <c:v>402.25694444444429</c:v>
                </c:pt>
                <c:pt idx="147">
                  <c:v>405.15046296296299</c:v>
                </c:pt>
                <c:pt idx="148">
                  <c:v>408.04398148148152</c:v>
                </c:pt>
                <c:pt idx="149">
                  <c:v>410.93749999999977</c:v>
                </c:pt>
                <c:pt idx="150">
                  <c:v>413.83101851851842</c:v>
                </c:pt>
                <c:pt idx="151">
                  <c:v>416.72453703703701</c:v>
                </c:pt>
                <c:pt idx="152">
                  <c:v>419.61805555555549</c:v>
                </c:pt>
                <c:pt idx="153">
                  <c:v>422.51157407407391</c:v>
                </c:pt>
                <c:pt idx="154">
                  <c:v>425.40509259259238</c:v>
                </c:pt>
                <c:pt idx="155">
                  <c:v>428.29861111111109</c:v>
                </c:pt>
                <c:pt idx="156">
                  <c:v>431.19212962962968</c:v>
                </c:pt>
                <c:pt idx="157">
                  <c:v>434.08564814814821</c:v>
                </c:pt>
                <c:pt idx="158">
                  <c:v>436.97916666666669</c:v>
                </c:pt>
                <c:pt idx="159">
                  <c:v>439.87268518518522</c:v>
                </c:pt>
                <c:pt idx="160">
                  <c:v>442.7662037037037</c:v>
                </c:pt>
                <c:pt idx="161">
                  <c:v>445.65972222222229</c:v>
                </c:pt>
                <c:pt idx="162">
                  <c:v>448.55324074074082</c:v>
                </c:pt>
                <c:pt idx="163">
                  <c:v>451.44675925925912</c:v>
                </c:pt>
                <c:pt idx="164">
                  <c:v>454.34027777777771</c:v>
                </c:pt>
                <c:pt idx="165">
                  <c:v>457.23379629629608</c:v>
                </c:pt>
                <c:pt idx="166">
                  <c:v>460.12731481481472</c:v>
                </c:pt>
                <c:pt idx="167">
                  <c:v>463.02083333333331</c:v>
                </c:pt>
                <c:pt idx="168">
                  <c:v>465.91435185185179</c:v>
                </c:pt>
                <c:pt idx="169">
                  <c:v>468.80787037037032</c:v>
                </c:pt>
                <c:pt idx="170">
                  <c:v>471.70138888888891</c:v>
                </c:pt>
                <c:pt idx="171">
                  <c:v>474.59490740740728</c:v>
                </c:pt>
                <c:pt idx="172">
                  <c:v>477.48842592592592</c:v>
                </c:pt>
                <c:pt idx="173">
                  <c:v>480.38194444444429</c:v>
                </c:pt>
                <c:pt idx="174">
                  <c:v>483.27546296296299</c:v>
                </c:pt>
                <c:pt idx="175">
                  <c:v>486.16898148148152</c:v>
                </c:pt>
                <c:pt idx="176">
                  <c:v>489.0625</c:v>
                </c:pt>
                <c:pt idx="177">
                  <c:v>491.95601851851842</c:v>
                </c:pt>
                <c:pt idx="178">
                  <c:v>494.84953703703701</c:v>
                </c:pt>
                <c:pt idx="179">
                  <c:v>497.74305555555549</c:v>
                </c:pt>
                <c:pt idx="180">
                  <c:v>500.63657407407391</c:v>
                </c:pt>
                <c:pt idx="181">
                  <c:v>503.53009259259238</c:v>
                </c:pt>
                <c:pt idx="182">
                  <c:v>506.42361111111109</c:v>
                </c:pt>
                <c:pt idx="183">
                  <c:v>509.31712962962968</c:v>
                </c:pt>
                <c:pt idx="184">
                  <c:v>512.21064814814815</c:v>
                </c:pt>
                <c:pt idx="185">
                  <c:v>515.10416666666686</c:v>
                </c:pt>
                <c:pt idx="186">
                  <c:v>517.99768518518499</c:v>
                </c:pt>
                <c:pt idx="187">
                  <c:v>520.89120370370335</c:v>
                </c:pt>
                <c:pt idx="188">
                  <c:v>523.78472222222251</c:v>
                </c:pt>
                <c:pt idx="189">
                  <c:v>526.67824074074076</c:v>
                </c:pt>
                <c:pt idx="190">
                  <c:v>529.57175925925935</c:v>
                </c:pt>
                <c:pt idx="191">
                  <c:v>532.46527777777783</c:v>
                </c:pt>
                <c:pt idx="192">
                  <c:v>535.35879629629653</c:v>
                </c:pt>
                <c:pt idx="193">
                  <c:v>538.25231481481455</c:v>
                </c:pt>
                <c:pt idx="194">
                  <c:v>541.14583333333337</c:v>
                </c:pt>
                <c:pt idx="195">
                  <c:v>544.03935185185185</c:v>
                </c:pt>
                <c:pt idx="196">
                  <c:v>546.93287037037055</c:v>
                </c:pt>
                <c:pt idx="197">
                  <c:v>549.82638888888869</c:v>
                </c:pt>
                <c:pt idx="198">
                  <c:v>552.7199074074075</c:v>
                </c:pt>
                <c:pt idx="199">
                  <c:v>555.61342592592587</c:v>
                </c:pt>
                <c:pt idx="200">
                  <c:v>558.50694444444446</c:v>
                </c:pt>
                <c:pt idx="201">
                  <c:v>561.40046296296305</c:v>
                </c:pt>
                <c:pt idx="202">
                  <c:v>564.29398148148152</c:v>
                </c:pt>
                <c:pt idx="203">
                  <c:v>567.1875</c:v>
                </c:pt>
                <c:pt idx="204">
                  <c:v>570.08101851851859</c:v>
                </c:pt>
                <c:pt idx="205">
                  <c:v>572.97453703703741</c:v>
                </c:pt>
                <c:pt idx="206">
                  <c:v>575.86805555555543</c:v>
                </c:pt>
                <c:pt idx="207">
                  <c:v>578.76157407407413</c:v>
                </c:pt>
                <c:pt idx="208">
                  <c:v>581.65509259259261</c:v>
                </c:pt>
                <c:pt idx="209">
                  <c:v>584.54861111111109</c:v>
                </c:pt>
                <c:pt idx="210">
                  <c:v>587.44212962962933</c:v>
                </c:pt>
                <c:pt idx="211">
                  <c:v>590.33564814814804</c:v>
                </c:pt>
                <c:pt idx="212">
                  <c:v>593.22916666666686</c:v>
                </c:pt>
                <c:pt idx="213">
                  <c:v>596.12268518518488</c:v>
                </c:pt>
                <c:pt idx="214">
                  <c:v>599.01620370370335</c:v>
                </c:pt>
                <c:pt idx="215">
                  <c:v>601.90972222222217</c:v>
                </c:pt>
                <c:pt idx="216">
                  <c:v>604.80324074074042</c:v>
                </c:pt>
                <c:pt idx="217">
                  <c:v>607.69675925925935</c:v>
                </c:pt>
                <c:pt idx="218">
                  <c:v>610.59027777777806</c:v>
                </c:pt>
                <c:pt idx="219">
                  <c:v>613.48379629629665</c:v>
                </c:pt>
                <c:pt idx="220">
                  <c:v>616.37731481481467</c:v>
                </c:pt>
                <c:pt idx="221">
                  <c:v>619.27083333333371</c:v>
                </c:pt>
                <c:pt idx="222">
                  <c:v>622.16435185185185</c:v>
                </c:pt>
                <c:pt idx="223">
                  <c:v>625.05787037037055</c:v>
                </c:pt>
                <c:pt idx="224">
                  <c:v>627.95138888888869</c:v>
                </c:pt>
                <c:pt idx="225">
                  <c:v>630.84490740740739</c:v>
                </c:pt>
                <c:pt idx="226">
                  <c:v>633.73842592592598</c:v>
                </c:pt>
                <c:pt idx="227">
                  <c:v>636.63194444444446</c:v>
                </c:pt>
                <c:pt idx="228">
                  <c:v>639.52546296296305</c:v>
                </c:pt>
                <c:pt idx="229">
                  <c:v>642.41898148148141</c:v>
                </c:pt>
                <c:pt idx="230">
                  <c:v>645.31249999999977</c:v>
                </c:pt>
                <c:pt idx="231">
                  <c:v>648.20601851851859</c:v>
                </c:pt>
                <c:pt idx="232">
                  <c:v>651.09953703703741</c:v>
                </c:pt>
                <c:pt idx="233">
                  <c:v>653.99305555555554</c:v>
                </c:pt>
                <c:pt idx="234">
                  <c:v>656.88657407407402</c:v>
                </c:pt>
                <c:pt idx="235">
                  <c:v>659.78009259259284</c:v>
                </c:pt>
                <c:pt idx="236">
                  <c:v>662.67361111111109</c:v>
                </c:pt>
                <c:pt idx="237">
                  <c:v>665.56712962962933</c:v>
                </c:pt>
                <c:pt idx="238">
                  <c:v>668.46064814814804</c:v>
                </c:pt>
                <c:pt idx="239">
                  <c:v>671.35416666666663</c:v>
                </c:pt>
                <c:pt idx="240">
                  <c:v>674.24768518518488</c:v>
                </c:pt>
              </c:numCache>
            </c:numRef>
          </c:xVal>
          <c:yVal>
            <c:numRef>
              <c:f>MaxDiameterIncrease!$H$2:$H$242</c:f>
              <c:numCache>
                <c:formatCode>General</c:formatCode>
                <c:ptCount val="241"/>
                <c:pt idx="0">
                  <c:v>0</c:v>
                </c:pt>
                <c:pt idx="1">
                  <c:v>16.645388818958999</c:v>
                </c:pt>
                <c:pt idx="2">
                  <c:v>16.494716700902</c:v>
                </c:pt>
                <c:pt idx="3">
                  <c:v>16.418838902569991</c:v>
                </c:pt>
                <c:pt idx="4">
                  <c:v>16.362745797112002</c:v>
                </c:pt>
                <c:pt idx="5">
                  <c:v>16.365150320070001</c:v>
                </c:pt>
                <c:pt idx="6">
                  <c:v>16.369560547338001</c:v>
                </c:pt>
                <c:pt idx="7">
                  <c:v>16.370539619683999</c:v>
                </c:pt>
                <c:pt idx="8">
                  <c:v>16.370504120187</c:v>
                </c:pt>
                <c:pt idx="9">
                  <c:v>16.370440322299999</c:v>
                </c:pt>
                <c:pt idx="10">
                  <c:v>16.370360355483001</c:v>
                </c:pt>
                <c:pt idx="11">
                  <c:v>16.370294197269001</c:v>
                </c:pt>
                <c:pt idx="12">
                  <c:v>16.370237238474001</c:v>
                </c:pt>
                <c:pt idx="13">
                  <c:v>16.370187579810999</c:v>
                </c:pt>
                <c:pt idx="14">
                  <c:v>16.370143526366991</c:v>
                </c:pt>
                <c:pt idx="15">
                  <c:v>16.370104419650001</c:v>
                </c:pt>
                <c:pt idx="16">
                  <c:v>16.370070110659</c:v>
                </c:pt>
                <c:pt idx="17">
                  <c:v>16.37003766283599</c:v>
                </c:pt>
                <c:pt idx="18">
                  <c:v>16.370011122135001</c:v>
                </c:pt>
                <c:pt idx="19">
                  <c:v>16.369989683859991</c:v>
                </c:pt>
                <c:pt idx="20">
                  <c:v>16.369973390973001</c:v>
                </c:pt>
                <c:pt idx="21">
                  <c:v>16.36996167030599</c:v>
                </c:pt>
                <c:pt idx="22">
                  <c:v>16.369957173284</c:v>
                </c:pt>
                <c:pt idx="23">
                  <c:v>16.369953722602009</c:v>
                </c:pt>
                <c:pt idx="24">
                  <c:v>16.369956722335001</c:v>
                </c:pt>
                <c:pt idx="25">
                  <c:v>16.369964295540999</c:v>
                </c:pt>
                <c:pt idx="26">
                  <c:v>16.369975929247001</c:v>
                </c:pt>
                <c:pt idx="27">
                  <c:v>16.369991276587999</c:v>
                </c:pt>
                <c:pt idx="28">
                  <c:v>16.370009377658999</c:v>
                </c:pt>
                <c:pt idx="29">
                  <c:v>16.370030560004999</c:v>
                </c:pt>
                <c:pt idx="30">
                  <c:v>16.370054376561999</c:v>
                </c:pt>
                <c:pt idx="31">
                  <c:v>16.370081179822009</c:v>
                </c:pt>
                <c:pt idx="32">
                  <c:v>16.370111813413001</c:v>
                </c:pt>
                <c:pt idx="33">
                  <c:v>16.370146149675001</c:v>
                </c:pt>
                <c:pt idx="34">
                  <c:v>16.370183093723</c:v>
                </c:pt>
                <c:pt idx="35">
                  <c:v>16.370223468069</c:v>
                </c:pt>
                <c:pt idx="36">
                  <c:v>16.370266158959009</c:v>
                </c:pt>
                <c:pt idx="37">
                  <c:v>16.370313336984999</c:v>
                </c:pt>
                <c:pt idx="38">
                  <c:v>16.370365446019001</c:v>
                </c:pt>
                <c:pt idx="39">
                  <c:v>16.370421773322999</c:v>
                </c:pt>
                <c:pt idx="40">
                  <c:v>16.370481857670999</c:v>
                </c:pt>
                <c:pt idx="41">
                  <c:v>16.370545465799001</c:v>
                </c:pt>
                <c:pt idx="42">
                  <c:v>16.370612347102</c:v>
                </c:pt>
                <c:pt idx="43">
                  <c:v>16.370682235286001</c:v>
                </c:pt>
                <c:pt idx="44">
                  <c:v>16.370754969871001</c:v>
                </c:pt>
                <c:pt idx="45">
                  <c:v>16.370830373101999</c:v>
                </c:pt>
                <c:pt idx="46">
                  <c:v>16.370908381879001</c:v>
                </c:pt>
                <c:pt idx="47">
                  <c:v>16.370988394982</c:v>
                </c:pt>
                <c:pt idx="48">
                  <c:v>16.371067976466001</c:v>
                </c:pt>
                <c:pt idx="49">
                  <c:v>16.371144679459</c:v>
                </c:pt>
                <c:pt idx="50">
                  <c:v>16.371215912539</c:v>
                </c:pt>
                <c:pt idx="51">
                  <c:v>16.371282743159</c:v>
                </c:pt>
                <c:pt idx="52">
                  <c:v>16.371346347199001</c:v>
                </c:pt>
                <c:pt idx="53">
                  <c:v>16.371407434811999</c:v>
                </c:pt>
                <c:pt idx="54">
                  <c:v>16.371466848619999</c:v>
                </c:pt>
                <c:pt idx="55">
                  <c:v>16.371524595589001</c:v>
                </c:pt>
                <c:pt idx="56">
                  <c:v>16.371580538882991</c:v>
                </c:pt>
                <c:pt idx="57">
                  <c:v>16.371634666254</c:v>
                </c:pt>
                <c:pt idx="58">
                  <c:v>16.371687022030009</c:v>
                </c:pt>
                <c:pt idx="59">
                  <c:v>16.371737879168979</c:v>
                </c:pt>
                <c:pt idx="60">
                  <c:v>16.371787250573981</c:v>
                </c:pt>
                <c:pt idx="61">
                  <c:v>16.371835057956009</c:v>
                </c:pt>
                <c:pt idx="62">
                  <c:v>16.371881563104001</c:v>
                </c:pt>
                <c:pt idx="63">
                  <c:v>16.371926666429001</c:v>
                </c:pt>
                <c:pt idx="64">
                  <c:v>16.371970431794999</c:v>
                </c:pt>
                <c:pt idx="65">
                  <c:v>16.372012869254991</c:v>
                </c:pt>
                <c:pt idx="66">
                  <c:v>16.372054378455001</c:v>
                </c:pt>
                <c:pt idx="67">
                  <c:v>16.372094421158</c:v>
                </c:pt>
                <c:pt idx="68">
                  <c:v>16.372133463030991</c:v>
                </c:pt>
                <c:pt idx="69">
                  <c:v>16.372171324467001</c:v>
                </c:pt>
                <c:pt idx="70">
                  <c:v>16.372208141978</c:v>
                </c:pt>
                <c:pt idx="71">
                  <c:v>16.372243854951002</c:v>
                </c:pt>
                <c:pt idx="72">
                  <c:v>16.372278394715</c:v>
                </c:pt>
                <c:pt idx="73">
                  <c:v>16.372312126732002</c:v>
                </c:pt>
                <c:pt idx="74">
                  <c:v>16.37234467890698</c:v>
                </c:pt>
                <c:pt idx="75">
                  <c:v>16.372376310716</c:v>
                </c:pt>
                <c:pt idx="76">
                  <c:v>16.372407073973989</c:v>
                </c:pt>
                <c:pt idx="77">
                  <c:v>16.372436802494999</c:v>
                </c:pt>
                <c:pt idx="78">
                  <c:v>16.372465719495999</c:v>
                </c:pt>
                <c:pt idx="79">
                  <c:v>16.372493668665001</c:v>
                </c:pt>
                <c:pt idx="80">
                  <c:v>16.372520851912981</c:v>
                </c:pt>
                <c:pt idx="81">
                  <c:v>16.372547208427989</c:v>
                </c:pt>
                <c:pt idx="82">
                  <c:v>16.372572832088981</c:v>
                </c:pt>
                <c:pt idx="83">
                  <c:v>16.372597615699991</c:v>
                </c:pt>
                <c:pt idx="84">
                  <c:v>16.372621670912981</c:v>
                </c:pt>
                <c:pt idx="85">
                  <c:v>16.372645460009</c:v>
                </c:pt>
                <c:pt idx="86">
                  <c:v>16.372669660848</c:v>
                </c:pt>
                <c:pt idx="87">
                  <c:v>16.372690867271</c:v>
                </c:pt>
                <c:pt idx="88">
                  <c:v>16.372708807197981</c:v>
                </c:pt>
                <c:pt idx="89">
                  <c:v>16.372723356712001</c:v>
                </c:pt>
                <c:pt idx="90">
                  <c:v>16.372735280368989</c:v>
                </c:pt>
                <c:pt idx="91">
                  <c:v>16.372744434713979</c:v>
                </c:pt>
                <c:pt idx="92">
                  <c:v>16.372751769783001</c:v>
                </c:pt>
                <c:pt idx="93">
                  <c:v>16.372757333425</c:v>
                </c:pt>
                <c:pt idx="94">
                  <c:v>16.37276198951599</c:v>
                </c:pt>
                <c:pt idx="95">
                  <c:v>16.372765657517999</c:v>
                </c:pt>
                <c:pt idx="96">
                  <c:v>16.372769183582001</c:v>
                </c:pt>
                <c:pt idx="97">
                  <c:v>16.37277315645601</c:v>
                </c:pt>
                <c:pt idx="98">
                  <c:v>16.372778631858001</c:v>
                </c:pt>
                <c:pt idx="99">
                  <c:v>16.372783928014009</c:v>
                </c:pt>
                <c:pt idx="100">
                  <c:v>16.372788696434991</c:v>
                </c:pt>
                <c:pt idx="101">
                  <c:v>16.37280525865701</c:v>
                </c:pt>
                <c:pt idx="102">
                  <c:v>16.372820283919001</c:v>
                </c:pt>
                <c:pt idx="103">
                  <c:v>16.37283885754</c:v>
                </c:pt>
                <c:pt idx="104">
                  <c:v>16.372862388624991</c:v>
                </c:pt>
                <c:pt idx="105">
                  <c:v>16.372890686691999</c:v>
                </c:pt>
                <c:pt idx="106">
                  <c:v>16.372922716095999</c:v>
                </c:pt>
                <c:pt idx="107">
                  <c:v>16.372959403764991</c:v>
                </c:pt>
                <c:pt idx="108">
                  <c:v>16.373001677032001</c:v>
                </c:pt>
                <c:pt idx="109">
                  <c:v>16.373055493846</c:v>
                </c:pt>
                <c:pt idx="110">
                  <c:v>16.373117044234991</c:v>
                </c:pt>
                <c:pt idx="111">
                  <c:v>16.373185249984001</c:v>
                </c:pt>
                <c:pt idx="112">
                  <c:v>16.373259726589001</c:v>
                </c:pt>
                <c:pt idx="113">
                  <c:v>16.373343292853999</c:v>
                </c:pt>
                <c:pt idx="114">
                  <c:v>16.373438774216009</c:v>
                </c:pt>
                <c:pt idx="115">
                  <c:v>16.37354286542098</c:v>
                </c:pt>
                <c:pt idx="116">
                  <c:v>16.373654168571999</c:v>
                </c:pt>
                <c:pt idx="117">
                  <c:v>16.373775146753999</c:v>
                </c:pt>
                <c:pt idx="118">
                  <c:v>16.373908085694001</c:v>
                </c:pt>
                <c:pt idx="119">
                  <c:v>16.374049909213991</c:v>
                </c:pt>
                <c:pt idx="120">
                  <c:v>16.374200676817001</c:v>
                </c:pt>
                <c:pt idx="121">
                  <c:v>16.374446381632001</c:v>
                </c:pt>
                <c:pt idx="122">
                  <c:v>16.374667405322</c:v>
                </c:pt>
                <c:pt idx="123">
                  <c:v>16.374866861205</c:v>
                </c:pt>
                <c:pt idx="124">
                  <c:v>16.375052265853</c:v>
                </c:pt>
                <c:pt idx="125">
                  <c:v>16.37522607784998</c:v>
                </c:pt>
                <c:pt idx="126">
                  <c:v>16.375390034469</c:v>
                </c:pt>
                <c:pt idx="127">
                  <c:v>16.375545937908001</c:v>
                </c:pt>
                <c:pt idx="128">
                  <c:v>16.375694070926979</c:v>
                </c:pt>
                <c:pt idx="129">
                  <c:v>16.375835685518009</c:v>
                </c:pt>
                <c:pt idx="130">
                  <c:v>16.375971467712009</c:v>
                </c:pt>
                <c:pt idx="131">
                  <c:v>16.376102496447</c:v>
                </c:pt>
                <c:pt idx="132">
                  <c:v>16.376228802892001</c:v>
                </c:pt>
                <c:pt idx="133">
                  <c:v>16.376351356320999</c:v>
                </c:pt>
                <c:pt idx="134">
                  <c:v>16.376470637055991</c:v>
                </c:pt>
                <c:pt idx="135">
                  <c:v>16.376586979624999</c:v>
                </c:pt>
                <c:pt idx="136">
                  <c:v>16.376701370298999</c:v>
                </c:pt>
                <c:pt idx="137">
                  <c:v>16.376813457979999</c:v>
                </c:pt>
                <c:pt idx="138">
                  <c:v>16.376924193451</c:v>
                </c:pt>
                <c:pt idx="139">
                  <c:v>16.377033782197</c:v>
                </c:pt>
                <c:pt idx="140">
                  <c:v>16.377143077431001</c:v>
                </c:pt>
                <c:pt idx="141">
                  <c:v>16.377251950295999</c:v>
                </c:pt>
                <c:pt idx="142">
                  <c:v>16.377361222722001</c:v>
                </c:pt>
                <c:pt idx="143">
                  <c:v>16.377471775627999</c:v>
                </c:pt>
                <c:pt idx="144">
                  <c:v>16.377583866915</c:v>
                </c:pt>
                <c:pt idx="145">
                  <c:v>16.37769871835301</c:v>
                </c:pt>
                <c:pt idx="146">
                  <c:v>16.377816627270001</c:v>
                </c:pt>
                <c:pt idx="147">
                  <c:v>16.377939422994</c:v>
                </c:pt>
                <c:pt idx="148">
                  <c:v>16.378068632487999</c:v>
                </c:pt>
                <c:pt idx="149">
                  <c:v>16.378205883399001</c:v>
                </c:pt>
                <c:pt idx="150">
                  <c:v>16.378352092099</c:v>
                </c:pt>
                <c:pt idx="151">
                  <c:v>16.378509896288001</c:v>
                </c:pt>
                <c:pt idx="152">
                  <c:v>16.378682086263002</c:v>
                </c:pt>
                <c:pt idx="153">
                  <c:v>16.37887242803501</c:v>
                </c:pt>
                <c:pt idx="154">
                  <c:v>16.379086168794</c:v>
                </c:pt>
                <c:pt idx="155">
                  <c:v>16.379325663168999</c:v>
                </c:pt>
                <c:pt idx="156">
                  <c:v>16.379601977661981</c:v>
                </c:pt>
                <c:pt idx="157">
                  <c:v>16.379918931226001</c:v>
                </c:pt>
                <c:pt idx="158">
                  <c:v>16.380279946849001</c:v>
                </c:pt>
                <c:pt idx="159">
                  <c:v>16.380636538055992</c:v>
                </c:pt>
                <c:pt idx="160">
                  <c:v>16.381008185608</c:v>
                </c:pt>
                <c:pt idx="161">
                  <c:v>16.381386194754999</c:v>
                </c:pt>
                <c:pt idx="162">
                  <c:v>16.381771774188991</c:v>
                </c:pt>
                <c:pt idx="163">
                  <c:v>16.382165723612999</c:v>
                </c:pt>
                <c:pt idx="164">
                  <c:v>16.382568734220001</c:v>
                </c:pt>
                <c:pt idx="165">
                  <c:v>16.382981693687999</c:v>
                </c:pt>
                <c:pt idx="166">
                  <c:v>16.383405953859999</c:v>
                </c:pt>
                <c:pt idx="167">
                  <c:v>16.383842407378001</c:v>
                </c:pt>
                <c:pt idx="168">
                  <c:v>16.384292330836999</c:v>
                </c:pt>
                <c:pt idx="169">
                  <c:v>16.384755707713001</c:v>
                </c:pt>
                <c:pt idx="170">
                  <c:v>16.38522954463398</c:v>
                </c:pt>
                <c:pt idx="171">
                  <c:v>16.38571248856698</c:v>
                </c:pt>
                <c:pt idx="172">
                  <c:v>16.38620467637498</c:v>
                </c:pt>
                <c:pt idx="173">
                  <c:v>16.386706321835</c:v>
                </c:pt>
                <c:pt idx="174">
                  <c:v>16.387217382852999</c:v>
                </c:pt>
                <c:pt idx="175">
                  <c:v>16.387738056838</c:v>
                </c:pt>
                <c:pt idx="176">
                  <c:v>16.388268182910991</c:v>
                </c:pt>
                <c:pt idx="177">
                  <c:v>16.388807907402999</c:v>
                </c:pt>
                <c:pt idx="178">
                  <c:v>16.38935704932798</c:v>
                </c:pt>
                <c:pt idx="179">
                  <c:v>16.389918062454001</c:v>
                </c:pt>
                <c:pt idx="180">
                  <c:v>16.390492678809</c:v>
                </c:pt>
                <c:pt idx="181">
                  <c:v>16.391087769125001</c:v>
                </c:pt>
                <c:pt idx="182">
                  <c:v>16.391703550288</c:v>
                </c:pt>
                <c:pt idx="183">
                  <c:v>16.39234017719</c:v>
                </c:pt>
                <c:pt idx="184">
                  <c:v>16.392991592971001</c:v>
                </c:pt>
                <c:pt idx="185">
                  <c:v>16.393655167837</c:v>
                </c:pt>
                <c:pt idx="186">
                  <c:v>16.394330412727999</c:v>
                </c:pt>
                <c:pt idx="187">
                  <c:v>16.395017260717001</c:v>
                </c:pt>
                <c:pt idx="188">
                  <c:v>16.395714284579981</c:v>
                </c:pt>
                <c:pt idx="189">
                  <c:v>16.396420581899999</c:v>
                </c:pt>
                <c:pt idx="190">
                  <c:v>16.397135742505991</c:v>
                </c:pt>
                <c:pt idx="191">
                  <c:v>16.397859056577001</c:v>
                </c:pt>
                <c:pt idx="192">
                  <c:v>16.398594148021001</c:v>
                </c:pt>
                <c:pt idx="193">
                  <c:v>16.399339480516002</c:v>
                </c:pt>
                <c:pt idx="194">
                  <c:v>16.400094333617002</c:v>
                </c:pt>
                <c:pt idx="195">
                  <c:v>16.400864988392001</c:v>
                </c:pt>
                <c:pt idx="196">
                  <c:v>16.40164973516098</c:v>
                </c:pt>
                <c:pt idx="197">
                  <c:v>16.402445831825979</c:v>
                </c:pt>
                <c:pt idx="198">
                  <c:v>16.403252152728001</c:v>
                </c:pt>
                <c:pt idx="199">
                  <c:v>16.404068230991001</c:v>
                </c:pt>
                <c:pt idx="200">
                  <c:v>16.404894259835</c:v>
                </c:pt>
                <c:pt idx="201">
                  <c:v>16.40572523940498</c:v>
                </c:pt>
                <c:pt idx="202">
                  <c:v>16.406533407116001</c:v>
                </c:pt>
                <c:pt idx="203">
                  <c:v>16.407320804526989</c:v>
                </c:pt>
                <c:pt idx="204">
                  <c:v>16.408086043211991</c:v>
                </c:pt>
                <c:pt idx="205">
                  <c:v>16.408829100937002</c:v>
                </c:pt>
                <c:pt idx="206">
                  <c:v>16.40955007972698</c:v>
                </c:pt>
                <c:pt idx="207">
                  <c:v>16.410249004099999</c:v>
                </c:pt>
                <c:pt idx="208">
                  <c:v>16.410927333570999</c:v>
                </c:pt>
                <c:pt idx="209">
                  <c:v>16.411586233274001</c:v>
                </c:pt>
                <c:pt idx="210">
                  <c:v>16.412228980677</c:v>
                </c:pt>
                <c:pt idx="211">
                  <c:v>16.412857350671999</c:v>
                </c:pt>
                <c:pt idx="212">
                  <c:v>16.413471007205999</c:v>
                </c:pt>
                <c:pt idx="213">
                  <c:v>16.414069720871009</c:v>
                </c:pt>
                <c:pt idx="214">
                  <c:v>16.414654019301</c:v>
                </c:pt>
                <c:pt idx="215">
                  <c:v>16.41522298668</c:v>
                </c:pt>
                <c:pt idx="216">
                  <c:v>16.415776085491</c:v>
                </c:pt>
                <c:pt idx="217">
                  <c:v>16.416314199098</c:v>
                </c:pt>
                <c:pt idx="218">
                  <c:v>16.4242218248</c:v>
                </c:pt>
                <c:pt idx="219">
                  <c:v>16.434198293916001</c:v>
                </c:pt>
                <c:pt idx="220">
                  <c:v>16.443945904606</c:v>
                </c:pt>
                <c:pt idx="221">
                  <c:v>16.453531844554</c:v>
                </c:pt>
                <c:pt idx="222">
                  <c:v>16.461893451007999</c:v>
                </c:pt>
                <c:pt idx="223">
                  <c:v>16.467845330685002</c:v>
                </c:pt>
                <c:pt idx="224">
                  <c:v>16.477708410786999</c:v>
                </c:pt>
                <c:pt idx="225">
                  <c:v>16.491353812781981</c:v>
                </c:pt>
                <c:pt idx="226">
                  <c:v>16.587271683811991</c:v>
                </c:pt>
                <c:pt idx="227">
                  <c:v>16.683582201803979</c:v>
                </c:pt>
                <c:pt idx="228">
                  <c:v>16.744350635989999</c:v>
                </c:pt>
                <c:pt idx="229">
                  <c:v>16.79054177598498</c:v>
                </c:pt>
                <c:pt idx="230">
                  <c:v>16.823660196485999</c:v>
                </c:pt>
                <c:pt idx="231">
                  <c:v>16.850577749625991</c:v>
                </c:pt>
                <c:pt idx="232">
                  <c:v>16.874125249517</c:v>
                </c:pt>
                <c:pt idx="233">
                  <c:v>16.895505398584</c:v>
                </c:pt>
                <c:pt idx="234">
                  <c:v>16.915428707623999</c:v>
                </c:pt>
                <c:pt idx="235">
                  <c:v>16.934356042261999</c:v>
                </c:pt>
                <c:pt idx="236">
                  <c:v>16.952725427207</c:v>
                </c:pt>
                <c:pt idx="237">
                  <c:v>16.970956515845</c:v>
                </c:pt>
                <c:pt idx="238">
                  <c:v>16.989050405021999</c:v>
                </c:pt>
                <c:pt idx="239">
                  <c:v>17.007058570963981</c:v>
                </c:pt>
                <c:pt idx="240">
                  <c:v>17.02512122727299</c:v>
                </c:pt>
              </c:numCache>
            </c:numRef>
          </c:yVal>
          <c:smooth val="0"/>
        </c:ser>
        <c:ser>
          <c:idx val="2"/>
          <c:order val="2"/>
          <c:tx>
            <c:strRef>
              <c:f>MaxDiameterIncrease!$D$1</c:f>
              <c:strCache>
                <c:ptCount val="1"/>
                <c:pt idx="0">
                  <c:v>Zircaloy</c:v>
                </c:pt>
              </c:strCache>
            </c:strRef>
          </c:tx>
          <c:spPr>
            <a:ln w="38100"/>
          </c:spPr>
          <c:marker>
            <c:symbol val="none"/>
          </c:marker>
          <c:xVal>
            <c:numRef>
              <c:f>MaxDiameterIncrease!$F$2:$F$242</c:f>
              <c:numCache>
                <c:formatCode>0.00E+00</c:formatCode>
                <c:ptCount val="241"/>
                <c:pt idx="0">
                  <c:v>0</c:v>
                </c:pt>
                <c:pt idx="1">
                  <c:v>1.1574074074074099E-2</c:v>
                </c:pt>
                <c:pt idx="2">
                  <c:v>3.4722222222222203E-2</c:v>
                </c:pt>
                <c:pt idx="3">
                  <c:v>8.1018518518518504E-2</c:v>
                </c:pt>
                <c:pt idx="4">
                  <c:v>0.17361111111111099</c:v>
                </c:pt>
                <c:pt idx="5">
                  <c:v>0.358796296296296</c:v>
                </c:pt>
                <c:pt idx="6">
                  <c:v>0.72916666666666596</c:v>
                </c:pt>
                <c:pt idx="7">
                  <c:v>1.469907407407407</c:v>
                </c:pt>
                <c:pt idx="8">
                  <c:v>2.9513888888888871</c:v>
                </c:pt>
                <c:pt idx="9">
                  <c:v>5.8449074074074048</c:v>
                </c:pt>
                <c:pt idx="10">
                  <c:v>8.738425925925922</c:v>
                </c:pt>
                <c:pt idx="11">
                  <c:v>11.631944444444439</c:v>
                </c:pt>
                <c:pt idx="12">
                  <c:v>14.52546296296296</c:v>
                </c:pt>
                <c:pt idx="13">
                  <c:v>17.418981481481481</c:v>
                </c:pt>
                <c:pt idx="14">
                  <c:v>20.3125</c:v>
                </c:pt>
                <c:pt idx="15">
                  <c:v>23.206018518518519</c:v>
                </c:pt>
                <c:pt idx="16">
                  <c:v>26.09953703703702</c:v>
                </c:pt>
                <c:pt idx="17">
                  <c:v>28.993055555555561</c:v>
                </c:pt>
                <c:pt idx="18">
                  <c:v>31.88657407407408</c:v>
                </c:pt>
                <c:pt idx="19">
                  <c:v>34.780092592592567</c:v>
                </c:pt>
                <c:pt idx="20">
                  <c:v>37.673611111111107</c:v>
                </c:pt>
                <c:pt idx="21">
                  <c:v>40.567129629629633</c:v>
                </c:pt>
                <c:pt idx="22">
                  <c:v>43.460648148148152</c:v>
                </c:pt>
                <c:pt idx="23">
                  <c:v>46.354166666666622</c:v>
                </c:pt>
                <c:pt idx="24">
                  <c:v>49.247685185185183</c:v>
                </c:pt>
                <c:pt idx="25">
                  <c:v>52.141203703703702</c:v>
                </c:pt>
                <c:pt idx="26">
                  <c:v>55.034722222222221</c:v>
                </c:pt>
                <c:pt idx="27">
                  <c:v>57.92824074074074</c:v>
                </c:pt>
                <c:pt idx="28">
                  <c:v>60.821759259259252</c:v>
                </c:pt>
                <c:pt idx="29">
                  <c:v>63.715277777777779</c:v>
                </c:pt>
                <c:pt idx="30">
                  <c:v>66.608796296296234</c:v>
                </c:pt>
                <c:pt idx="31">
                  <c:v>69.502314814814767</c:v>
                </c:pt>
                <c:pt idx="32">
                  <c:v>72.3958333333333</c:v>
                </c:pt>
                <c:pt idx="33">
                  <c:v>75.289351851851805</c:v>
                </c:pt>
                <c:pt idx="34">
                  <c:v>78.182870370370324</c:v>
                </c:pt>
                <c:pt idx="35">
                  <c:v>81.076388888888829</c:v>
                </c:pt>
                <c:pt idx="36">
                  <c:v>83.969907407407433</c:v>
                </c:pt>
                <c:pt idx="37">
                  <c:v>86.863425925925924</c:v>
                </c:pt>
                <c:pt idx="38">
                  <c:v>89.756944444444443</c:v>
                </c:pt>
                <c:pt idx="39">
                  <c:v>92.650462962962948</c:v>
                </c:pt>
                <c:pt idx="40">
                  <c:v>95.543981481481481</c:v>
                </c:pt>
                <c:pt idx="41">
                  <c:v>98.4375</c:v>
                </c:pt>
                <c:pt idx="42">
                  <c:v>101.3310185185185</c:v>
                </c:pt>
                <c:pt idx="43">
                  <c:v>104.224537037037</c:v>
                </c:pt>
                <c:pt idx="44">
                  <c:v>107.1180555555555</c:v>
                </c:pt>
                <c:pt idx="45">
                  <c:v>110.0115740740741</c:v>
                </c:pt>
                <c:pt idx="46">
                  <c:v>112.9050925925926</c:v>
                </c:pt>
                <c:pt idx="47">
                  <c:v>115.7986111111111</c:v>
                </c:pt>
                <c:pt idx="48">
                  <c:v>118.6921296296296</c:v>
                </c:pt>
                <c:pt idx="49">
                  <c:v>121.5856481481481</c:v>
                </c:pt>
                <c:pt idx="50">
                  <c:v>124.4791666666667</c:v>
                </c:pt>
                <c:pt idx="51">
                  <c:v>127.3726851851852</c:v>
                </c:pt>
                <c:pt idx="52">
                  <c:v>130.2662037037037</c:v>
                </c:pt>
                <c:pt idx="53">
                  <c:v>133.1597222222222</c:v>
                </c:pt>
                <c:pt idx="54">
                  <c:v>136.0532407407407</c:v>
                </c:pt>
                <c:pt idx="55">
                  <c:v>138.94675925925921</c:v>
                </c:pt>
                <c:pt idx="56">
                  <c:v>141.8402777777778</c:v>
                </c:pt>
                <c:pt idx="57">
                  <c:v>144.7337962962963</c:v>
                </c:pt>
                <c:pt idx="58">
                  <c:v>147.62731481481481</c:v>
                </c:pt>
                <c:pt idx="59">
                  <c:v>150.5208333333334</c:v>
                </c:pt>
                <c:pt idx="60">
                  <c:v>153.41435185185179</c:v>
                </c:pt>
                <c:pt idx="61">
                  <c:v>156.30787037037041</c:v>
                </c:pt>
                <c:pt idx="62">
                  <c:v>159.201388888889</c:v>
                </c:pt>
                <c:pt idx="63">
                  <c:v>162.09490740740739</c:v>
                </c:pt>
                <c:pt idx="64">
                  <c:v>164.98842592592601</c:v>
                </c:pt>
                <c:pt idx="65">
                  <c:v>167.88194444444451</c:v>
                </c:pt>
                <c:pt idx="66">
                  <c:v>170.77546296296291</c:v>
                </c:pt>
                <c:pt idx="67">
                  <c:v>173.6689814814815</c:v>
                </c:pt>
                <c:pt idx="68">
                  <c:v>176.5625</c:v>
                </c:pt>
                <c:pt idx="69">
                  <c:v>179.4560185185185</c:v>
                </c:pt>
                <c:pt idx="70">
                  <c:v>182.34953703703701</c:v>
                </c:pt>
                <c:pt idx="71">
                  <c:v>185.2430555555554</c:v>
                </c:pt>
                <c:pt idx="72">
                  <c:v>188.13657407407399</c:v>
                </c:pt>
                <c:pt idx="73">
                  <c:v>191.03009259259261</c:v>
                </c:pt>
                <c:pt idx="74">
                  <c:v>193.92361111111109</c:v>
                </c:pt>
                <c:pt idx="75">
                  <c:v>196.81712962962959</c:v>
                </c:pt>
                <c:pt idx="76">
                  <c:v>199.7106481481481</c:v>
                </c:pt>
                <c:pt idx="77">
                  <c:v>202.6041666666666</c:v>
                </c:pt>
                <c:pt idx="78">
                  <c:v>205.49768518518519</c:v>
                </c:pt>
                <c:pt idx="79">
                  <c:v>208.39120370370381</c:v>
                </c:pt>
                <c:pt idx="80">
                  <c:v>211.2847222222222</c:v>
                </c:pt>
                <c:pt idx="81">
                  <c:v>214.1782407407407</c:v>
                </c:pt>
                <c:pt idx="82">
                  <c:v>217.07175925925921</c:v>
                </c:pt>
                <c:pt idx="83">
                  <c:v>219.9652777777778</c:v>
                </c:pt>
                <c:pt idx="84">
                  <c:v>222.8587962962963</c:v>
                </c:pt>
                <c:pt idx="85">
                  <c:v>225.75231481481481</c:v>
                </c:pt>
                <c:pt idx="86">
                  <c:v>228.64583333333329</c:v>
                </c:pt>
                <c:pt idx="87">
                  <c:v>231.53935185185179</c:v>
                </c:pt>
                <c:pt idx="88">
                  <c:v>234.43287037037041</c:v>
                </c:pt>
                <c:pt idx="89">
                  <c:v>237.326388888889</c:v>
                </c:pt>
                <c:pt idx="90">
                  <c:v>240.21990740740739</c:v>
                </c:pt>
                <c:pt idx="91">
                  <c:v>243.1134259259259</c:v>
                </c:pt>
                <c:pt idx="92">
                  <c:v>246.00694444444451</c:v>
                </c:pt>
                <c:pt idx="93">
                  <c:v>248.90046296296299</c:v>
                </c:pt>
                <c:pt idx="94">
                  <c:v>251.7939814814815</c:v>
                </c:pt>
                <c:pt idx="95">
                  <c:v>254.6875</c:v>
                </c:pt>
                <c:pt idx="96">
                  <c:v>257.58101851851842</c:v>
                </c:pt>
                <c:pt idx="97">
                  <c:v>260.47453703703701</c:v>
                </c:pt>
                <c:pt idx="98">
                  <c:v>263.36805555555549</c:v>
                </c:pt>
                <c:pt idx="99">
                  <c:v>266.26157407407391</c:v>
                </c:pt>
                <c:pt idx="100">
                  <c:v>269.15509259259261</c:v>
                </c:pt>
                <c:pt idx="101">
                  <c:v>272.04861111111109</c:v>
                </c:pt>
                <c:pt idx="102">
                  <c:v>274.94212962962962</c:v>
                </c:pt>
                <c:pt idx="103">
                  <c:v>277.83564814814821</c:v>
                </c:pt>
                <c:pt idx="104">
                  <c:v>280.72916666666669</c:v>
                </c:pt>
                <c:pt idx="105">
                  <c:v>283.62268518518522</c:v>
                </c:pt>
                <c:pt idx="106">
                  <c:v>286.5162037037037</c:v>
                </c:pt>
                <c:pt idx="107">
                  <c:v>289.40972222222211</c:v>
                </c:pt>
                <c:pt idx="108">
                  <c:v>292.30324074074082</c:v>
                </c:pt>
                <c:pt idx="109">
                  <c:v>295.19675925925912</c:v>
                </c:pt>
                <c:pt idx="110">
                  <c:v>298.0902777777776</c:v>
                </c:pt>
                <c:pt idx="111">
                  <c:v>300.98379629629608</c:v>
                </c:pt>
                <c:pt idx="112">
                  <c:v>303.87731481481472</c:v>
                </c:pt>
                <c:pt idx="113">
                  <c:v>306.77083333333331</c:v>
                </c:pt>
                <c:pt idx="114">
                  <c:v>309.66435185185202</c:v>
                </c:pt>
                <c:pt idx="115">
                  <c:v>312.55787037037032</c:v>
                </c:pt>
                <c:pt idx="116">
                  <c:v>315.45138888888891</c:v>
                </c:pt>
                <c:pt idx="117">
                  <c:v>318.34490740740739</c:v>
                </c:pt>
                <c:pt idx="118">
                  <c:v>321.23842592592592</c:v>
                </c:pt>
                <c:pt idx="119">
                  <c:v>324.13194444444429</c:v>
                </c:pt>
                <c:pt idx="120">
                  <c:v>327.02546296296299</c:v>
                </c:pt>
                <c:pt idx="121">
                  <c:v>329.91898148148141</c:v>
                </c:pt>
                <c:pt idx="122">
                  <c:v>332.8125</c:v>
                </c:pt>
                <c:pt idx="123">
                  <c:v>335.70601851851842</c:v>
                </c:pt>
                <c:pt idx="124">
                  <c:v>338.59953703703701</c:v>
                </c:pt>
                <c:pt idx="125">
                  <c:v>341.49305555555537</c:v>
                </c:pt>
                <c:pt idx="126">
                  <c:v>344.38657407407391</c:v>
                </c:pt>
                <c:pt idx="127">
                  <c:v>347.28009259259238</c:v>
                </c:pt>
                <c:pt idx="128">
                  <c:v>350.17361111111109</c:v>
                </c:pt>
                <c:pt idx="129">
                  <c:v>353.06712962962968</c:v>
                </c:pt>
                <c:pt idx="130">
                  <c:v>355.96064814814821</c:v>
                </c:pt>
                <c:pt idx="131">
                  <c:v>358.8541666666668</c:v>
                </c:pt>
                <c:pt idx="132">
                  <c:v>361.74768518518522</c:v>
                </c:pt>
                <c:pt idx="133">
                  <c:v>364.6412037037037</c:v>
                </c:pt>
                <c:pt idx="134">
                  <c:v>367.53472222222211</c:v>
                </c:pt>
                <c:pt idx="135">
                  <c:v>370.42824074074059</c:v>
                </c:pt>
                <c:pt idx="136">
                  <c:v>373.32175925925912</c:v>
                </c:pt>
                <c:pt idx="137">
                  <c:v>376.2152777777776</c:v>
                </c:pt>
                <c:pt idx="138">
                  <c:v>379.10879629629619</c:v>
                </c:pt>
                <c:pt idx="139">
                  <c:v>382.00231481481472</c:v>
                </c:pt>
                <c:pt idx="140">
                  <c:v>384.89583333333331</c:v>
                </c:pt>
                <c:pt idx="141">
                  <c:v>387.78935185185179</c:v>
                </c:pt>
                <c:pt idx="142">
                  <c:v>390.68287037037032</c:v>
                </c:pt>
                <c:pt idx="143">
                  <c:v>393.57638888888891</c:v>
                </c:pt>
                <c:pt idx="144">
                  <c:v>396.46990740740728</c:v>
                </c:pt>
                <c:pt idx="145">
                  <c:v>399.36342592592598</c:v>
                </c:pt>
                <c:pt idx="146">
                  <c:v>402.25694444444429</c:v>
                </c:pt>
                <c:pt idx="147">
                  <c:v>405.15046296296299</c:v>
                </c:pt>
                <c:pt idx="148">
                  <c:v>408.04398148148152</c:v>
                </c:pt>
                <c:pt idx="149">
                  <c:v>410.93749999999977</c:v>
                </c:pt>
                <c:pt idx="150">
                  <c:v>413.83101851851842</c:v>
                </c:pt>
                <c:pt idx="151">
                  <c:v>416.72453703703701</c:v>
                </c:pt>
                <c:pt idx="152">
                  <c:v>419.61805555555549</c:v>
                </c:pt>
                <c:pt idx="153">
                  <c:v>422.51157407407391</c:v>
                </c:pt>
                <c:pt idx="154">
                  <c:v>425.40509259259238</c:v>
                </c:pt>
                <c:pt idx="155">
                  <c:v>428.29861111111109</c:v>
                </c:pt>
                <c:pt idx="156">
                  <c:v>431.19212962962968</c:v>
                </c:pt>
                <c:pt idx="157">
                  <c:v>434.08564814814821</c:v>
                </c:pt>
                <c:pt idx="158">
                  <c:v>436.97916666666669</c:v>
                </c:pt>
                <c:pt idx="159">
                  <c:v>439.87268518518522</c:v>
                </c:pt>
                <c:pt idx="160">
                  <c:v>442.7662037037037</c:v>
                </c:pt>
                <c:pt idx="161">
                  <c:v>445.65972222222229</c:v>
                </c:pt>
                <c:pt idx="162">
                  <c:v>448.55324074074082</c:v>
                </c:pt>
                <c:pt idx="163">
                  <c:v>451.44675925925912</c:v>
                </c:pt>
                <c:pt idx="164">
                  <c:v>454.34027777777771</c:v>
                </c:pt>
                <c:pt idx="165">
                  <c:v>457.23379629629608</c:v>
                </c:pt>
                <c:pt idx="166">
                  <c:v>460.12731481481472</c:v>
                </c:pt>
                <c:pt idx="167">
                  <c:v>463.02083333333331</c:v>
                </c:pt>
                <c:pt idx="168">
                  <c:v>465.91435185185179</c:v>
                </c:pt>
                <c:pt idx="169">
                  <c:v>468.80787037037032</c:v>
                </c:pt>
                <c:pt idx="170">
                  <c:v>471.70138888888891</c:v>
                </c:pt>
                <c:pt idx="171">
                  <c:v>474.59490740740728</c:v>
                </c:pt>
                <c:pt idx="172">
                  <c:v>477.48842592592592</c:v>
                </c:pt>
                <c:pt idx="173">
                  <c:v>480.38194444444429</c:v>
                </c:pt>
                <c:pt idx="174">
                  <c:v>483.27546296296299</c:v>
                </c:pt>
                <c:pt idx="175">
                  <c:v>486.16898148148152</c:v>
                </c:pt>
                <c:pt idx="176">
                  <c:v>489.0625</c:v>
                </c:pt>
                <c:pt idx="177">
                  <c:v>491.95601851851842</c:v>
                </c:pt>
                <c:pt idx="178">
                  <c:v>494.84953703703701</c:v>
                </c:pt>
                <c:pt idx="179">
                  <c:v>497.74305555555549</c:v>
                </c:pt>
                <c:pt idx="180">
                  <c:v>500.63657407407391</c:v>
                </c:pt>
                <c:pt idx="181">
                  <c:v>503.53009259259238</c:v>
                </c:pt>
                <c:pt idx="182">
                  <c:v>506.42361111111109</c:v>
                </c:pt>
                <c:pt idx="183">
                  <c:v>509.31712962962968</c:v>
                </c:pt>
                <c:pt idx="184">
                  <c:v>512.21064814814815</c:v>
                </c:pt>
                <c:pt idx="185">
                  <c:v>515.10416666666686</c:v>
                </c:pt>
                <c:pt idx="186">
                  <c:v>517.99768518518499</c:v>
                </c:pt>
                <c:pt idx="187">
                  <c:v>520.89120370370335</c:v>
                </c:pt>
                <c:pt idx="188">
                  <c:v>523.78472222222251</c:v>
                </c:pt>
                <c:pt idx="189">
                  <c:v>526.67824074074076</c:v>
                </c:pt>
                <c:pt idx="190">
                  <c:v>529.57175925925935</c:v>
                </c:pt>
                <c:pt idx="191">
                  <c:v>532.46527777777783</c:v>
                </c:pt>
                <c:pt idx="192">
                  <c:v>535.35879629629653</c:v>
                </c:pt>
                <c:pt idx="193">
                  <c:v>538.25231481481455</c:v>
                </c:pt>
                <c:pt idx="194">
                  <c:v>541.14583333333337</c:v>
                </c:pt>
                <c:pt idx="195">
                  <c:v>544.03935185185185</c:v>
                </c:pt>
                <c:pt idx="196">
                  <c:v>546.93287037037055</c:v>
                </c:pt>
                <c:pt idx="197">
                  <c:v>549.82638888888869</c:v>
                </c:pt>
                <c:pt idx="198">
                  <c:v>552.7199074074075</c:v>
                </c:pt>
                <c:pt idx="199">
                  <c:v>555.61342592592587</c:v>
                </c:pt>
                <c:pt idx="200">
                  <c:v>558.50694444444446</c:v>
                </c:pt>
                <c:pt idx="201">
                  <c:v>561.40046296296305</c:v>
                </c:pt>
                <c:pt idx="202">
                  <c:v>564.29398148148152</c:v>
                </c:pt>
                <c:pt idx="203">
                  <c:v>567.1875</c:v>
                </c:pt>
                <c:pt idx="204">
                  <c:v>570.08101851851859</c:v>
                </c:pt>
                <c:pt idx="205">
                  <c:v>572.97453703703741</c:v>
                </c:pt>
                <c:pt idx="206">
                  <c:v>575.86805555555543</c:v>
                </c:pt>
                <c:pt idx="207">
                  <c:v>578.76157407407413</c:v>
                </c:pt>
                <c:pt idx="208">
                  <c:v>581.65509259259261</c:v>
                </c:pt>
                <c:pt idx="209">
                  <c:v>584.54861111111109</c:v>
                </c:pt>
                <c:pt idx="210">
                  <c:v>587.44212962962933</c:v>
                </c:pt>
                <c:pt idx="211">
                  <c:v>590.33564814814804</c:v>
                </c:pt>
                <c:pt idx="212">
                  <c:v>593.22916666666686</c:v>
                </c:pt>
                <c:pt idx="213">
                  <c:v>596.12268518518488</c:v>
                </c:pt>
                <c:pt idx="214">
                  <c:v>599.01620370370335</c:v>
                </c:pt>
                <c:pt idx="215">
                  <c:v>601.90972222222217</c:v>
                </c:pt>
                <c:pt idx="216">
                  <c:v>604.80324074074042</c:v>
                </c:pt>
                <c:pt idx="217">
                  <c:v>607.69675925925935</c:v>
                </c:pt>
                <c:pt idx="218">
                  <c:v>610.59027777777806</c:v>
                </c:pt>
                <c:pt idx="219">
                  <c:v>613.48379629629665</c:v>
                </c:pt>
                <c:pt idx="220">
                  <c:v>616.37731481481467</c:v>
                </c:pt>
                <c:pt idx="221">
                  <c:v>619.27083333333371</c:v>
                </c:pt>
                <c:pt idx="222">
                  <c:v>622.16435185185185</c:v>
                </c:pt>
                <c:pt idx="223">
                  <c:v>625.05787037037055</c:v>
                </c:pt>
                <c:pt idx="224">
                  <c:v>627.95138888888869</c:v>
                </c:pt>
                <c:pt idx="225">
                  <c:v>630.84490740740739</c:v>
                </c:pt>
                <c:pt idx="226">
                  <c:v>633.73842592592598</c:v>
                </c:pt>
                <c:pt idx="227">
                  <c:v>636.63194444444446</c:v>
                </c:pt>
                <c:pt idx="228">
                  <c:v>639.52546296296305</c:v>
                </c:pt>
                <c:pt idx="229">
                  <c:v>642.41898148148141</c:v>
                </c:pt>
                <c:pt idx="230">
                  <c:v>645.31249999999977</c:v>
                </c:pt>
                <c:pt idx="231">
                  <c:v>648.20601851851859</c:v>
                </c:pt>
                <c:pt idx="232">
                  <c:v>651.09953703703741</c:v>
                </c:pt>
                <c:pt idx="233">
                  <c:v>653.99305555555554</c:v>
                </c:pt>
                <c:pt idx="234">
                  <c:v>656.88657407407402</c:v>
                </c:pt>
                <c:pt idx="235">
                  <c:v>659.78009259259284</c:v>
                </c:pt>
                <c:pt idx="236">
                  <c:v>662.67361111111109</c:v>
                </c:pt>
                <c:pt idx="237">
                  <c:v>665.56712962962933</c:v>
                </c:pt>
                <c:pt idx="238">
                  <c:v>668.46064814814804</c:v>
                </c:pt>
                <c:pt idx="239">
                  <c:v>671.35416666666663</c:v>
                </c:pt>
                <c:pt idx="240">
                  <c:v>674.24768518518488</c:v>
                </c:pt>
              </c:numCache>
            </c:numRef>
          </c:xVal>
          <c:yVal>
            <c:numRef>
              <c:f>MaxDiameterIncrease!$I$2:$I$242</c:f>
              <c:numCache>
                <c:formatCode>General</c:formatCode>
                <c:ptCount val="241"/>
                <c:pt idx="0">
                  <c:v>0</c:v>
                </c:pt>
                <c:pt idx="1">
                  <c:v>9.0025943298678008</c:v>
                </c:pt>
                <c:pt idx="2">
                  <c:v>8.8427258021688999</c:v>
                </c:pt>
                <c:pt idx="3">
                  <c:v>8.6988299667731965</c:v>
                </c:pt>
                <c:pt idx="4">
                  <c:v>8.6034894334345999</c:v>
                </c:pt>
                <c:pt idx="5">
                  <c:v>8.6081104869086982</c:v>
                </c:pt>
                <c:pt idx="6">
                  <c:v>8.6170924942043001</c:v>
                </c:pt>
                <c:pt idx="7">
                  <c:v>8.6169408135853001</c:v>
                </c:pt>
                <c:pt idx="8">
                  <c:v>8.6135895034888996</c:v>
                </c:pt>
                <c:pt idx="9">
                  <c:v>8.6086940218855972</c:v>
                </c:pt>
                <c:pt idx="10">
                  <c:v>8.6046356428484003</c:v>
                </c:pt>
                <c:pt idx="11">
                  <c:v>8.6010769404063971</c:v>
                </c:pt>
                <c:pt idx="12">
                  <c:v>8.5978935976201996</c:v>
                </c:pt>
                <c:pt idx="13">
                  <c:v>8.5949537230263999</c:v>
                </c:pt>
                <c:pt idx="14">
                  <c:v>8.5921743059026028</c:v>
                </c:pt>
                <c:pt idx="15">
                  <c:v>8.5895156976915992</c:v>
                </c:pt>
                <c:pt idx="16">
                  <c:v>8.5869402583620005</c:v>
                </c:pt>
                <c:pt idx="17">
                  <c:v>8.5844445956123998</c:v>
                </c:pt>
                <c:pt idx="18">
                  <c:v>8.5820236756972008</c:v>
                </c:pt>
                <c:pt idx="19">
                  <c:v>8.5796682598756</c:v>
                </c:pt>
                <c:pt idx="20">
                  <c:v>8.5773693499857995</c:v>
                </c:pt>
                <c:pt idx="21">
                  <c:v>8.5751206328900995</c:v>
                </c:pt>
                <c:pt idx="22">
                  <c:v>8.5729174674213997</c:v>
                </c:pt>
                <c:pt idx="23">
                  <c:v>8.5707569718911998</c:v>
                </c:pt>
                <c:pt idx="24">
                  <c:v>8.5686351737478006</c:v>
                </c:pt>
                <c:pt idx="25">
                  <c:v>8.5665483701787046</c:v>
                </c:pt>
                <c:pt idx="26">
                  <c:v>8.5644928588653002</c:v>
                </c:pt>
                <c:pt idx="27">
                  <c:v>8.5624654339586996</c:v>
                </c:pt>
                <c:pt idx="28">
                  <c:v>8.5604638273608025</c:v>
                </c:pt>
                <c:pt idx="29">
                  <c:v>8.5584884227942002</c:v>
                </c:pt>
                <c:pt idx="30">
                  <c:v>8.5565380672565006</c:v>
                </c:pt>
                <c:pt idx="31">
                  <c:v>8.554610126390898</c:v>
                </c:pt>
                <c:pt idx="32">
                  <c:v>8.5527025394889993</c:v>
                </c:pt>
                <c:pt idx="33">
                  <c:v>8.5508131314974989</c:v>
                </c:pt>
                <c:pt idx="34">
                  <c:v>8.5489411832934916</c:v>
                </c:pt>
                <c:pt idx="35">
                  <c:v>8.5470876679551999</c:v>
                </c:pt>
                <c:pt idx="36">
                  <c:v>8.545251862253096</c:v>
                </c:pt>
                <c:pt idx="37">
                  <c:v>8.5434314826190985</c:v>
                </c:pt>
                <c:pt idx="38">
                  <c:v>8.5416256245616999</c:v>
                </c:pt>
                <c:pt idx="39">
                  <c:v>8.5398339164361001</c:v>
                </c:pt>
                <c:pt idx="40">
                  <c:v>8.5380565227847001</c:v>
                </c:pt>
                <c:pt idx="41">
                  <c:v>8.5362913121890003</c:v>
                </c:pt>
                <c:pt idx="42">
                  <c:v>8.5345373797473005</c:v>
                </c:pt>
                <c:pt idx="43">
                  <c:v>8.5327945381416992</c:v>
                </c:pt>
                <c:pt idx="44">
                  <c:v>8.5310635249692996</c:v>
                </c:pt>
                <c:pt idx="45">
                  <c:v>8.5293437778549972</c:v>
                </c:pt>
                <c:pt idx="46">
                  <c:v>8.5276350180680005</c:v>
                </c:pt>
                <c:pt idx="47">
                  <c:v>8.5259363235171008</c:v>
                </c:pt>
                <c:pt idx="48">
                  <c:v>8.5242458576451998</c:v>
                </c:pt>
                <c:pt idx="49">
                  <c:v>8.5225412765976003</c:v>
                </c:pt>
                <c:pt idx="50">
                  <c:v>8.5207630190007002</c:v>
                </c:pt>
                <c:pt idx="51">
                  <c:v>8.518975653016998</c:v>
                </c:pt>
                <c:pt idx="52">
                  <c:v>8.5171750492812972</c:v>
                </c:pt>
                <c:pt idx="53">
                  <c:v>8.5153660755839002</c:v>
                </c:pt>
                <c:pt idx="54">
                  <c:v>8.5135508981501999</c:v>
                </c:pt>
                <c:pt idx="55">
                  <c:v>8.5117307241392002</c:v>
                </c:pt>
                <c:pt idx="56">
                  <c:v>8.5099062067220004</c:v>
                </c:pt>
                <c:pt idx="57">
                  <c:v>8.5080780053281959</c:v>
                </c:pt>
                <c:pt idx="58">
                  <c:v>8.5062462738655</c:v>
                </c:pt>
                <c:pt idx="59">
                  <c:v>8.5044114411867984</c:v>
                </c:pt>
                <c:pt idx="60">
                  <c:v>8.5025763420704994</c:v>
                </c:pt>
                <c:pt idx="61">
                  <c:v>8.5007477546265999</c:v>
                </c:pt>
                <c:pt idx="62">
                  <c:v>8.4989162775354004</c:v>
                </c:pt>
                <c:pt idx="63">
                  <c:v>8.4970823705409</c:v>
                </c:pt>
                <c:pt idx="64">
                  <c:v>8.4952459326131002</c:v>
                </c:pt>
                <c:pt idx="65">
                  <c:v>8.4934068311298088</c:v>
                </c:pt>
                <c:pt idx="66">
                  <c:v>8.4915655185914005</c:v>
                </c:pt>
                <c:pt idx="67">
                  <c:v>8.4897212580521</c:v>
                </c:pt>
                <c:pt idx="68">
                  <c:v>8.4878748768378003</c:v>
                </c:pt>
                <c:pt idx="69">
                  <c:v>8.4860263786576997</c:v>
                </c:pt>
                <c:pt idx="70">
                  <c:v>8.4841759497335989</c:v>
                </c:pt>
                <c:pt idx="71">
                  <c:v>8.4823216165376003</c:v>
                </c:pt>
                <c:pt idx="72">
                  <c:v>8.4804654870671001</c:v>
                </c:pt>
                <c:pt idx="73">
                  <c:v>8.4786075185648002</c:v>
                </c:pt>
                <c:pt idx="74">
                  <c:v>8.4767468286202998</c:v>
                </c:pt>
                <c:pt idx="75">
                  <c:v>8.4748837423265009</c:v>
                </c:pt>
                <c:pt idx="76">
                  <c:v>8.4730180994024007</c:v>
                </c:pt>
                <c:pt idx="77">
                  <c:v>8.4711499423302001</c:v>
                </c:pt>
                <c:pt idx="78">
                  <c:v>8.4692792520054052</c:v>
                </c:pt>
                <c:pt idx="79">
                  <c:v>8.4674059462718994</c:v>
                </c:pt>
                <c:pt idx="80">
                  <c:v>8.4655304788877004</c:v>
                </c:pt>
                <c:pt idx="81">
                  <c:v>8.4636521529501998</c:v>
                </c:pt>
                <c:pt idx="82">
                  <c:v>8.4617716300819996</c:v>
                </c:pt>
                <c:pt idx="83">
                  <c:v>8.4598879716575048</c:v>
                </c:pt>
                <c:pt idx="84">
                  <c:v>8.458001637513501</c:v>
                </c:pt>
                <c:pt idx="85">
                  <c:v>8.4561129322434994</c:v>
                </c:pt>
                <c:pt idx="86">
                  <c:v>8.454221490870296</c:v>
                </c:pt>
                <c:pt idx="87">
                  <c:v>8.4523272230622002</c:v>
                </c:pt>
                <c:pt idx="88">
                  <c:v>8.4504301762234064</c:v>
                </c:pt>
                <c:pt idx="89">
                  <c:v>8.4485302949944003</c:v>
                </c:pt>
                <c:pt idx="90">
                  <c:v>8.4466275304469001</c:v>
                </c:pt>
                <c:pt idx="91">
                  <c:v>8.4447219739530954</c:v>
                </c:pt>
                <c:pt idx="92">
                  <c:v>8.4428136982722997</c:v>
                </c:pt>
                <c:pt idx="93">
                  <c:v>8.4411381477034979</c:v>
                </c:pt>
                <c:pt idx="94">
                  <c:v>8.4395128431263</c:v>
                </c:pt>
                <c:pt idx="95">
                  <c:v>8.4378858374882064</c:v>
                </c:pt>
                <c:pt idx="96">
                  <c:v>8.4362574125733012</c:v>
                </c:pt>
                <c:pt idx="97">
                  <c:v>8.4346279089640017</c:v>
                </c:pt>
                <c:pt idx="98">
                  <c:v>8.4329973715760005</c:v>
                </c:pt>
                <c:pt idx="99">
                  <c:v>8.4313659950075959</c:v>
                </c:pt>
                <c:pt idx="100">
                  <c:v>8.4297333076092062</c:v>
                </c:pt>
                <c:pt idx="101">
                  <c:v>8.4280998354921</c:v>
                </c:pt>
                <c:pt idx="102">
                  <c:v>8.4264669583435996</c:v>
                </c:pt>
                <c:pt idx="103">
                  <c:v>8.4248351638056995</c:v>
                </c:pt>
                <c:pt idx="104">
                  <c:v>8.423203727519498</c:v>
                </c:pt>
                <c:pt idx="105">
                  <c:v>8.4215714884340951</c:v>
                </c:pt>
                <c:pt idx="106">
                  <c:v>8.4199377479445001</c:v>
                </c:pt>
                <c:pt idx="107">
                  <c:v>8.4183027607018968</c:v>
                </c:pt>
                <c:pt idx="108">
                  <c:v>8.4166668982113997</c:v>
                </c:pt>
                <c:pt idx="109">
                  <c:v>8.4150309273853008</c:v>
                </c:pt>
                <c:pt idx="110">
                  <c:v>8.4133948875212994</c:v>
                </c:pt>
                <c:pt idx="111">
                  <c:v>8.411759158771801</c:v>
                </c:pt>
                <c:pt idx="112">
                  <c:v>8.4101241122453008</c:v>
                </c:pt>
                <c:pt idx="113">
                  <c:v>8.4084895401208026</c:v>
                </c:pt>
                <c:pt idx="114">
                  <c:v>8.4068559676677008</c:v>
                </c:pt>
                <c:pt idx="115">
                  <c:v>8.4052273381094</c:v>
                </c:pt>
                <c:pt idx="116">
                  <c:v>8.4036035611689996</c:v>
                </c:pt>
                <c:pt idx="117">
                  <c:v>8.4019833160350004</c:v>
                </c:pt>
                <c:pt idx="118">
                  <c:v>8.4003668540171006</c:v>
                </c:pt>
                <c:pt idx="119">
                  <c:v>8.3987537955887017</c:v>
                </c:pt>
                <c:pt idx="120">
                  <c:v>8.3971451006216</c:v>
                </c:pt>
                <c:pt idx="121">
                  <c:v>8.466920593307</c:v>
                </c:pt>
                <c:pt idx="122">
                  <c:v>8.6070810636273993</c:v>
                </c:pt>
                <c:pt idx="123">
                  <c:v>8.7408165517524985</c:v>
                </c:pt>
                <c:pt idx="124">
                  <c:v>8.8683533634780982</c:v>
                </c:pt>
                <c:pt idx="125">
                  <c:v>8.989919185690896</c:v>
                </c:pt>
                <c:pt idx="126">
                  <c:v>9.1057126019707013</c:v>
                </c:pt>
                <c:pt idx="127">
                  <c:v>9.215955346737001</c:v>
                </c:pt>
                <c:pt idx="128">
                  <c:v>9.3208982818108979</c:v>
                </c:pt>
                <c:pt idx="129">
                  <c:v>9.4207253066656005</c:v>
                </c:pt>
                <c:pt idx="130">
                  <c:v>9.5157395709463</c:v>
                </c:pt>
                <c:pt idx="131">
                  <c:v>9.6061835013599008</c:v>
                </c:pt>
                <c:pt idx="132">
                  <c:v>9.6936136218946984</c:v>
                </c:pt>
                <c:pt idx="133">
                  <c:v>9.7771842325297005</c:v>
                </c:pt>
                <c:pt idx="134">
                  <c:v>9.6753377688533</c:v>
                </c:pt>
                <c:pt idx="135">
                  <c:v>9.5781920193157024</c:v>
                </c:pt>
                <c:pt idx="136">
                  <c:v>9.4857935810297995</c:v>
                </c:pt>
                <c:pt idx="137">
                  <c:v>9.3986418271841998</c:v>
                </c:pt>
                <c:pt idx="138">
                  <c:v>9.3167744174164007</c:v>
                </c:pt>
                <c:pt idx="139">
                  <c:v>9.2400315390588013</c:v>
                </c:pt>
                <c:pt idx="140">
                  <c:v>9.1682111432814963</c:v>
                </c:pt>
                <c:pt idx="141">
                  <c:v>9.1008086409796984</c:v>
                </c:pt>
                <c:pt idx="142">
                  <c:v>9.0378136832722955</c:v>
                </c:pt>
                <c:pt idx="143">
                  <c:v>8.9789849215316995</c:v>
                </c:pt>
                <c:pt idx="144">
                  <c:v>8.9239817153144987</c:v>
                </c:pt>
                <c:pt idx="145">
                  <c:v>8.8726564213875001</c:v>
                </c:pt>
                <c:pt idx="146">
                  <c:v>8.8247528956531003</c:v>
                </c:pt>
                <c:pt idx="147">
                  <c:v>8.7800895376383004</c:v>
                </c:pt>
                <c:pt idx="148">
                  <c:v>8.7385544278470988</c:v>
                </c:pt>
                <c:pt idx="149">
                  <c:v>8.6999796035510979</c:v>
                </c:pt>
                <c:pt idx="150">
                  <c:v>8.6640494960828995</c:v>
                </c:pt>
                <c:pt idx="151">
                  <c:v>8.6306152816176009</c:v>
                </c:pt>
                <c:pt idx="152">
                  <c:v>8.5994439492834012</c:v>
                </c:pt>
                <c:pt idx="153">
                  <c:v>8.5703839219749014</c:v>
                </c:pt>
                <c:pt idx="154">
                  <c:v>8.5432968163907006</c:v>
                </c:pt>
                <c:pt idx="155">
                  <c:v>8.5179896742084011</c:v>
                </c:pt>
                <c:pt idx="156">
                  <c:v>8.4944500579718998</c:v>
                </c:pt>
                <c:pt idx="157">
                  <c:v>8.4724994447638995</c:v>
                </c:pt>
                <c:pt idx="158">
                  <c:v>8.4520143000806005</c:v>
                </c:pt>
                <c:pt idx="159">
                  <c:v>8.4328903916384998</c:v>
                </c:pt>
                <c:pt idx="160">
                  <c:v>8.4150612571293042</c:v>
                </c:pt>
                <c:pt idx="161">
                  <c:v>8.3984522914870006</c:v>
                </c:pt>
                <c:pt idx="162">
                  <c:v>8.3829970590693001</c:v>
                </c:pt>
                <c:pt idx="163">
                  <c:v>8.3686442836691004</c:v>
                </c:pt>
                <c:pt idx="164">
                  <c:v>8.3553417518344002</c:v>
                </c:pt>
                <c:pt idx="165">
                  <c:v>8.3430655060007997</c:v>
                </c:pt>
                <c:pt idx="166">
                  <c:v>8.3334321964709996</c:v>
                </c:pt>
                <c:pt idx="167">
                  <c:v>8.3322902829374996</c:v>
                </c:pt>
                <c:pt idx="168">
                  <c:v>8.3311634429696984</c:v>
                </c:pt>
                <c:pt idx="169">
                  <c:v>8.3300520158079063</c:v>
                </c:pt>
                <c:pt idx="170">
                  <c:v>8.3289596435207987</c:v>
                </c:pt>
                <c:pt idx="171">
                  <c:v>8.3278876413427998</c:v>
                </c:pt>
                <c:pt idx="172">
                  <c:v>8.3268363958414007</c:v>
                </c:pt>
                <c:pt idx="173">
                  <c:v>8.3258063487336997</c:v>
                </c:pt>
                <c:pt idx="174">
                  <c:v>8.3247980553432992</c:v>
                </c:pt>
                <c:pt idx="175">
                  <c:v>8.323811929510601</c:v>
                </c:pt>
                <c:pt idx="176">
                  <c:v>8.3228485554387994</c:v>
                </c:pt>
                <c:pt idx="177">
                  <c:v>8.3219096494461002</c:v>
                </c:pt>
                <c:pt idx="178">
                  <c:v>8.3209995660058027</c:v>
                </c:pt>
                <c:pt idx="179">
                  <c:v>8.3201159143627006</c:v>
                </c:pt>
                <c:pt idx="180">
                  <c:v>8.3192070997627994</c:v>
                </c:pt>
                <c:pt idx="181">
                  <c:v>8.3182319152785986</c:v>
                </c:pt>
                <c:pt idx="182">
                  <c:v>8.3172265252427025</c:v>
                </c:pt>
                <c:pt idx="183">
                  <c:v>8.3161871576007993</c:v>
                </c:pt>
                <c:pt idx="184">
                  <c:v>8.3151169298553</c:v>
                </c:pt>
                <c:pt idx="185">
                  <c:v>8.3140179804567982</c:v>
                </c:pt>
                <c:pt idx="186">
                  <c:v>8.3128921914193992</c:v>
                </c:pt>
                <c:pt idx="187">
                  <c:v>8.3117406599188008</c:v>
                </c:pt>
                <c:pt idx="188">
                  <c:v>8.3105659918598001</c:v>
                </c:pt>
                <c:pt idx="189">
                  <c:v>8.3093696189095052</c:v>
                </c:pt>
                <c:pt idx="190">
                  <c:v>8.3081545632902003</c:v>
                </c:pt>
                <c:pt idx="191">
                  <c:v>8.3069211543188999</c:v>
                </c:pt>
                <c:pt idx="192">
                  <c:v>8.3056699649813002</c:v>
                </c:pt>
                <c:pt idx="193">
                  <c:v>8.3044012017059003</c:v>
                </c:pt>
                <c:pt idx="194">
                  <c:v>8.3031151267660004</c:v>
                </c:pt>
                <c:pt idx="195">
                  <c:v>8.3018124626525989</c:v>
                </c:pt>
                <c:pt idx="196">
                  <c:v>8.3004937662503</c:v>
                </c:pt>
                <c:pt idx="197">
                  <c:v>8.2991597150934986</c:v>
                </c:pt>
                <c:pt idx="198">
                  <c:v>8.2978111215718915</c:v>
                </c:pt>
                <c:pt idx="199">
                  <c:v>8.2964482211190997</c:v>
                </c:pt>
                <c:pt idx="200">
                  <c:v>8.2950719336403989</c:v>
                </c:pt>
                <c:pt idx="201">
                  <c:v>8.2936822749577992</c:v>
                </c:pt>
                <c:pt idx="202">
                  <c:v>8.2922792857602001</c:v>
                </c:pt>
                <c:pt idx="203">
                  <c:v>8.290863264848598</c:v>
                </c:pt>
                <c:pt idx="204">
                  <c:v>8.2894345970620993</c:v>
                </c:pt>
                <c:pt idx="205">
                  <c:v>8.2879939900442992</c:v>
                </c:pt>
                <c:pt idx="206">
                  <c:v>8.2865417511383015</c:v>
                </c:pt>
                <c:pt idx="207">
                  <c:v>8.2850775911523993</c:v>
                </c:pt>
                <c:pt idx="208">
                  <c:v>8.2836017679890013</c:v>
                </c:pt>
                <c:pt idx="209">
                  <c:v>8.2821158537384001</c:v>
                </c:pt>
                <c:pt idx="210">
                  <c:v>8.280617982580301</c:v>
                </c:pt>
                <c:pt idx="211">
                  <c:v>8.2791095871641005</c:v>
                </c:pt>
                <c:pt idx="212">
                  <c:v>8.2775912647517984</c:v>
                </c:pt>
                <c:pt idx="213">
                  <c:v>8.2760621067037992</c:v>
                </c:pt>
                <c:pt idx="214">
                  <c:v>8.2745234738090012</c:v>
                </c:pt>
                <c:pt idx="215">
                  <c:v>8.2729767219042998</c:v>
                </c:pt>
                <c:pt idx="216">
                  <c:v>8.2714198388558007</c:v>
                </c:pt>
                <c:pt idx="217">
                  <c:v>8.2698532991265008</c:v>
                </c:pt>
                <c:pt idx="218">
                  <c:v>8.2682784464937917</c:v>
                </c:pt>
                <c:pt idx="219">
                  <c:v>8.2666952605038997</c:v>
                </c:pt>
                <c:pt idx="220">
                  <c:v>8.2651029556739992</c:v>
                </c:pt>
                <c:pt idx="221">
                  <c:v>8.2636780696372991</c:v>
                </c:pt>
                <c:pt idx="222">
                  <c:v>8.2628368159205063</c:v>
                </c:pt>
                <c:pt idx="223">
                  <c:v>8.262070884671596</c:v>
                </c:pt>
                <c:pt idx="224">
                  <c:v>8.2615164675661017</c:v>
                </c:pt>
                <c:pt idx="225">
                  <c:v>8.261313637291698</c:v>
                </c:pt>
                <c:pt idx="226">
                  <c:v>8.2615763742747994</c:v>
                </c:pt>
                <c:pt idx="227">
                  <c:v>8.2623435165108994</c:v>
                </c:pt>
                <c:pt idx="228">
                  <c:v>8.2629224549974012</c:v>
                </c:pt>
                <c:pt idx="229">
                  <c:v>8.2630457045061991</c:v>
                </c:pt>
                <c:pt idx="230">
                  <c:v>8.2628971184174027</c:v>
                </c:pt>
                <c:pt idx="231">
                  <c:v>8.2625652582543001</c:v>
                </c:pt>
                <c:pt idx="232">
                  <c:v>8.2621044222159998</c:v>
                </c:pt>
                <c:pt idx="233">
                  <c:v>8.2615397315642003</c:v>
                </c:pt>
                <c:pt idx="234">
                  <c:v>8.2608903602990988</c:v>
                </c:pt>
                <c:pt idx="235">
                  <c:v>8.2601697086644013</c:v>
                </c:pt>
                <c:pt idx="236">
                  <c:v>8.2593996364253002</c:v>
                </c:pt>
                <c:pt idx="237">
                  <c:v>8.2585837075141999</c:v>
                </c:pt>
                <c:pt idx="238">
                  <c:v>8.2577277693254985</c:v>
                </c:pt>
                <c:pt idx="239">
                  <c:v>8.2568347610268003</c:v>
                </c:pt>
                <c:pt idx="240">
                  <c:v>8.2559030842389003</c:v>
                </c:pt>
              </c:numCache>
            </c:numRef>
          </c:yVal>
          <c:smooth val="0"/>
        </c:ser>
        <c:dLbls>
          <c:showLegendKey val="0"/>
          <c:showVal val="0"/>
          <c:showCatName val="0"/>
          <c:showSerName val="0"/>
          <c:showPercent val="0"/>
          <c:showBubbleSize val="0"/>
        </c:dLbls>
        <c:axId val="135161344"/>
        <c:axId val="135163264"/>
      </c:scatterChart>
      <c:valAx>
        <c:axId val="135161344"/>
        <c:scaling>
          <c:orientation val="minMax"/>
          <c:max val="700"/>
          <c:min val="0"/>
        </c:scaling>
        <c:delete val="0"/>
        <c:axPos val="b"/>
        <c:majorGridlines>
          <c:spPr>
            <a:ln>
              <a:prstDash val="sysDash"/>
            </a:ln>
          </c:spPr>
        </c:majorGridlines>
        <c:title>
          <c:tx>
            <c:rich>
              <a:bodyPr/>
              <a:lstStyle/>
              <a:p>
                <a:pPr>
                  <a:defRPr/>
                </a:pPr>
                <a:r>
                  <a:rPr lang="en-US"/>
                  <a:t>Time (EFPD)</a:t>
                </a:r>
              </a:p>
            </c:rich>
          </c:tx>
          <c:layout/>
          <c:overlay val="0"/>
        </c:title>
        <c:numFmt formatCode="#,##0" sourceLinked="0"/>
        <c:majorTickMark val="out"/>
        <c:minorTickMark val="none"/>
        <c:tickLblPos val="nextTo"/>
        <c:crossAx val="135163264"/>
        <c:crosses val="autoZero"/>
        <c:crossBetween val="midCat"/>
        <c:majorUnit val="100"/>
      </c:valAx>
      <c:valAx>
        <c:axId val="135163264"/>
        <c:scaling>
          <c:orientation val="minMax"/>
        </c:scaling>
        <c:delete val="0"/>
        <c:axPos val="l"/>
        <c:majorGridlines>
          <c:spPr>
            <a:ln>
              <a:prstDash val="sysDash"/>
            </a:ln>
          </c:spPr>
        </c:majorGridlines>
        <c:title>
          <c:tx>
            <c:rich>
              <a:bodyPr rot="-5400000" vert="horz"/>
              <a:lstStyle/>
              <a:p>
                <a:pPr>
                  <a:defRPr/>
                </a:pPr>
                <a:r>
                  <a:rPr lang="en-US"/>
                  <a:t>Radial Displacement (</a:t>
                </a:r>
                <a:r>
                  <a:rPr lang="el-GR"/>
                  <a:t>μ</a:t>
                </a:r>
                <a:r>
                  <a:rPr lang="en-US"/>
                  <a:t>m)</a:t>
                </a:r>
              </a:p>
            </c:rich>
          </c:tx>
          <c:layout/>
          <c:overlay val="0"/>
        </c:title>
        <c:numFmt formatCode="#,##0.0" sourceLinked="0"/>
        <c:majorTickMark val="out"/>
        <c:minorTickMark val="none"/>
        <c:tickLblPos val="nextTo"/>
        <c:crossAx val="135161344"/>
        <c:crosses val="autoZero"/>
        <c:crossBetween val="midCat"/>
      </c:valAx>
      <c:spPr>
        <a:ln>
          <a:solidFill>
            <a:sysClr val="windowText" lastClr="000000"/>
          </a:solidFill>
        </a:ln>
      </c:spPr>
    </c:plotArea>
    <c:legend>
      <c:legendPos val="r"/>
      <c:layout>
        <c:manualLayout>
          <c:xMode val="edge"/>
          <c:yMode val="edge"/>
          <c:x val="0.17804106724563501"/>
          <c:y val="7.6363699570666299E-2"/>
          <c:w val="0.41120175551826499"/>
          <c:h val="0.18179903008812601"/>
        </c:manualLayout>
      </c:layout>
      <c:overlay val="0"/>
      <c:spPr>
        <a:solidFill>
          <a:sysClr val="window" lastClr="FFFFFF"/>
        </a:solidFill>
        <a:ln>
          <a:solidFill>
            <a:sysClr val="windowText" lastClr="000000"/>
          </a:solidFill>
        </a:ln>
        <a:effectLst>
          <a:outerShdw dist="38100" dir="2700000" sx="105000" sy="105000" algn="tl" rotWithShape="0">
            <a:prstClr val="black"/>
          </a:outerShdw>
        </a:effectLst>
      </c:spPr>
    </c:legend>
    <c:plotVisOnly val="1"/>
    <c:dispBlanksAs val="gap"/>
    <c:showDLblsOverMax val="0"/>
  </c:chart>
  <c:spPr>
    <a:ln>
      <a:solidFill>
        <a:schemeClr val="bg1"/>
      </a:solidFill>
    </a:ln>
  </c:spPr>
  <c:txPr>
    <a:bodyPr/>
    <a:lstStyle/>
    <a:p>
      <a:pPr>
        <a:defRPr sz="1200">
          <a:latin typeface="Times New Roman" panose="02020603050405020304" pitchFamily="18" charset="0"/>
          <a:cs typeface="Times New Roman" panose="02020603050405020304" pitchFamily="18" charset="0"/>
        </a:defRPr>
      </a:pPr>
      <a:endParaRPr lang="en-US"/>
    </a:p>
  </c:txPr>
  <c:externalData r:id="rId1">
    <c:autoUpdate val="0"/>
  </c:externalData>
</c:chartSpace>
</file>

<file path=word/drawings/_rels/drawing1.xml.rels><?xml version="1.0" encoding="UTF-8" standalone="yes"?>
<Relationships xmlns="http://schemas.openxmlformats.org/package/2006/relationships"><Relationship Id="rId2" Type="http://schemas.openxmlformats.org/officeDocument/2006/relationships/image" Target="../media/image31.png"/><Relationship Id="rId1" Type="http://schemas.openxmlformats.org/officeDocument/2006/relationships/image" Target="../media/image30.png"/></Relationships>
</file>

<file path=word/drawings/drawing1.xml><?xml version="1.0" encoding="utf-8"?>
<c:userShapes xmlns:c="http://schemas.openxmlformats.org/drawingml/2006/chart">
  <cdr:relSizeAnchor xmlns:cdr="http://schemas.openxmlformats.org/drawingml/2006/chartDrawing">
    <cdr:from>
      <cdr:x>0.18433</cdr:x>
      <cdr:y>0.11446</cdr:y>
    </cdr:from>
    <cdr:to>
      <cdr:x>0.90421</cdr:x>
      <cdr:y>0.78618</cdr:y>
    </cdr:to>
    <cdr:cxnSp macro="">
      <cdr:nvCxnSpPr>
        <cdr:cNvPr id="5" name="Straight Connector 4"/>
        <cdr:cNvCxnSpPr/>
      </cdr:nvCxnSpPr>
      <cdr:spPr>
        <a:xfrm xmlns:a="http://schemas.openxmlformats.org/drawingml/2006/main" flipV="1">
          <a:off x="1095555" y="327804"/>
          <a:ext cx="4278702" cy="1923691"/>
        </a:xfrm>
        <a:prstGeom xmlns:a="http://schemas.openxmlformats.org/drawingml/2006/main" prst="line">
          <a:avLst/>
        </a:prstGeom>
        <a:ln xmlns:a="http://schemas.openxmlformats.org/drawingml/2006/main">
          <a:solidFill>
            <a:sysClr val="windowText" lastClr="00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0.286</cdr:x>
      <cdr:y>0.04876</cdr:y>
    </cdr:from>
    <cdr:to>
      <cdr:x>0.68269</cdr:x>
      <cdr:y>0.26374</cdr:y>
    </cdr:to>
    <cdr:pic>
      <cdr:nvPicPr>
        <cdr:cNvPr id="7" name="Picture 6"/>
        <cdr:cNvPicPr/>
      </cdr:nvPicPr>
      <cdr:blipFill>
        <a:blip xmlns:a="http://schemas.openxmlformats.org/drawingml/2006/main" xmlns:r="http://schemas.openxmlformats.org/officeDocument/2006/relationships" r:embed="rId1">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1699896" y="139213"/>
          <a:ext cx="2357754" cy="613750"/>
        </a:xfrm>
        <a:prstGeom xmlns:a="http://schemas.openxmlformats.org/drawingml/2006/main" prst="rect">
          <a:avLst/>
        </a:prstGeom>
        <a:noFill xmlns:a="http://schemas.openxmlformats.org/drawingml/2006/main"/>
        <a:ln xmlns:a="http://schemas.openxmlformats.org/drawingml/2006/main">
          <a:noFill/>
        </a:ln>
      </cdr:spPr>
    </cdr:pic>
  </cdr:relSizeAnchor>
  <cdr:relSizeAnchor xmlns:cdr="http://schemas.openxmlformats.org/drawingml/2006/chartDrawing">
    <cdr:from>
      <cdr:x>0.59241</cdr:x>
      <cdr:y>0.4244</cdr:y>
    </cdr:from>
    <cdr:to>
      <cdr:x>0.98878</cdr:x>
      <cdr:y>0.75221</cdr:y>
    </cdr:to>
    <cdr:pic>
      <cdr:nvPicPr>
        <cdr:cNvPr id="8" name="Picture 7"/>
        <cdr:cNvPicPr/>
      </cdr:nvPicPr>
      <cdr:blipFill>
        <a:blip xmlns:a="http://schemas.openxmlformats.org/drawingml/2006/main" xmlns:r="http://schemas.openxmlformats.org/officeDocument/2006/relationships" r:embed="rId2">
          <a:extLst>
            <a:ext uri="{28A0092B-C50C-407E-A947-70E740481C1C}">
              <a14:useLocalDpi xmlns:a14="http://schemas.microsoft.com/office/drawing/2010/main" val="0"/>
            </a:ext>
          </a:extLst>
        </a:blip>
        <a:srcRect xmlns:a="http://schemas.openxmlformats.org/drawingml/2006/main"/>
        <a:stretch xmlns:a="http://schemas.openxmlformats.org/drawingml/2006/main">
          <a:fillRect/>
        </a:stretch>
      </cdr:blipFill>
      <cdr:spPr bwMode="auto">
        <a:xfrm xmlns:a="http://schemas.openxmlformats.org/drawingml/2006/main">
          <a:off x="3521075" y="1211632"/>
          <a:ext cx="2355850" cy="935886"/>
        </a:xfrm>
        <a:prstGeom xmlns:a="http://schemas.openxmlformats.org/drawingml/2006/main" prst="rect">
          <a:avLst/>
        </a:prstGeom>
        <a:noFill xmlns:a="http://schemas.openxmlformats.org/drawingml/2006/main"/>
        <a:ln xmlns:a="http://schemas.openxmlformats.org/drawingml/2006/main">
          <a:noFill/>
        </a:ln>
      </cdr:spPr>
    </cdr:pic>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6A91A1-6FCB-4F79-BBB0-1E054E01E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TotalTime>
  <Pages>134</Pages>
  <Words>41822</Words>
  <Characters>238392</Characters>
  <Application>Microsoft Office Word</Application>
  <DocSecurity>0</DocSecurity>
  <Lines>1986</Lines>
  <Paragraphs>559</Paragraphs>
  <ScaleCrop>false</ScaleCrop>
  <HeadingPairs>
    <vt:vector size="2" baseType="variant">
      <vt:variant>
        <vt:lpstr>Title</vt:lpstr>
      </vt:variant>
      <vt:variant>
        <vt:i4>1</vt:i4>
      </vt:variant>
    </vt:vector>
  </HeadingPairs>
  <TitlesOfParts>
    <vt:vector size="1" baseType="lpstr">
      <vt:lpstr/>
    </vt:vector>
  </TitlesOfParts>
  <Company>ORNL</Company>
  <LinksUpToDate>false</LinksUpToDate>
  <CharactersWithSpaces>279655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George, Nathan M.</dc:creator>
  <cp:lastModifiedBy>Nathan</cp:lastModifiedBy>
  <cp:revision>8</cp:revision>
  <dcterms:created xsi:type="dcterms:W3CDTF">2015-04-17T03:31:00Z</dcterms:created>
  <dcterms:modified xsi:type="dcterms:W3CDTF">2015-04-17T04:38:00Z</dcterms:modified>
</cp:coreProperties>
</file>